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keepNext w:val="true"/>
        <w:pageBreakBefore w:val="false"/>
        <w:widowControl/>
        <w:pBdr/>
        <w:spacing w:before="240" w:after="283"/>
        <w:ind w:left="0" w:right="0" w:hanging="0"/>
        <w:jc w:val="center"/>
        <w:rPr>
          <w:caps w:val="false"/>
          <w:smallCaps w:val="false"/>
          <w:bdr w:val="double" w:sz="16" w:space="4" w:color="000000"/>
        </w:rPr>
      </w:pPr>
      <w:bookmarkStart w:id="0" w:name="def14a0423_fortinetinc.htm"/>
      <w:bookmarkStart w:id="1" w:name="ksdef14a0423_fortinetinc"/>
      <w:bookmarkEnd w:id="0"/>
      <w:bookmarkEnd w:id="1"/>
      <w:r>
        <w:rPr>
          <w:caps w:val="false"/>
          <w:smallCaps w:val="false"/>
          <w:bdr w:val="double" w:sz="16" w:space="4" w:color="000000"/>
        </w:rPr>
        <w:t>  </w:t>
      </w:r>
    </w:p>
    <w:p>
      <w:pPr>
        <w:pStyle w:val="TextBody"/>
        <w:keepNext w:val="true"/>
        <w:pageBreakBefore w:val="false"/>
        <w:widowControl/>
        <w:pBdr/>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w:t>
      </w:r>
    </w:p>
    <w:p>
      <w:pPr>
        <w:pStyle w:val="TextBody"/>
        <w:keepNext w:val="true"/>
        <w:pageBreakBefore w:val="false"/>
        <w:widowControl/>
        <w:pBdr/>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 INFORMATION</w:t>
      </w:r>
    </w:p>
    <w:p>
      <w:pPr>
        <w:pStyle w:val="TextBody"/>
        <w:keepNext w:val="false"/>
        <w:pageBreakBefore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w:t>
      </w:r>
    </w:p>
    <w:p>
      <w:pPr>
        <w:pStyle w:val="TextBody"/>
        <w:keepNext w:val="true"/>
        <w:pageBreakBefore w:val="false"/>
        <w:widowControl/>
        <w:pBdr/>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PURSUANT TO SECTION 14(a) OF THE</w:t>
        <w:br/>
        <w:t>SECURITIES EXCHANGE ACT OF 1934</w:t>
        <w:br/>
        <w:t>(AMENDMENT NO.    )</w:t>
      </w:r>
    </w:p>
    <w:tbl>
      <w:tblPr>
        <w:tblW w:w="4648" w:type="dxa"/>
        <w:jc w:val="left"/>
        <w:tblInd w:w="0" w:type="dxa"/>
        <w:tblCellMar>
          <w:top w:w="0" w:type="dxa"/>
          <w:left w:w="0" w:type="dxa"/>
          <w:bottom w:w="0" w:type="dxa"/>
          <w:right w:w="0" w:type="dxa"/>
        </w:tblCellMar>
      </w:tblPr>
      <w:tblGrid>
        <w:gridCol w:w="4141"/>
        <w:gridCol w:w="146"/>
        <w:gridCol w:w="361"/>
      </w:tblGrid>
      <w:tr>
        <w:trPr/>
        <w:tc>
          <w:tcPr>
            <w:tcW w:w="414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keepNext w:val="false"/>
              <w:widowControl/>
              <w:pBdr/>
              <w:spacing w:before="0" w:after="283"/>
              <w:jc w:val="left"/>
              <w:rPr>
                <w:caps w:val="false"/>
                <w:smallCaps w:val="false"/>
              </w:rPr>
            </w:pPr>
            <w:r>
              <w:rPr>
                <w:caps w:val="false"/>
                <w:smallCaps w:val="false"/>
              </w:rPr>
              <w:t>☒</w:t>
            </w:r>
          </w:p>
        </w:tc>
      </w:tr>
      <w:tr>
        <w:trPr/>
        <w:tc>
          <w:tcPr>
            <w:tcW w:w="414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keepNext w:val="false"/>
              <w:widowControl/>
              <w:pBdr/>
              <w:spacing w:before="0" w:after="283"/>
              <w:jc w:val="left"/>
              <w:rPr>
                <w:caps w:val="false"/>
                <w:smallCaps w:val="false"/>
              </w:rPr>
            </w:pPr>
            <w:r>
              <w:rPr>
                <w:caps w:val="false"/>
                <w:smallCaps w:val="false"/>
              </w:rPr>
              <w:t>☐</w:t>
            </w:r>
          </w:p>
        </w:tc>
      </w:tr>
    </w:tbl>
    <w:p>
      <w:pPr>
        <w:pStyle w:val="TextBody"/>
        <w:keepNext w:val="false"/>
        <w:pageBreakBefore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9478" w:type="dxa"/>
        <w:jc w:val="left"/>
        <w:tblInd w:w="0" w:type="dxa"/>
        <w:tblCellMar>
          <w:top w:w="0" w:type="dxa"/>
          <w:left w:w="0" w:type="dxa"/>
          <w:bottom w:w="0" w:type="dxa"/>
          <w:right w:w="0" w:type="dxa"/>
        </w:tblCellMar>
      </w:tblPr>
      <w:tblGrid>
        <w:gridCol w:w="331"/>
        <w:gridCol w:w="146"/>
        <w:gridCol w:w="9001"/>
      </w:tblGrid>
      <w:tr>
        <w:trPr/>
        <w:tc>
          <w:tcPr>
            <w:tcW w:w="331" w:type="dxa"/>
            <w:tcBorders/>
            <w:shd w:fill="auto" w:val="clear"/>
          </w:tcPr>
          <w:p>
            <w:pPr>
              <w:pStyle w:val="TableContents"/>
              <w:keepNext w:val="false"/>
              <w:widowControl/>
              <w:pBdr/>
              <w:spacing w:before="0" w:after="283"/>
              <w:ind w:left="200" w:right="0" w:hanging="200"/>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00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shd w:fill="auto" w:val="clear"/>
          </w:tcPr>
          <w:p>
            <w:pPr>
              <w:pStyle w:val="TableContents"/>
              <w:keepNext w:val="false"/>
              <w:widowControl/>
              <w:pBdr/>
              <w:spacing w:before="0" w:after="283"/>
              <w:ind w:left="200" w:right="0" w:hanging="200"/>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001" w:type="dxa"/>
            <w:tcBorders/>
            <w:shd w:fill="auto" w:val="clear"/>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 for Use of the Commission Only (as permitted by Rule 14a-6(e)(2))</w:t>
            </w:r>
          </w:p>
        </w:tc>
      </w:tr>
      <w:tr>
        <w:trPr/>
        <w:tc>
          <w:tcPr>
            <w:tcW w:w="331" w:type="dxa"/>
            <w:tcBorders/>
            <w:shd w:fill="auto" w:val="clear"/>
          </w:tcPr>
          <w:p>
            <w:pPr>
              <w:pStyle w:val="TableContents"/>
              <w:keepNext w:val="false"/>
              <w:widowControl/>
              <w:pBdr/>
              <w:spacing w:before="0" w:after="283"/>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00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shd w:fill="auto" w:val="clear"/>
          </w:tcPr>
          <w:p>
            <w:pPr>
              <w:pStyle w:val="TableContents"/>
              <w:keepNext w:val="false"/>
              <w:widowControl/>
              <w:pBdr/>
              <w:spacing w:before="0" w:after="283"/>
              <w:ind w:left="200" w:right="0" w:hanging="200"/>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00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shd w:fill="auto" w:val="clear"/>
          </w:tcPr>
          <w:p>
            <w:pPr>
              <w:pStyle w:val="TableContents"/>
              <w:keepNext w:val="false"/>
              <w:widowControl/>
              <w:pBdr/>
              <w:spacing w:before="0" w:after="283"/>
              <w:ind w:left="200" w:right="0" w:hanging="200"/>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00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Pursuant to §240.14a-12</w:t>
            </w:r>
          </w:p>
        </w:tc>
      </w:tr>
    </w:tbl>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FORTINET, INC.</w:t>
        <w:br/>
      </w:r>
      <w:r>
        <w:rPr>
          <w:rFonts w:ascii="Times New Roman PS Std;serif" w:hAnsi="Times New Roman PS Std;serif"/>
          <w:b w:val="false"/>
          <w:i w:val="false"/>
          <w:caps w:val="false"/>
          <w:smallCaps w:val="false"/>
          <w:sz w:val="20"/>
        </w:rPr>
        <w:t>(Name of Registrant as Specified in Its Charter)</w:t>
      </w:r>
    </w:p>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_______________________________________________________________</w:t>
      </w:r>
      <w:r>
        <w:rPr>
          <w:rFonts w:ascii="Times New Roman PS Std;serif" w:hAnsi="Times New Roman PS Std;serif"/>
          <w:b w:val="false"/>
          <w:i w:val="false"/>
          <w:caps w:val="false"/>
          <w:smallCaps w:val="false"/>
          <w:sz w:val="20"/>
        </w:rPr>
        <w:br/>
        <w:t>(Name of Person(s) Filing Proxy Statement, if other than the Registrant)</w:t>
      </w:r>
    </w:p>
    <w:p>
      <w:pPr>
        <w:pStyle w:val="TextBody"/>
        <w:keepNext w:val="false"/>
        <w:pageBreakBefore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all boxes that apply):</w:t>
      </w:r>
    </w:p>
    <w:tbl>
      <w:tblPr>
        <w:tblW w:w="10205" w:type="dxa"/>
        <w:jc w:val="left"/>
        <w:tblInd w:w="0" w:type="dxa"/>
        <w:tblCellMar>
          <w:top w:w="0" w:type="dxa"/>
          <w:left w:w="0" w:type="dxa"/>
          <w:bottom w:w="0" w:type="dxa"/>
          <w:right w:w="0" w:type="dxa"/>
        </w:tblCellMar>
      </w:tblPr>
      <w:tblGrid>
        <w:gridCol w:w="331"/>
        <w:gridCol w:w="146"/>
        <w:gridCol w:w="9728"/>
      </w:tblGrid>
      <w:tr>
        <w:trPr/>
        <w:tc>
          <w:tcPr>
            <w:tcW w:w="331" w:type="dxa"/>
            <w:tcBorders/>
            <w:shd w:fill="auto" w:val="clear"/>
          </w:tcPr>
          <w:p>
            <w:pPr>
              <w:pStyle w:val="TableContents"/>
              <w:keepNext w:val="false"/>
              <w:widowControl/>
              <w:pBdr/>
              <w:spacing w:before="0" w:after="283"/>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728"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shd w:fill="auto" w:val="clear"/>
          </w:tcPr>
          <w:p>
            <w:pPr>
              <w:pStyle w:val="TableContents"/>
              <w:keepNext w:val="false"/>
              <w:widowControl/>
              <w:pBdr/>
              <w:spacing w:before="160" w:after="283"/>
              <w:ind w:left="200" w:right="0" w:hanging="200"/>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728"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shd w:fill="auto" w:val="clear"/>
          </w:tcPr>
          <w:p>
            <w:pPr>
              <w:pStyle w:val="TableContents"/>
              <w:keepNext w:val="false"/>
              <w:widowControl/>
              <w:pBdr/>
              <w:spacing w:before="160" w:after="283"/>
              <w:ind w:left="200" w:right="0" w:hanging="200"/>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728"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keepNext w:val="false"/>
        <w:pageBreakBefore w:val="false"/>
        <w:widowControl/>
        <w:pBdr/>
        <w:spacing w:before="100" w:after="283"/>
        <w:ind w:left="0" w:right="0" w:hanging="0"/>
        <w:jc w:val="left"/>
        <w:rPr>
          <w:caps w:val="false"/>
          <w:smallCaps w:val="false"/>
          <w:bdr w:val="double" w:sz="16" w:space="4" w:color="000000"/>
        </w:rPr>
      </w:pPr>
      <w:r>
        <w:rPr>
          <w:caps w:val="false"/>
          <w:smallCaps w:val="false"/>
          <w:bdr w:val="double" w:sz="16" w:space="4" w:color="000000"/>
        </w:rPr>
        <w:t>  </w:t>
      </w:r>
      <w:r>
        <w:br w:type="page"/>
      </w:r>
    </w:p>
    <w:p>
      <w:pPr>
        <w:pStyle w:val="TextBody"/>
        <w:widowControl/>
        <w:pBdr>
          <w:bottom w:val="single" w:sz="2" w:space="1" w:color="000000"/>
        </w:pBdr>
        <w:spacing w:before="200" w:after="200"/>
        <w:ind w:left="0" w:right="0" w:hanging="0"/>
        <w:jc w:val="center"/>
        <w:rPr>
          <w:caps w:val="false"/>
          <w:smallCaps w:val="false"/>
          <w:color w:val="000000"/>
        </w:rPr>
      </w:pPr>
      <w:r>
        <w:rPr>
          <w:caps w:val="false"/>
          <w:smallCaps w:val="false"/>
          <w:color w:val="000000"/>
        </w:rPr>
        <w:t> </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caps w:val="false"/>
          <w:smallCaps w:val="false"/>
        </w:rPr>
      </w:pPr>
      <w:r>
        <w:rPr>
          <w:caps w:val="false"/>
          <w:smallCaps w:val="false"/>
        </w:rPr>
        <w:drawing>
          <wp:inline distT="0" distB="0" distL="0" distR="0">
            <wp:extent cx="2981325" cy="3568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81325" cy="356870"/>
                    </a:xfrm>
                    <a:prstGeom prst="rect">
                      <a:avLst/>
                    </a:prstGeom>
                  </pic:spPr>
                </pic:pic>
              </a:graphicData>
            </a:graphic>
          </wp:inline>
        </w:drawing>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2023 ANNUAL MEETING OF STOCKHOLDERS</w:t>
      </w:r>
    </w:p>
    <w:p>
      <w:pPr>
        <w:pStyle w:val="TextBody"/>
        <w:keepNext w:val="false"/>
        <w:pageBreakBefore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Fortinet Stockholder:</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is hereby given that the 2023 Annual Meeting of Stockholders (the “2023 Annual Meeting”) of Fortinet, Inc., a Delaware corporation (“Fortinet,” “we,” “us” or “our”), will be held on Friday, June 16, 2023, at 10:00 a.m. Pacific time, in a virtual-only format, for the following purposes:</w:t>
      </w:r>
    </w:p>
    <w:p>
      <w:pPr>
        <w:pStyle w:val="TextBody"/>
        <w:keepNext w:val="false"/>
        <w:pageBreakBefore w:val="false"/>
        <w:widowControl/>
        <w:pBdr/>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elect the eight directors listed in the accompanying proxy statement to serve for a one-year term expiring at Fortinet’s 2024 Annual Meeting of Stockholders and until their respective successors have been duly elected and qualified.</w:t>
      </w:r>
    </w:p>
    <w:p>
      <w:pPr>
        <w:pStyle w:val="TextBody"/>
        <w:keepNext w:val="false"/>
        <w:pageBreakBefore w:val="false"/>
        <w:widowControl/>
        <w:pBdr/>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ratify the appointment of Deloitte &amp; Touche LLP as Fortinet’s independent registered public accounting firm for the fiscal year ending December 31, 2023.</w:t>
      </w:r>
    </w:p>
    <w:p>
      <w:pPr>
        <w:pStyle w:val="TextBody"/>
        <w:keepNext w:val="false"/>
        <w:pageBreakBefore w:val="false"/>
        <w:widowControl/>
        <w:pBdr/>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An advisory vote to approve named executive officer compensation.</w:t>
      </w:r>
    </w:p>
    <w:p>
      <w:pPr>
        <w:pStyle w:val="TextBody"/>
        <w:keepNext w:val="false"/>
        <w:pageBreakBefore w:val="false"/>
        <w:widowControl/>
        <w:pBdr/>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An advisory vote on the frequency of future advisory votes to approve named executive officer compensation.</w:t>
      </w:r>
    </w:p>
    <w:p>
      <w:pPr>
        <w:pStyle w:val="TextBody"/>
        <w:keepNext w:val="false"/>
        <w:pageBreakBefore w:val="false"/>
        <w:widowControl/>
        <w:pBdr/>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To adopt an amendment to Fortinet’s amended and restated certificate of incorporation to remove the supermajority voting requirement and make certain other changes.</w:t>
      </w:r>
    </w:p>
    <w:p>
      <w:pPr>
        <w:pStyle w:val="TextBody"/>
        <w:keepNext w:val="false"/>
        <w:pageBreakBefore w:val="false"/>
        <w:widowControl/>
        <w:pBdr/>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To adopt an amendment to Fortinet’s amended and restated certificate of incorporation to permit the exculpation of officers by Fortinet from personal liability for certain breaches of the duty of care.</w:t>
      </w:r>
    </w:p>
    <w:p>
      <w:pPr>
        <w:pStyle w:val="TextBody"/>
        <w:keepNext w:val="false"/>
        <w:pageBreakBefore w:val="false"/>
        <w:widowControl/>
        <w:pBdr/>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To transact such other business proposals, if properly presented before the meeting.</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a virtual stockholder meeting allows better access to those who may want to attend by providing for greater stockholder attendance and participation from any location around the world, and therefore we have chosen this over an in-person meeting. This approach also lowers costs and aligns with our broader sustainability goals.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preceding items of business are more fully described in the proxy statement accompanying this notice. Any action on the items of business described above may be considered at the 2023 Annual Meeting at the time and on the date specified above or at any time and date to which the 2023 Annual Meeting may be properly adjourned or postponed. Only stockholders of record at the close of business on April 17, 2023 are entitled to notice of, and to vote at, the 2023 Annual Meeting.</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to provide access to our proxy materials over the internet. Accordingly, stockholders of record at the close of business on April 17, 2023 will receive a Notice of Internet Availability of Proxy Materials and may vote at the 2023 Annual Meeting and any meetings pursuant to postponements or adjournments of the 2023 Annual Meeting. We expect to mail the Notice of Internet Availability of Proxy Materials on or about May 3, 2023.</w:t>
      </w:r>
      <w:r>
        <w:br w:type="page"/>
      </w:r>
    </w:p>
    <w:p>
      <w:pPr>
        <w:pStyle w:val="TextBody"/>
        <w:widowControl/>
        <w:pBdr>
          <w:bottom w:val="single" w:sz="2" w:space="1" w:color="000000"/>
        </w:pBdr>
        <w:spacing w:before="200" w:after="200"/>
        <w:ind w:left="0" w:right="0" w:hanging="0"/>
        <w:jc w:val="center"/>
        <w:rPr>
          <w:caps w:val="false"/>
          <w:smallCaps w:val="false"/>
          <w:color w:val="000000"/>
        </w:rPr>
      </w:pPr>
      <w:r>
        <w:rPr>
          <w:caps w:val="false"/>
          <w:smallCaps w:val="false"/>
          <w:color w:val="000000"/>
        </w:rPr>
        <w:t> </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very important. Whether or not you plan to attend the 2023 Annual Meeting, we encourage you to read the proxy statement and vote as instructed in the Notice of Internet Availability of Proxy Materials or vote on the internet or by telephone as soon as possible. Alternatively, you may follow the procedures outlined in the Notice of Internet Availability of Proxy Materials to request a paper copy of the proxy materials, which include a proxy card to submit your vote by mail. For specific instructions on how to vote your shares, please refer to the section entitled “Questions and Answers About the 2023 Annual Meeting and Procedural Matters” and the instructions on the Notice of Internet Availability of Proxy Materials.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Thank you for your ongoing support of Fortinet.</w:t>
      </w:r>
    </w:p>
    <w:tbl>
      <w:tblPr>
        <w:tblW w:w="6578" w:type="dxa"/>
        <w:jc w:val="left"/>
        <w:tblInd w:w="0" w:type="dxa"/>
        <w:tblCellMar>
          <w:top w:w="0" w:type="dxa"/>
          <w:left w:w="0" w:type="dxa"/>
          <w:bottom w:w="0" w:type="dxa"/>
          <w:right w:w="0" w:type="dxa"/>
        </w:tblCellMar>
      </w:tblPr>
      <w:tblGrid>
        <w:gridCol w:w="161"/>
        <w:gridCol w:w="146"/>
        <w:gridCol w:w="6271"/>
      </w:tblGrid>
      <w:tr>
        <w:trPr/>
        <w:tc>
          <w:tcPr>
            <w:tcW w:w="16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27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271" w:type="dxa"/>
            <w:tcBorders/>
            <w:shd w:fill="auto" w:val="clear"/>
            <w:vAlign w:val="bottom"/>
          </w:tcPr>
          <w:p>
            <w:pPr>
              <w:pStyle w:val="TableContents"/>
              <w:keepNext w:val="false"/>
              <w:widowControl/>
              <w:pBdr/>
              <w:spacing w:before="160" w:after="283"/>
              <w:jc w:val="left"/>
              <w:rPr>
                <w:caps w:val="false"/>
                <w:smallCaps w:val="false"/>
              </w:rPr>
            </w:pPr>
            <w:r>
              <w:rPr>
                <w:caps w:val="false"/>
                <w:smallCaps w:val="false"/>
              </w:rPr>
              <w:drawing>
                <wp:inline distT="0" distB="0" distL="0" distR="0">
                  <wp:extent cx="1162050" cy="2197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62050" cy="219710"/>
                          </a:xfrm>
                          <a:prstGeom prst="rect">
                            <a:avLst/>
                          </a:prstGeom>
                        </pic:spPr>
                      </pic:pic>
                    </a:graphicData>
                  </a:graphic>
                </wp:inline>
              </w:drawing>
            </w:r>
          </w:p>
        </w:tc>
      </w:tr>
      <w:tr>
        <w:trPr/>
        <w:tc>
          <w:tcPr>
            <w:tcW w:w="1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27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r>
      <w:tr>
        <w:trPr/>
        <w:tc>
          <w:tcPr>
            <w:tcW w:w="1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27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Executive Officer and Chairman of the Board of Directors</w:t>
            </w:r>
          </w:p>
        </w:tc>
      </w:tr>
      <w:tr>
        <w:trPr/>
        <w:tc>
          <w:tcPr>
            <w:tcW w:w="1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271" w:type="dxa"/>
            <w:tcBorders/>
            <w:shd w:fill="auto" w:val="clear"/>
            <w:vAlign w:val="bottom"/>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Sunnyvale, California</w:t>
            </w:r>
          </w:p>
        </w:tc>
      </w:tr>
      <w:tr>
        <w:trPr/>
        <w:tc>
          <w:tcPr>
            <w:tcW w:w="1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27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1, 2023</w:t>
            </w:r>
          </w:p>
        </w:tc>
      </w:tr>
    </w:tbl>
    <w:p>
      <w:pPr>
        <w:pStyle w:val="TextBody"/>
        <w:widowControl/>
        <w:pBdr>
          <w:bottom w:val="single" w:sz="2" w:space="1" w:color="000000"/>
        </w:pBdr>
        <w:spacing w:before="200" w:after="200"/>
        <w:ind w:left="0" w:right="0" w:hanging="0"/>
        <w:jc w:val="center"/>
        <w:rPr>
          <w:caps w:val="false"/>
          <w:smallCaps w:val="false"/>
          <w:color w:val="000000"/>
        </w:rPr>
      </w:pPr>
      <w:r>
        <w:br w:type="page"/>
      </w:r>
      <w:r>
        <w:rPr>
          <w:caps w:val="false"/>
          <w:smallCaps w:val="false"/>
          <w:color w:val="000000"/>
        </w:rPr>
        <w:t> </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br/>
        <w:t>FOR 2023 ANNUAL MEETING OF STOCKHOLDERS</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CellMar>
          <w:top w:w="0" w:type="dxa"/>
          <w:left w:w="0" w:type="dxa"/>
          <w:bottom w:w="0" w:type="dxa"/>
          <w:right w:w="0" w:type="dxa"/>
        </w:tblCellMar>
      </w:tblPr>
      <w:tblGrid>
        <w:gridCol w:w="9458"/>
        <w:gridCol w:w="146"/>
        <w:gridCol w:w="601"/>
      </w:tblGrid>
      <w:tr>
        <w:trPr/>
        <w:tc>
          <w:tcPr>
            <w:tcW w:w="9458"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Page</w:t>
            </w:r>
          </w:p>
        </w:tc>
      </w:tr>
      <w:tr>
        <w:trPr/>
        <w:tc>
          <w:tcPr>
            <w:tcW w:w="9458" w:type="dxa"/>
            <w:tcBorders/>
            <w:shd w:fill="CCEEFF" w:val="clear"/>
            <w:vAlign w:val="bottom"/>
          </w:tcPr>
          <w:p>
            <w:pPr>
              <w:pStyle w:val="TableContents"/>
              <w:keepNext w:val="false"/>
              <w:widowControl/>
              <w:pBdr/>
              <w:spacing w:before="0" w:after="283"/>
              <w:ind w:left="200" w:right="0" w:hanging="200"/>
              <w:jc w:val="left"/>
              <w:rPr/>
            </w:pPr>
            <w:hyperlink w:anchor="T99100">
              <w:r>
                <w:rPr>
                  <w:rStyle w:val="InternetLink"/>
                  <w:rFonts w:ascii="Times New Roman PS Std;serif" w:hAnsi="Times New Roman PS Std;serif"/>
                  <w:b w:val="false"/>
                  <w:i w:val="false"/>
                  <w:caps w:val="false"/>
                  <w:smallCaps w:val="false"/>
                  <w:sz w:val="20"/>
                </w:rPr>
                <w:t>PROXY SUMMARY</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458" w:type="dxa"/>
            <w:tcBorders/>
            <w:shd w:fill="auto" w:val="clear"/>
            <w:vAlign w:val="bottom"/>
          </w:tcPr>
          <w:p>
            <w:pPr>
              <w:pStyle w:val="TableContents"/>
              <w:keepNext w:val="false"/>
              <w:widowControl/>
              <w:pBdr/>
              <w:spacing w:before="0" w:after="283"/>
              <w:ind w:left="200" w:right="0" w:hanging="200"/>
              <w:jc w:val="left"/>
              <w:rPr/>
            </w:pPr>
            <w:hyperlink w:anchor="T99101">
              <w:r>
                <w:rPr>
                  <w:rStyle w:val="InternetLink"/>
                  <w:rFonts w:ascii="Times New Roman PS Std;serif" w:hAnsi="Times New Roman PS Std;serif"/>
                  <w:b w:val="false"/>
                  <w:i w:val="false"/>
                  <w:caps w:val="false"/>
                  <w:smallCaps w:val="false"/>
                  <w:sz w:val="20"/>
                </w:rPr>
                <w:t>QUESTIONS AND ANSWERS ABOUT THE 2023 ANNUAL MEETING AND PROCEDURAL MATTERS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02">
              <w:r>
                <w:rPr>
                  <w:rStyle w:val="InternetLink"/>
                  <w:rFonts w:ascii="Times New Roman PS Std;serif" w:hAnsi="Times New Roman PS Std;serif"/>
                  <w:b w:val="false"/>
                  <w:i w:val="false"/>
                  <w:caps w:val="false"/>
                  <w:smallCaps w:val="false"/>
                  <w:sz w:val="20"/>
                </w:rPr>
                <w:t>Why am I receiving these materials?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03">
              <w:r>
                <w:rPr>
                  <w:rStyle w:val="InternetLink"/>
                  <w:rFonts w:ascii="Times New Roman PS Std;serif" w:hAnsi="Times New Roman PS Std;serif"/>
                  <w:b w:val="false"/>
                  <w:i w:val="false"/>
                  <w:caps w:val="false"/>
                  <w:smallCaps w:val="false"/>
                  <w:sz w:val="20"/>
                </w:rPr>
                <w:t>Why did I receive a one-page notice in the mail regarding the internet availability of proxy materials instead of a full set of proxy materials?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04">
              <w:r>
                <w:rPr>
                  <w:rStyle w:val="InternetLink"/>
                  <w:rFonts w:ascii="Times New Roman PS Std;serif" w:hAnsi="Times New Roman PS Std;serif"/>
                  <w:b w:val="false"/>
                  <w:i w:val="false"/>
                  <w:caps w:val="false"/>
                  <w:smallCaps w:val="false"/>
                  <w:sz w:val="20"/>
                </w:rPr>
                <w:t>How can I get electronic access to the proxy materials?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05">
              <w:r>
                <w:rPr>
                  <w:rStyle w:val="InternetLink"/>
                  <w:rFonts w:ascii="Times New Roman PS Std;serif" w:hAnsi="Times New Roman PS Std;serif"/>
                  <w:b w:val="false"/>
                  <w:i w:val="false"/>
                  <w:caps w:val="false"/>
                  <w:smallCaps w:val="false"/>
                  <w:sz w:val="20"/>
                </w:rPr>
                <w:t>Can I attend the 2023 Annual Meeting?</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06">
              <w:r>
                <w:rPr>
                  <w:rStyle w:val="InternetLink"/>
                  <w:rFonts w:ascii="Times New Roman PS Std;serif" w:hAnsi="Times New Roman PS Std;serif"/>
                  <w:b w:val="false"/>
                  <w:i w:val="false"/>
                  <w:caps w:val="false"/>
                  <w:smallCaps w:val="false"/>
                  <w:sz w:val="20"/>
                </w:rPr>
                <w:t>How can I ask questions at the 2023 Annual Meeting?</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07">
              <w:r>
                <w:rPr>
                  <w:rStyle w:val="InternetLink"/>
                  <w:rFonts w:ascii="Times New Roman PS Std;serif" w:hAnsi="Times New Roman PS Std;serif"/>
                  <w:b w:val="false"/>
                  <w:i w:val="false"/>
                  <w:caps w:val="false"/>
                  <w:smallCaps w:val="false"/>
                  <w:sz w:val="20"/>
                </w:rPr>
                <w:t>Who is entitled to vote at the 2023 Annual Meeting?</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08">
              <w:r>
                <w:rPr>
                  <w:rStyle w:val="InternetLink"/>
                  <w:rFonts w:ascii="Times New Roman PS Std;serif" w:hAnsi="Times New Roman PS Std;serif"/>
                  <w:b w:val="false"/>
                  <w:i w:val="false"/>
                  <w:caps w:val="false"/>
                  <w:smallCaps w:val="false"/>
                  <w:sz w:val="20"/>
                </w:rPr>
                <w:t>What is the difference between holding shares as a stockholder of record or as a beneficial owner?</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09">
              <w:r>
                <w:rPr>
                  <w:rStyle w:val="InternetLink"/>
                  <w:rFonts w:ascii="Times New Roman PS Std;serif" w:hAnsi="Times New Roman PS Std;serif"/>
                  <w:b w:val="false"/>
                  <w:i w:val="false"/>
                  <w:caps w:val="false"/>
                  <w:smallCaps w:val="false"/>
                  <w:sz w:val="20"/>
                </w:rPr>
                <w:t>How can I vote my shares without attending the 2023 Annual Meeting?</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10">
              <w:r>
                <w:rPr>
                  <w:rStyle w:val="InternetLink"/>
                  <w:rFonts w:ascii="Times New Roman PS Std;serif" w:hAnsi="Times New Roman PS Std;serif"/>
                  <w:b w:val="false"/>
                  <w:i w:val="false"/>
                  <w:caps w:val="false"/>
                  <w:smallCaps w:val="false"/>
                  <w:sz w:val="20"/>
                </w:rPr>
                <w:t>How many shares must be present or represented to conduct business at the 2023 Annual Meeting?</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11">
              <w:r>
                <w:rPr>
                  <w:rStyle w:val="InternetLink"/>
                  <w:rFonts w:ascii="Times New Roman PS Std;serif" w:hAnsi="Times New Roman PS Std;serif"/>
                  <w:b w:val="false"/>
                  <w:i w:val="false"/>
                  <w:caps w:val="false"/>
                  <w:smallCaps w:val="false"/>
                  <w:sz w:val="20"/>
                </w:rPr>
                <w:t>What proposals will be voted on at the 2023 Annual Meeting?</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12">
              <w:r>
                <w:rPr>
                  <w:rStyle w:val="InternetLink"/>
                  <w:rFonts w:ascii="Times New Roman PS Std;serif" w:hAnsi="Times New Roman PS Std;serif"/>
                  <w:b w:val="false"/>
                  <w:i w:val="false"/>
                  <w:caps w:val="false"/>
                  <w:smallCaps w:val="false"/>
                  <w:sz w:val="20"/>
                </w:rPr>
                <w:t>What is the voting requirement to approve each of the proposals?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13">
              <w:r>
                <w:rPr>
                  <w:rStyle w:val="InternetLink"/>
                  <w:rFonts w:ascii="Times New Roman PS Std;serif" w:hAnsi="Times New Roman PS Std;serif"/>
                  <w:b w:val="false"/>
                  <w:i w:val="false"/>
                  <w:caps w:val="false"/>
                  <w:smallCaps w:val="false"/>
                  <w:sz w:val="20"/>
                </w:rPr>
                <w:t>What happens if only one of the Majority Voting Amendment (Proposal Five) or the Officer Exculpation Amendment (Proposal Six) is adopted, or if both are adopted?</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14">
              <w:r>
                <w:rPr>
                  <w:rStyle w:val="InternetLink"/>
                  <w:rFonts w:ascii="Times New Roman PS Std;serif" w:hAnsi="Times New Roman PS Std;serif"/>
                  <w:b w:val="false"/>
                  <w:i w:val="false"/>
                  <w:caps w:val="false"/>
                  <w:smallCaps w:val="false"/>
                  <w:sz w:val="20"/>
                </w:rPr>
                <w:t>How are votes counted?</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15">
              <w:r>
                <w:rPr>
                  <w:rStyle w:val="InternetLink"/>
                  <w:rFonts w:ascii="Times New Roman PS Std;serif" w:hAnsi="Times New Roman PS Std;serif"/>
                  <w:b w:val="false"/>
                  <w:i w:val="false"/>
                  <w:caps w:val="false"/>
                  <w:smallCaps w:val="false"/>
                  <w:sz w:val="20"/>
                </w:rPr>
                <w:t>How does the Board of Directors recommend that I vote?</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16">
              <w:r>
                <w:rPr>
                  <w:rStyle w:val="InternetLink"/>
                  <w:rFonts w:ascii="Times New Roman PS Std;serif" w:hAnsi="Times New Roman PS Std;serif"/>
                  <w:b w:val="false"/>
                  <w:i w:val="false"/>
                  <w:caps w:val="false"/>
                  <w:smallCaps w:val="false"/>
                  <w:sz w:val="20"/>
                </w:rPr>
                <w:t>What happens if additional matters are presented at the 2023 Annual Meeting?</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17">
              <w:r>
                <w:rPr>
                  <w:rStyle w:val="InternetLink"/>
                  <w:rFonts w:ascii="Times New Roman PS Std;serif" w:hAnsi="Times New Roman PS Std;serif"/>
                  <w:b w:val="false"/>
                  <w:i w:val="false"/>
                  <w:caps w:val="false"/>
                  <w:smallCaps w:val="false"/>
                  <w:sz w:val="20"/>
                </w:rPr>
                <w:t>Can I change my vote?</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18">
              <w:r>
                <w:rPr>
                  <w:rStyle w:val="InternetLink"/>
                  <w:rFonts w:ascii="Times New Roman PS Std;serif" w:hAnsi="Times New Roman PS Std;serif"/>
                  <w:b w:val="false"/>
                  <w:i w:val="false"/>
                  <w:caps w:val="false"/>
                  <w:smallCaps w:val="false"/>
                  <w:sz w:val="20"/>
                </w:rPr>
                <w:t>What should I do if I receive more than one set of voting materials?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19">
              <w:r>
                <w:rPr>
                  <w:rStyle w:val="InternetLink"/>
                  <w:rFonts w:ascii="Times New Roman PS Std;serif" w:hAnsi="Times New Roman PS Std;serif"/>
                  <w:b w:val="false"/>
                  <w:i w:val="false"/>
                  <w:caps w:val="false"/>
                  <w:smallCaps w:val="false"/>
                  <w:sz w:val="20"/>
                </w:rPr>
                <w:t>Is my vote confidential?</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20">
              <w:r>
                <w:rPr>
                  <w:rStyle w:val="InternetLink"/>
                  <w:rFonts w:ascii="Times New Roman PS Std;serif" w:hAnsi="Times New Roman PS Std;serif"/>
                  <w:b w:val="false"/>
                  <w:i w:val="false"/>
                  <w:caps w:val="false"/>
                  <w:smallCaps w:val="false"/>
                  <w:sz w:val="20"/>
                </w:rPr>
                <w:t>Who will serve as inspector of election?</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21">
              <w:r>
                <w:rPr>
                  <w:rStyle w:val="InternetLink"/>
                  <w:rFonts w:ascii="Times New Roman PS Std;serif" w:hAnsi="Times New Roman PS Std;serif"/>
                  <w:b w:val="false"/>
                  <w:i w:val="false"/>
                  <w:caps w:val="false"/>
                  <w:smallCaps w:val="false"/>
                  <w:sz w:val="20"/>
                </w:rPr>
                <w:t>Where can I find the voting results of the 2023 Annual Meeting?</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22">
              <w:r>
                <w:rPr>
                  <w:rStyle w:val="InternetLink"/>
                  <w:rFonts w:ascii="Times New Roman PS Std;serif" w:hAnsi="Times New Roman PS Std;serif"/>
                  <w:b w:val="false"/>
                  <w:i w:val="false"/>
                  <w:caps w:val="false"/>
                  <w:smallCaps w:val="false"/>
                  <w:sz w:val="20"/>
                </w:rPr>
                <w:t>Who will bear the cost of soliciting votes for the 2023 Annual Meeting?</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23">
              <w:r>
                <w:rPr>
                  <w:rStyle w:val="InternetLink"/>
                  <w:rFonts w:ascii="Times New Roman PS Std;serif" w:hAnsi="Times New Roman PS Std;serif"/>
                  <w:b w:val="false"/>
                  <w:i w:val="false"/>
                  <w:caps w:val="false"/>
                  <w:smallCaps w:val="false"/>
                  <w:sz w:val="20"/>
                </w:rPr>
                <w:t>What is the deadline to propose actions for consideration at next year’s annual meeting of stockholders or to nominate individuals to serve as directors?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24">
              <w:r>
                <w:rPr>
                  <w:rStyle w:val="InternetLink"/>
                  <w:rFonts w:ascii="Times New Roman PS Std;serif" w:hAnsi="Times New Roman PS Std;serif"/>
                  <w:b w:val="false"/>
                  <w:i w:val="false"/>
                  <w:caps w:val="false"/>
                  <w:smallCaps w:val="false"/>
                  <w:sz w:val="20"/>
                </w:rPr>
                <w:t>How may I obtain a separate set of proxy materials or the 2022 Annual Report?</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9458" w:type="dxa"/>
            <w:tcBorders/>
            <w:shd w:fill="auto" w:val="clear"/>
            <w:vAlign w:val="bottom"/>
          </w:tcPr>
          <w:p>
            <w:pPr>
              <w:pStyle w:val="TableContents"/>
              <w:keepNext w:val="false"/>
              <w:widowControl/>
              <w:pBdr/>
              <w:spacing w:before="0" w:after="283"/>
              <w:ind w:left="200" w:right="0" w:hanging="200"/>
              <w:jc w:val="left"/>
              <w:rPr/>
            </w:pPr>
            <w:hyperlink w:anchor="T99125">
              <w:r>
                <w:rPr>
                  <w:rStyle w:val="InternetLink"/>
                  <w:rFonts w:ascii="Times New Roman PS Std;serif" w:hAnsi="Times New Roman PS Std;serif"/>
                  <w:b w:val="false"/>
                  <w:i w:val="false"/>
                  <w:caps w:val="false"/>
                  <w:smallCaps w:val="false"/>
                  <w:sz w:val="20"/>
                </w:rPr>
                <w:t>PROPOSAL ONE — ELECTION OF DIRECTORS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26">
              <w:r>
                <w:rPr>
                  <w:rStyle w:val="InternetLink"/>
                  <w:rFonts w:ascii="Times New Roman PS Std;serif" w:hAnsi="Times New Roman PS Std;serif"/>
                  <w:b w:val="false"/>
                  <w:i w:val="false"/>
                  <w:caps w:val="false"/>
                  <w:smallCaps w:val="false"/>
                  <w:sz w:val="20"/>
                </w:rPr>
                <w:t>General</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27">
              <w:r>
                <w:rPr>
                  <w:rStyle w:val="InternetLink"/>
                  <w:rFonts w:ascii="Times New Roman PS Std;serif" w:hAnsi="Times New Roman PS Std;serif"/>
                  <w:b w:val="false"/>
                  <w:i w:val="false"/>
                  <w:caps w:val="false"/>
                  <w:smallCaps w:val="false"/>
                  <w:sz w:val="20"/>
                </w:rPr>
                <w:t>Nominees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51">
              <w:r>
                <w:rPr>
                  <w:rStyle w:val="InternetLink"/>
                  <w:rFonts w:ascii="Times New Roman PS Std;serif" w:hAnsi="Times New Roman PS Std;serif"/>
                  <w:b w:val="false"/>
                  <w:i w:val="false"/>
                  <w:caps w:val="false"/>
                  <w:smallCaps w:val="false"/>
                  <w:sz w:val="20"/>
                </w:rPr>
                <w:t>Information Regarding the Board of Directors and Director Nominees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50">
              <w:r>
                <w:rPr>
                  <w:rStyle w:val="InternetLink"/>
                  <w:rFonts w:ascii="Times New Roman PS Std;serif" w:hAnsi="Times New Roman PS Std;serif"/>
                  <w:b w:val="false"/>
                  <w:i w:val="false"/>
                  <w:caps w:val="false"/>
                  <w:smallCaps w:val="false"/>
                  <w:sz w:val="20"/>
                </w:rPr>
                <w:t>Director Expertise and Experience</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49">
              <w:r>
                <w:rPr>
                  <w:rStyle w:val="InternetLink"/>
                  <w:rFonts w:ascii="Times New Roman PS Std;serif" w:hAnsi="Times New Roman PS Std;serif"/>
                  <w:b w:val="false"/>
                  <w:i w:val="false"/>
                  <w:caps w:val="false"/>
                  <w:smallCaps w:val="false"/>
                  <w:sz w:val="20"/>
                </w:rPr>
                <w:t>Board Diversity Matrix</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48">
              <w:r>
                <w:rPr>
                  <w:rStyle w:val="InternetLink"/>
                  <w:rFonts w:ascii="Times New Roman PS Std;serif" w:hAnsi="Times New Roman PS Std;serif"/>
                  <w:b w:val="false"/>
                  <w:i w:val="false"/>
                  <w:caps w:val="false"/>
                  <w:smallCaps w:val="false"/>
                  <w:sz w:val="20"/>
                </w:rPr>
                <w:t>Director Tenure and Age Distribution</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47">
              <w:r>
                <w:rPr>
                  <w:rStyle w:val="InternetLink"/>
                  <w:rFonts w:ascii="Times New Roman PS Std;serif" w:hAnsi="Times New Roman PS Std;serif"/>
                  <w:b w:val="false"/>
                  <w:i w:val="false"/>
                  <w:caps w:val="false"/>
                  <w:smallCaps w:val="false"/>
                  <w:sz w:val="20"/>
                </w:rPr>
                <w:t>Board Evaluations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458" w:type="dxa"/>
            <w:tcBorders/>
            <w:shd w:fill="auto" w:val="clear"/>
            <w:vAlign w:val="bottom"/>
          </w:tcPr>
          <w:p>
            <w:pPr>
              <w:pStyle w:val="TableContents"/>
              <w:keepNext w:val="false"/>
              <w:widowControl/>
              <w:pBdr/>
              <w:spacing w:before="0" w:after="283"/>
              <w:ind w:left="200" w:right="0" w:hanging="200"/>
              <w:jc w:val="left"/>
              <w:rPr/>
            </w:pPr>
            <w:hyperlink w:anchor="T99128">
              <w:r>
                <w:rPr>
                  <w:rStyle w:val="InternetLink"/>
                  <w:rFonts w:ascii="Times New Roman PS Std;serif" w:hAnsi="Times New Roman PS Std;serif"/>
                  <w:b w:val="false"/>
                  <w:i w:val="false"/>
                  <w:caps w:val="false"/>
                  <w:smallCaps w:val="false"/>
                  <w:sz w:val="20"/>
                </w:rPr>
                <w:t>PROPOSAL TWO — RATIFICATION OF APPOINTMENT OF INDEPENDENT REGISTERED PUBLIC ACCOUNTING FIRM</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46">
              <w:r>
                <w:rPr>
                  <w:rStyle w:val="InternetLink"/>
                  <w:rFonts w:ascii="Times New Roman PS Std;serif" w:hAnsi="Times New Roman PS Std;serif"/>
                  <w:b w:val="false"/>
                  <w:i w:val="false"/>
                  <w:caps w:val="false"/>
                  <w:smallCaps w:val="false"/>
                  <w:sz w:val="20"/>
                </w:rPr>
                <w:t>General</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45">
              <w:r>
                <w:rPr>
                  <w:rStyle w:val="InternetLink"/>
                  <w:rFonts w:ascii="Times New Roman PS Std;serif" w:hAnsi="Times New Roman PS Std;serif"/>
                  <w:b w:val="false"/>
                  <w:i w:val="false"/>
                  <w:caps w:val="false"/>
                  <w:smallCaps w:val="false"/>
                  <w:sz w:val="20"/>
                </w:rPr>
                <w:t>Principal Accounting Fees and Services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44">
              <w:r>
                <w:rPr>
                  <w:rStyle w:val="InternetLink"/>
                  <w:rFonts w:ascii="Times New Roman PS Std;serif" w:hAnsi="Times New Roman PS Std;serif"/>
                  <w:b w:val="false"/>
                  <w:i w:val="false"/>
                  <w:caps w:val="false"/>
                  <w:smallCaps w:val="false"/>
                  <w:sz w:val="20"/>
                </w:rPr>
                <w:t>Approval of Audit and Non-Audit Services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i</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9458"/>
        <w:gridCol w:w="146"/>
        <w:gridCol w:w="601"/>
      </w:tblGrid>
      <w:tr>
        <w:trPr/>
        <w:tc>
          <w:tcPr>
            <w:tcW w:w="9458"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Page</w:t>
            </w:r>
          </w:p>
        </w:tc>
      </w:tr>
      <w:tr>
        <w:trPr/>
        <w:tc>
          <w:tcPr>
            <w:tcW w:w="9458" w:type="dxa"/>
            <w:tcBorders/>
            <w:shd w:fill="CCEEFF" w:val="clear"/>
            <w:vAlign w:val="bottom"/>
          </w:tcPr>
          <w:p>
            <w:pPr>
              <w:pStyle w:val="TableContents"/>
              <w:keepNext w:val="false"/>
              <w:widowControl/>
              <w:pBdr/>
              <w:spacing w:before="0" w:after="283"/>
              <w:ind w:left="200" w:right="0" w:hanging="200"/>
              <w:jc w:val="left"/>
              <w:rPr/>
            </w:pPr>
            <w:hyperlink w:anchor="T99129">
              <w:r>
                <w:rPr>
                  <w:rStyle w:val="InternetLink"/>
                  <w:rFonts w:ascii="Times New Roman PS Std;serif" w:hAnsi="Times New Roman PS Std;serif"/>
                  <w:b w:val="false"/>
                  <w:i w:val="false"/>
                  <w:caps w:val="false"/>
                  <w:smallCaps w:val="false"/>
                  <w:sz w:val="20"/>
                </w:rPr>
                <w:t>PROPOSAL THREE — ADVISORY VOTE TO APPROVE NAMED EXECUTIVE OFFICER COMPENSATION</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9458" w:type="dxa"/>
            <w:tcBorders/>
            <w:shd w:fill="auto" w:val="clear"/>
            <w:vAlign w:val="bottom"/>
          </w:tcPr>
          <w:p>
            <w:pPr>
              <w:pStyle w:val="TableContents"/>
              <w:keepNext w:val="false"/>
              <w:widowControl/>
              <w:pBdr/>
              <w:spacing w:before="0" w:after="283"/>
              <w:ind w:left="200" w:right="0" w:hanging="200"/>
              <w:jc w:val="left"/>
              <w:rPr/>
            </w:pPr>
            <w:hyperlink w:anchor="T99130">
              <w:r>
                <w:rPr>
                  <w:rStyle w:val="InternetLink"/>
                  <w:rFonts w:ascii="Times New Roman PS Std;serif" w:hAnsi="Times New Roman PS Std;serif"/>
                  <w:b w:val="false"/>
                  <w:i w:val="false"/>
                  <w:caps/>
                  <w:sz w:val="20"/>
                </w:rPr>
                <w:t>PROPOSAL FOUR — ADVISORY VOTE ON the frequency of future advisory votes TO APPROVE NAMED executive officer compensation</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r>
      <w:tr>
        <w:trPr/>
        <w:tc>
          <w:tcPr>
            <w:tcW w:w="9458" w:type="dxa"/>
            <w:tcBorders/>
            <w:shd w:fill="CCEEFF" w:val="clear"/>
            <w:vAlign w:val="bottom"/>
          </w:tcPr>
          <w:p>
            <w:pPr>
              <w:pStyle w:val="TableContents"/>
              <w:keepNext w:val="false"/>
              <w:widowControl/>
              <w:pBdr/>
              <w:spacing w:before="0" w:after="283"/>
              <w:ind w:left="200" w:right="0" w:hanging="200"/>
              <w:jc w:val="left"/>
              <w:rPr/>
            </w:pPr>
            <w:hyperlink w:anchor="T99131">
              <w:r>
                <w:rPr>
                  <w:rStyle w:val="InternetLink"/>
                  <w:rFonts w:ascii="Times New Roman PS Std;serif" w:hAnsi="Times New Roman PS Std;serif"/>
                  <w:b w:val="false"/>
                  <w:i w:val="false"/>
                  <w:caps w:val="false"/>
                  <w:smallCaps w:val="false"/>
                  <w:sz w:val="20"/>
                </w:rPr>
                <w:t>PROPOSAL FIVE — ADOPTION OF AN AMENDMENT TO THE CURRENT CERTIFICATE IN ORDER TO REMOVE THE SUPERMAJORITY VOTING REQUIREMENT AND MAKE CERTAIN OTHER CHANGES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9458" w:type="dxa"/>
            <w:tcBorders/>
            <w:shd w:fill="auto" w:val="clear"/>
            <w:vAlign w:val="bottom"/>
          </w:tcPr>
          <w:p>
            <w:pPr>
              <w:pStyle w:val="TableContents"/>
              <w:keepNext w:val="false"/>
              <w:widowControl/>
              <w:pBdr/>
              <w:spacing w:before="0" w:after="283"/>
              <w:ind w:left="200" w:right="0" w:hanging="200"/>
              <w:jc w:val="left"/>
              <w:rPr/>
            </w:pPr>
            <w:hyperlink w:anchor="T99132">
              <w:r>
                <w:rPr>
                  <w:rStyle w:val="InternetLink"/>
                  <w:rFonts w:ascii="Times New Roman PS Std;serif" w:hAnsi="Times New Roman PS Std;serif"/>
                  <w:b w:val="false"/>
                  <w:i w:val="false"/>
                  <w:caps w:val="false"/>
                  <w:smallCaps w:val="false"/>
                  <w:sz w:val="20"/>
                </w:rPr>
                <w:t>PROPOSAL SIX — ADOPTION OF AN AMENDMENT TO THE CURRENT CERTIFICATE IN IN ORDER TO PERMIT THE EXCULPATION OF OFFICERS FROM PERSONAL LIABILITY FOR CERTAIN BREACHES OF THE DUTY OF CARE</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r>
      <w:tr>
        <w:trPr/>
        <w:tc>
          <w:tcPr>
            <w:tcW w:w="9458" w:type="dxa"/>
            <w:tcBorders/>
            <w:shd w:fill="CCEEFF" w:val="clear"/>
            <w:vAlign w:val="bottom"/>
          </w:tcPr>
          <w:p>
            <w:pPr>
              <w:pStyle w:val="TableContents"/>
              <w:keepNext w:val="false"/>
              <w:widowControl/>
              <w:pBdr/>
              <w:spacing w:before="0" w:after="283"/>
              <w:ind w:left="200" w:right="0" w:hanging="200"/>
              <w:jc w:val="left"/>
              <w:rPr/>
            </w:pPr>
            <w:hyperlink w:anchor="T99133">
              <w:r>
                <w:rPr>
                  <w:rStyle w:val="InternetLink"/>
                  <w:rFonts w:ascii="Times New Roman PS Std;serif" w:hAnsi="Times New Roman PS Std;serif"/>
                  <w:b w:val="false"/>
                  <w:i w:val="false"/>
                  <w:caps w:val="false"/>
                  <w:smallCaps w:val="false"/>
                  <w:sz w:val="20"/>
                </w:rPr>
                <w:t>CORPORATE SOCIAL RESPONSIBILITY</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43">
              <w:r>
                <w:rPr>
                  <w:rStyle w:val="InternetLink"/>
                  <w:rFonts w:ascii="Times New Roman PS Std;serif" w:hAnsi="Times New Roman PS Std;serif"/>
                  <w:b w:val="false"/>
                  <w:i w:val="false"/>
                  <w:caps w:val="false"/>
                  <w:smallCaps w:val="false"/>
                  <w:sz w:val="20"/>
                </w:rPr>
                <w:t>Environment</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42">
              <w:r>
                <w:rPr>
                  <w:rStyle w:val="InternetLink"/>
                  <w:rFonts w:ascii="Times New Roman PS Std;serif" w:hAnsi="Times New Roman PS Std;serif"/>
                  <w:b w:val="false"/>
                  <w:i w:val="false"/>
                  <w:caps w:val="false"/>
                  <w:smallCaps w:val="false"/>
                  <w:sz w:val="20"/>
                </w:rPr>
                <w:t>Social</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41">
              <w:r>
                <w:rPr>
                  <w:rStyle w:val="InternetLink"/>
                  <w:rFonts w:ascii="Times New Roman PS Std;serif" w:hAnsi="Times New Roman PS Std;serif"/>
                  <w:b w:val="false"/>
                  <w:i w:val="false"/>
                  <w:caps w:val="false"/>
                  <w:smallCaps w:val="false"/>
                  <w:sz w:val="20"/>
                </w:rPr>
                <w:t>Governance</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9458" w:type="dxa"/>
            <w:tcBorders/>
            <w:shd w:fill="CCEEFF" w:val="clear"/>
            <w:vAlign w:val="bottom"/>
          </w:tcPr>
          <w:p>
            <w:pPr>
              <w:pStyle w:val="TableContents"/>
              <w:keepNext w:val="false"/>
              <w:widowControl/>
              <w:pBdr/>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CORPORATE GOVERNANCE</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40">
              <w:r>
                <w:rPr>
                  <w:rStyle w:val="InternetLink"/>
                  <w:rFonts w:ascii="Times New Roman PS Std;serif" w:hAnsi="Times New Roman PS Std;serif"/>
                  <w:b w:val="false"/>
                  <w:i w:val="false"/>
                  <w:caps w:val="false"/>
                  <w:smallCaps w:val="false"/>
                  <w:sz w:val="20"/>
                </w:rPr>
                <w:t>Corporate Governance Guidelines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39">
              <w:r>
                <w:rPr>
                  <w:rStyle w:val="InternetLink"/>
                  <w:rFonts w:ascii="Times New Roman PS Std;serif" w:hAnsi="Times New Roman PS Std;serif"/>
                  <w:b w:val="false"/>
                  <w:i w:val="false"/>
                  <w:caps w:val="false"/>
                  <w:smallCaps w:val="false"/>
                  <w:sz w:val="20"/>
                </w:rPr>
                <w:t>Code of Business Conduct and Ethics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38">
              <w:r>
                <w:rPr>
                  <w:rStyle w:val="InternetLink"/>
                  <w:rFonts w:ascii="Times New Roman PS Std;serif" w:hAnsi="Times New Roman PS Std;serif"/>
                  <w:b w:val="false"/>
                  <w:i w:val="false"/>
                  <w:caps w:val="false"/>
                  <w:smallCaps w:val="false"/>
                  <w:sz w:val="20"/>
                </w:rPr>
                <w:t>Human Capital Management</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37">
              <w:r>
                <w:rPr>
                  <w:rStyle w:val="InternetLink"/>
                  <w:rFonts w:ascii="Times New Roman PS Std;serif" w:hAnsi="Times New Roman PS Std;serif"/>
                  <w:b w:val="false"/>
                  <w:i w:val="false"/>
                  <w:caps w:val="false"/>
                  <w:smallCaps w:val="false"/>
                  <w:sz w:val="20"/>
                </w:rPr>
                <w:t>Majority Voting Standard for Director Elections and Director Resignation Policy</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36">
              <w:r>
                <w:rPr>
                  <w:rStyle w:val="InternetLink"/>
                  <w:rFonts w:ascii="Times New Roman PS Std;serif" w:hAnsi="Times New Roman PS Std;serif"/>
                  <w:b w:val="false"/>
                  <w:i w:val="false"/>
                  <w:caps w:val="false"/>
                  <w:smallCaps w:val="false"/>
                  <w:sz w:val="20"/>
                </w:rPr>
                <w:t>Director Independence</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35">
              <w:r>
                <w:rPr>
                  <w:rStyle w:val="InternetLink"/>
                  <w:rFonts w:ascii="Times New Roman PS Std;serif" w:hAnsi="Times New Roman PS Std;serif"/>
                  <w:b w:val="false"/>
                  <w:i w:val="false"/>
                  <w:caps w:val="false"/>
                  <w:smallCaps w:val="false"/>
                  <w:sz w:val="20"/>
                </w:rPr>
                <w:t>Board Meetings and Committees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34">
              <w:r>
                <w:rPr>
                  <w:rStyle w:val="InternetLink"/>
                  <w:rFonts w:ascii="Times New Roman PS Std;serif" w:hAnsi="Times New Roman PS Std;serif"/>
                  <w:b w:val="false"/>
                  <w:i w:val="false"/>
                  <w:caps w:val="false"/>
                  <w:smallCaps w:val="false"/>
                  <w:sz w:val="20"/>
                </w:rPr>
                <w:t>Human Resources Committee Interlocks and Insider Participation</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33">
              <w:r>
                <w:rPr>
                  <w:rStyle w:val="InternetLink"/>
                  <w:rFonts w:ascii="Times New Roman PS Std;serif" w:hAnsi="Times New Roman PS Std;serif"/>
                  <w:b w:val="false"/>
                  <w:i w:val="false"/>
                  <w:caps w:val="false"/>
                  <w:smallCaps w:val="false"/>
                  <w:sz w:val="20"/>
                </w:rPr>
                <w:t>Anti-Hedging and Anti-Pledging Policy</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32">
              <w:r>
                <w:rPr>
                  <w:rStyle w:val="InternetLink"/>
                  <w:rFonts w:ascii="Times New Roman PS Std;serif" w:hAnsi="Times New Roman PS Std;serif"/>
                  <w:b w:val="false"/>
                  <w:i w:val="false"/>
                  <w:caps w:val="false"/>
                  <w:smallCaps w:val="false"/>
                  <w:sz w:val="20"/>
                </w:rPr>
                <w:t>Board Leadership Structure</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31">
              <w:r>
                <w:rPr>
                  <w:rStyle w:val="InternetLink"/>
                  <w:rFonts w:ascii="Times New Roman PS Std;serif" w:hAnsi="Times New Roman PS Std;serif"/>
                  <w:b w:val="false"/>
                  <w:i w:val="false"/>
                  <w:caps w:val="false"/>
                  <w:smallCaps w:val="false"/>
                  <w:sz w:val="20"/>
                </w:rPr>
                <w:t>Board of Directors’ Role in Risk Oversight</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30">
              <w:r>
                <w:rPr>
                  <w:rStyle w:val="InternetLink"/>
                  <w:rFonts w:ascii="Times New Roman PS Std;serif" w:hAnsi="Times New Roman PS Std;serif"/>
                  <w:b w:val="false"/>
                  <w:i w:val="false"/>
                  <w:caps w:val="false"/>
                  <w:smallCaps w:val="false"/>
                  <w:sz w:val="20"/>
                </w:rPr>
                <w:t>Cybersecurity Risk Oversight</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29">
              <w:r>
                <w:rPr>
                  <w:rStyle w:val="InternetLink"/>
                  <w:rFonts w:ascii="Times New Roman PS Std;serif" w:hAnsi="Times New Roman PS Std;serif"/>
                  <w:b w:val="false"/>
                  <w:i w:val="false"/>
                  <w:caps w:val="false"/>
                  <w:smallCaps w:val="false"/>
                  <w:sz w:val="20"/>
                </w:rPr>
                <w:t>Management Succession Planning</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28">
              <w:r>
                <w:rPr>
                  <w:rStyle w:val="InternetLink"/>
                  <w:rFonts w:ascii="Times New Roman PS Std;serif" w:hAnsi="Times New Roman PS Std;serif"/>
                  <w:b w:val="false"/>
                  <w:i w:val="false"/>
                  <w:caps w:val="false"/>
                  <w:smallCaps w:val="false"/>
                  <w:sz w:val="20"/>
                </w:rPr>
                <w:t>Oversight of Corporate Strategy</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27">
              <w:r>
                <w:rPr>
                  <w:rStyle w:val="InternetLink"/>
                  <w:rFonts w:ascii="Times New Roman PS Std;serif" w:hAnsi="Times New Roman PS Std;serif"/>
                  <w:b w:val="false"/>
                  <w:i w:val="false"/>
                  <w:caps w:val="false"/>
                  <w:smallCaps w:val="false"/>
                  <w:sz w:val="20"/>
                </w:rPr>
                <w:t>Process for Recommending Candidates for Election to the Board of Directors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26">
              <w:r>
                <w:rPr>
                  <w:rStyle w:val="InternetLink"/>
                  <w:rFonts w:ascii="Times New Roman PS Std;serif" w:hAnsi="Times New Roman PS Std;serif"/>
                  <w:b w:val="false"/>
                  <w:i w:val="false"/>
                  <w:caps w:val="false"/>
                  <w:smallCaps w:val="false"/>
                  <w:sz w:val="20"/>
                </w:rPr>
                <w:t>Proxy Access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25">
              <w:r>
                <w:rPr>
                  <w:rStyle w:val="InternetLink"/>
                  <w:rFonts w:ascii="Times New Roman PS Std;serif" w:hAnsi="Times New Roman PS Std;serif"/>
                  <w:b w:val="false"/>
                  <w:i w:val="false"/>
                  <w:caps w:val="false"/>
                  <w:smallCaps w:val="false"/>
                  <w:sz w:val="20"/>
                </w:rPr>
                <w:t>Attendance at Annual Meetings of Stockholders by the Board of Directors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24">
              <w:r>
                <w:rPr>
                  <w:rStyle w:val="InternetLink"/>
                  <w:rFonts w:ascii="Times New Roman PS Std;serif" w:hAnsi="Times New Roman PS Std;serif"/>
                  <w:b w:val="false"/>
                  <w:i w:val="false"/>
                  <w:caps w:val="false"/>
                  <w:smallCaps w:val="false"/>
                  <w:sz w:val="20"/>
                </w:rPr>
                <w:t>Contacting the Board of Directors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458" w:type="dxa"/>
            <w:tcBorders/>
            <w:shd w:fill="CCEEFF" w:val="clear"/>
            <w:vAlign w:val="bottom"/>
          </w:tcPr>
          <w:p>
            <w:pPr>
              <w:pStyle w:val="TableContents"/>
              <w:keepNext w:val="false"/>
              <w:widowControl/>
              <w:pBdr/>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EXECUTIVE OFFICERS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9458" w:type="dxa"/>
            <w:tcBorders/>
            <w:shd w:fill="auto" w:val="clear"/>
            <w:vAlign w:val="bottom"/>
          </w:tcPr>
          <w:p>
            <w:pPr>
              <w:pStyle w:val="TableContents"/>
              <w:keepNext w:val="false"/>
              <w:widowControl/>
              <w:pBdr/>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EXECUTIVE COMPENSATION</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23">
              <w:r>
                <w:rPr>
                  <w:rStyle w:val="InternetLink"/>
                  <w:rFonts w:ascii="Times New Roman PS Std;serif" w:hAnsi="Times New Roman PS Std;serif"/>
                  <w:b w:val="false"/>
                  <w:i w:val="false"/>
                  <w:caps w:val="false"/>
                  <w:smallCaps w:val="false"/>
                  <w:sz w:val="20"/>
                </w:rPr>
                <w:t>Compensation Discussion and Analysis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22">
              <w:r>
                <w:rPr>
                  <w:rStyle w:val="InternetLink"/>
                  <w:rFonts w:ascii="Times New Roman PS Std;serif" w:hAnsi="Times New Roman PS Std;serif"/>
                  <w:b w:val="false"/>
                  <w:i w:val="false"/>
                  <w:caps w:val="false"/>
                  <w:smallCaps w:val="false"/>
                  <w:sz w:val="20"/>
                </w:rPr>
                <w:t>Elements of Our Compensation Program</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21">
              <w:r>
                <w:rPr>
                  <w:rStyle w:val="InternetLink"/>
                  <w:rFonts w:ascii="Times New Roman PS Std;serif" w:hAnsi="Times New Roman PS Std;serif"/>
                  <w:b w:val="false"/>
                  <w:i w:val="false"/>
                  <w:caps w:val="false"/>
                  <w:smallCaps w:val="false"/>
                  <w:sz w:val="20"/>
                </w:rPr>
                <w:t>Determining the Amount of Elements of Executives’ Compensation in 2022</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20">
              <w:r>
                <w:rPr>
                  <w:rStyle w:val="InternetLink"/>
                  <w:rFonts w:ascii="Times New Roman PS Std;serif" w:hAnsi="Times New Roman PS Std;serif"/>
                  <w:b w:val="false"/>
                  <w:i w:val="false"/>
                  <w:caps w:val="false"/>
                  <w:smallCaps w:val="false"/>
                  <w:sz w:val="20"/>
                </w:rPr>
                <w:t>Human Resources Committee Report</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19">
              <w:r>
                <w:rPr>
                  <w:rStyle w:val="InternetLink"/>
                  <w:rFonts w:ascii="Times New Roman PS Std;serif" w:hAnsi="Times New Roman PS Std;serif"/>
                  <w:b w:val="false"/>
                  <w:i w:val="false"/>
                  <w:caps w:val="false"/>
                  <w:smallCaps w:val="false"/>
                  <w:sz w:val="20"/>
                </w:rPr>
                <w:t>2022 Summary Compensation Table</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18">
              <w:r>
                <w:rPr>
                  <w:rStyle w:val="InternetLink"/>
                  <w:rFonts w:ascii="Times New Roman PS Std;serif" w:hAnsi="Times New Roman PS Std;serif"/>
                  <w:b w:val="false"/>
                  <w:i w:val="false"/>
                  <w:caps w:val="false"/>
                  <w:smallCaps w:val="false"/>
                  <w:sz w:val="20"/>
                </w:rPr>
                <w:t>Grants of Plan-Based Awards in 2022 Table</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17">
              <w:r>
                <w:rPr>
                  <w:rStyle w:val="InternetLink"/>
                  <w:rFonts w:ascii="Times New Roman PS Std;serif" w:hAnsi="Times New Roman PS Std;serif"/>
                  <w:b w:val="false"/>
                  <w:i w:val="false"/>
                  <w:caps w:val="false"/>
                  <w:smallCaps w:val="false"/>
                  <w:sz w:val="20"/>
                </w:rPr>
                <w:t>Outstanding Equity Awards at 2022 Fiscal Year-End Table</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16">
              <w:r>
                <w:rPr>
                  <w:rStyle w:val="InternetLink"/>
                  <w:rFonts w:ascii="Times New Roman PS Std;serif" w:hAnsi="Times New Roman PS Std;serif"/>
                  <w:b w:val="false"/>
                  <w:i w:val="false"/>
                  <w:caps w:val="false"/>
                  <w:smallCaps w:val="false"/>
                  <w:sz w:val="20"/>
                </w:rPr>
                <w:t>2022 Option Exercises and Stock Vested Table</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15">
              <w:r>
                <w:rPr>
                  <w:rStyle w:val="InternetLink"/>
                  <w:rFonts w:ascii="Times New Roman PS Std;serif" w:hAnsi="Times New Roman PS Std;serif"/>
                  <w:b w:val="false"/>
                  <w:i w:val="false"/>
                  <w:caps w:val="false"/>
                  <w:smallCaps w:val="false"/>
                  <w:sz w:val="20"/>
                </w:rPr>
                <w:t>Potential Payments Upon Termination or Change of Control</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14">
              <w:r>
                <w:rPr>
                  <w:rStyle w:val="InternetLink"/>
                  <w:rFonts w:ascii="Times New Roman PS Std;serif" w:hAnsi="Times New Roman PS Std;serif"/>
                  <w:b w:val="false"/>
                  <w:i w:val="false"/>
                  <w:caps w:val="false"/>
                  <w:smallCaps w:val="false"/>
                  <w:sz w:val="20"/>
                </w:rPr>
                <w:t>Pay Versus Performance</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13">
              <w:r>
                <w:rPr>
                  <w:rStyle w:val="InternetLink"/>
                  <w:rFonts w:ascii="Times New Roman PS Std;serif" w:hAnsi="Times New Roman PS Std;serif"/>
                  <w:b w:val="false"/>
                  <w:i w:val="false"/>
                  <w:caps w:val="false"/>
                  <w:smallCaps w:val="false"/>
                  <w:sz w:val="20"/>
                </w:rPr>
                <w:t>CEO Pay Ratio Disclosure</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12">
              <w:r>
                <w:rPr>
                  <w:rStyle w:val="InternetLink"/>
                  <w:rFonts w:ascii="Times New Roman PS Std;serif" w:hAnsi="Times New Roman PS Std;serif"/>
                  <w:b w:val="false"/>
                  <w:i w:val="false"/>
                  <w:caps w:val="false"/>
                  <w:smallCaps w:val="false"/>
                  <w:sz w:val="20"/>
                </w:rPr>
                <w:t>Compensation of Directors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11">
              <w:r>
                <w:rPr>
                  <w:rStyle w:val="InternetLink"/>
                  <w:rFonts w:ascii="Times New Roman PS Std;serif" w:hAnsi="Times New Roman PS Std;serif"/>
                  <w:b w:val="false"/>
                  <w:i w:val="false"/>
                  <w:caps w:val="false"/>
                  <w:smallCaps w:val="false"/>
                  <w:sz w:val="20"/>
                </w:rPr>
                <w:t>Equity Compensation Plan Information</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ii</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358" w:type="dxa"/>
        <w:jc w:val="left"/>
        <w:tblInd w:w="0" w:type="dxa"/>
        <w:tblCellMar>
          <w:top w:w="0" w:type="dxa"/>
          <w:left w:w="0" w:type="dxa"/>
          <w:bottom w:w="0" w:type="dxa"/>
          <w:right w:w="0" w:type="dxa"/>
        </w:tblCellMar>
      </w:tblPr>
      <w:tblGrid>
        <w:gridCol w:w="5611"/>
        <w:gridCol w:w="146"/>
        <w:gridCol w:w="601"/>
      </w:tblGrid>
      <w:tr>
        <w:trPr/>
        <w:tc>
          <w:tcPr>
            <w:tcW w:w="561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Page</w:t>
            </w:r>
          </w:p>
        </w:tc>
      </w:tr>
      <w:tr>
        <w:trPr/>
        <w:tc>
          <w:tcPr>
            <w:tcW w:w="5611" w:type="dxa"/>
            <w:tcBorders/>
            <w:shd w:fill="CCEEFF" w:val="clear"/>
            <w:vAlign w:val="bottom"/>
          </w:tcPr>
          <w:p>
            <w:pPr>
              <w:pStyle w:val="TableContents"/>
              <w:keepNext w:val="false"/>
              <w:widowControl/>
              <w:pBdr/>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CERTAIN RELATIONSHIPS AND RELATED TRANSACTIONS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r>
      <w:tr>
        <w:trPr/>
        <w:tc>
          <w:tcPr>
            <w:tcW w:w="5611" w:type="dxa"/>
            <w:tcBorders/>
            <w:shd w:fill="auto" w:val="clear"/>
            <w:vAlign w:val="bottom"/>
          </w:tcPr>
          <w:p>
            <w:pPr>
              <w:pStyle w:val="TableContents"/>
              <w:keepNext w:val="false"/>
              <w:widowControl/>
              <w:pBdr/>
              <w:spacing w:before="0" w:after="283"/>
              <w:ind w:left="400" w:right="0" w:hanging="200"/>
              <w:jc w:val="left"/>
              <w:rPr/>
            </w:pPr>
            <w:hyperlink w:anchor="T10">
              <w:r>
                <w:rPr>
                  <w:rStyle w:val="InternetLink"/>
                  <w:rFonts w:ascii="Times New Roman PS Std;serif" w:hAnsi="Times New Roman PS Std;serif"/>
                  <w:b w:val="false"/>
                  <w:i w:val="false"/>
                  <w:caps w:val="false"/>
                  <w:smallCaps w:val="false"/>
                  <w:sz w:val="20"/>
                </w:rPr>
                <w:t>Related-Person Transactions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r>
      <w:tr>
        <w:trPr/>
        <w:tc>
          <w:tcPr>
            <w:tcW w:w="5611" w:type="dxa"/>
            <w:tcBorders/>
            <w:shd w:fill="CCEEFF" w:val="clear"/>
            <w:vAlign w:val="bottom"/>
          </w:tcPr>
          <w:p>
            <w:pPr>
              <w:pStyle w:val="TableContents"/>
              <w:keepNext w:val="false"/>
              <w:widowControl/>
              <w:pBdr/>
              <w:spacing w:before="0" w:after="283"/>
              <w:ind w:left="400" w:right="0" w:hanging="200"/>
              <w:jc w:val="left"/>
              <w:rPr/>
            </w:pPr>
            <w:hyperlink w:anchor="T9">
              <w:r>
                <w:rPr>
                  <w:rStyle w:val="InternetLink"/>
                  <w:rFonts w:ascii="Times New Roman PS Std;serif" w:hAnsi="Times New Roman PS Std;serif"/>
                  <w:b w:val="false"/>
                  <w:i w:val="false"/>
                  <w:caps w:val="false"/>
                  <w:smallCaps w:val="false"/>
                  <w:sz w:val="20"/>
                </w:rPr>
                <w:t>Review of Related-Person Transactions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r>
      <w:tr>
        <w:trPr/>
        <w:tc>
          <w:tcPr>
            <w:tcW w:w="5611" w:type="dxa"/>
            <w:tcBorders/>
            <w:shd w:fill="auto" w:val="clear"/>
            <w:vAlign w:val="bottom"/>
          </w:tcPr>
          <w:p>
            <w:pPr>
              <w:pStyle w:val="TableContents"/>
              <w:keepNext w:val="false"/>
              <w:widowControl/>
              <w:pBdr/>
              <w:spacing w:before="0" w:after="283"/>
              <w:ind w:left="200" w:right="0" w:hanging="200"/>
              <w:jc w:val="left"/>
              <w:rPr/>
            </w:pPr>
            <w:hyperlink w:anchor="T99134">
              <w:r>
                <w:rPr>
                  <w:rStyle w:val="InternetLink"/>
                  <w:rFonts w:ascii="Times New Roman PS Std;serif" w:hAnsi="Times New Roman PS Std;serif"/>
                  <w:b w:val="false"/>
                  <w:i w:val="false"/>
                  <w:caps w:val="false"/>
                  <w:smallCaps w:val="false"/>
                  <w:sz w:val="20"/>
                </w:rPr>
                <w:t>DELINQUENT SECTION 16(A) REPORTS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5611" w:type="dxa"/>
            <w:tcBorders/>
            <w:shd w:fill="CCEEFF" w:val="clear"/>
            <w:vAlign w:val="bottom"/>
          </w:tcPr>
          <w:p>
            <w:pPr>
              <w:pStyle w:val="TableContents"/>
              <w:keepNext w:val="false"/>
              <w:widowControl/>
              <w:pBdr/>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OWNERSHIP OF SECURITIES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r>
      <w:tr>
        <w:trPr/>
        <w:tc>
          <w:tcPr>
            <w:tcW w:w="5611" w:type="dxa"/>
            <w:tcBorders/>
            <w:shd w:fill="auto" w:val="clear"/>
            <w:vAlign w:val="bottom"/>
          </w:tcPr>
          <w:p>
            <w:pPr>
              <w:pStyle w:val="TableContents"/>
              <w:keepNext w:val="false"/>
              <w:widowControl/>
              <w:pBdr/>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AUDIT COMMITTEE REPORT</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5611" w:type="dxa"/>
            <w:tcBorders/>
            <w:shd w:fill="CCEEFF" w:val="clear"/>
            <w:vAlign w:val="bottom"/>
          </w:tcPr>
          <w:p>
            <w:pPr>
              <w:pStyle w:val="TableContents"/>
              <w:keepNext w:val="false"/>
              <w:widowControl/>
              <w:pBdr/>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OTHER MATTERS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5611" w:type="dxa"/>
            <w:tcBorders/>
            <w:shd w:fill="auto" w:val="clear"/>
            <w:vAlign w:val="bottom"/>
          </w:tcPr>
          <w:p>
            <w:pPr>
              <w:pStyle w:val="TableContents"/>
              <w:keepNext w:val="false"/>
              <w:widowControl/>
              <w:pBdr/>
              <w:spacing w:before="0" w:after="283"/>
              <w:ind w:left="200" w:right="0" w:hanging="200"/>
              <w:jc w:val="left"/>
              <w:rPr/>
            </w:pPr>
            <w:hyperlink w:anchor="T99135">
              <w:r>
                <w:rPr>
                  <w:rStyle w:val="InternetLink"/>
                  <w:rFonts w:ascii="Times New Roman PS Std;serif" w:hAnsi="Times New Roman PS Std;serif"/>
                  <w:b w:val="false"/>
                  <w:i w:val="false"/>
                  <w:caps w:val="false"/>
                  <w:smallCaps w:val="false"/>
                  <w:sz w:val="20"/>
                </w:rPr>
                <w:t>APPENDIX A — MAJORITY VOTING AMENDMENT</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5611" w:type="dxa"/>
            <w:tcBorders/>
            <w:shd w:fill="CCEEFF" w:val="clear"/>
            <w:vAlign w:val="bottom"/>
          </w:tcPr>
          <w:p>
            <w:pPr>
              <w:pStyle w:val="TableContents"/>
              <w:keepNext w:val="false"/>
              <w:widowControl/>
              <w:pBdr/>
              <w:spacing w:before="0" w:after="283"/>
              <w:ind w:left="200" w:right="0" w:hanging="200"/>
              <w:jc w:val="left"/>
              <w:rPr/>
            </w:pPr>
            <w:hyperlink w:anchor="T99136">
              <w:r>
                <w:rPr>
                  <w:rStyle w:val="InternetLink"/>
                  <w:rFonts w:ascii="Times New Roman PS Std;serif" w:hAnsi="Times New Roman PS Std;serif"/>
                  <w:b w:val="false"/>
                  <w:i w:val="false"/>
                  <w:caps w:val="false"/>
                  <w:smallCaps w:val="false"/>
                  <w:sz w:val="20"/>
                </w:rPr>
                <w:t>APPENDIX B — OFFICER EXCULPATION AMENDMENT</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w:t>
            </w:r>
          </w:p>
        </w:tc>
      </w:tr>
    </w:tbl>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Forward-Looking Statements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includes forward-looking statements. These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For a discussion of some of the risks and important factors that could affect our future results and financial condition, see “Risk Factors” in our Annual Report on Form 10-K for the year ended December 31, 2022.</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iii</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br/>
        <w:t>FOR 2023 ANNUAL MEETING OF STOCKHOLDERS</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 w:name="T99100"/>
      <w:bookmarkEnd w:id="3"/>
      <w:r>
        <w:rPr>
          <w:rFonts w:ascii="Times New Roman PS Std;serif" w:hAnsi="Times New Roman PS Std;serif"/>
          <w:b/>
          <w:i w:val="false"/>
          <w:caps w:val="false"/>
          <w:smallCaps w:val="false"/>
          <w:sz w:val="20"/>
        </w:rPr>
        <w:t>PROXY SUMMARY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highlights information contained elsewhere in this Proxy Statement for the Annual Meeting (this “Proxy Statement”). This summary does not contain all of the information that you should consider, and you should read the entire Proxy Statement carefully before voting. References to our website in this Proxy Statement are not intended to function as hyperlinks and the information contained on our website is not intended to be incorporated into this Proxy Statement. In this Proxy Statement, we refer to Fortinet, Inc. as “Fortinet,” “we,” “us” or “our.”</w:t>
      </w:r>
    </w:p>
    <w:p>
      <w:pPr>
        <w:pStyle w:val="TextBody"/>
        <w:keepNext w:val="true"/>
        <w:pageBreakBefore w:val="false"/>
        <w:widowControl/>
        <w:pBdr/>
        <w:spacing w:before="240" w:after="283"/>
        <w:jc w:val="left"/>
        <w:rPr>
          <w:rFonts w:ascii="Times New Roman PS Std;serif" w:hAnsi="Times New Roman PS Std;serif"/>
          <w:b/>
          <w:i w:val="false"/>
          <w:caps/>
          <w:sz w:val="20"/>
        </w:rPr>
      </w:pPr>
      <w:r>
        <w:rPr>
          <w:rFonts w:ascii="Times New Roman PS Std;serif" w:hAnsi="Times New Roman PS Std;serif"/>
          <w:b/>
          <w:i w:val="false"/>
          <w:caps/>
          <w:sz w:val="20"/>
        </w:rPr>
        <w:t>Financial and Business Highlights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list below highlights our financial highlights for 2022.</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Total revenue was $4.42 billion for 2022, an increase of 32% compared to $3.34 billion in 2021.</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 revenue was $1.78 billion for 2022, an increase of 42% compared to $1.26 billion in 2021.</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Service revenue was $2.64 billion for 2022, an increase of 26% compared to $2.09 billion in 2021.</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Total gross profit was $3.33 billion in 2022, an increase of 30% compared to $2.56 billion in 2021.</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Operating income was $969.6 million in 2022, an increase of 49% compared to $650.4 million in 2021.</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Cash flows from operating activities were $1.73 billion in 2022, an increase of $230.9 million, or 15%, compared to 2021.</w:t>
      </w:r>
    </w:p>
    <w:p>
      <w:pPr>
        <w:pStyle w:val="TextBody"/>
        <w:keepNext w:val="true"/>
        <w:pageBreakBefore w:val="false"/>
        <w:widowControl/>
        <w:pBdr/>
        <w:spacing w:before="240" w:after="283"/>
        <w:jc w:val="left"/>
        <w:rPr>
          <w:rFonts w:ascii="Times New Roman PS Std;serif" w:hAnsi="Times New Roman PS Std;serif"/>
          <w:b/>
          <w:i w:val="false"/>
          <w:caps/>
          <w:sz w:val="20"/>
        </w:rPr>
      </w:pPr>
      <w:r>
        <w:rPr>
          <w:rFonts w:ascii="Times New Roman PS Std;serif" w:hAnsi="Times New Roman PS Std;serif"/>
          <w:b/>
          <w:i w:val="false"/>
          <w:caps/>
          <w:sz w:val="20"/>
        </w:rPr>
        <w:t>CORPORATE Social RESPONSIBILITY Highlights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corporate social responsibility (“CSR”) and responsible environmental, social and governance (“ESG”) practices. The list below includes some of our CSR and ESG highlights for 2022, as discussed further in this Proxy Statement.</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formally signed on to the Science-Based Target Initiative commitment in September 2022.</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have engaged with a consultancy to measure our Scope 3 emissions.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implemented an Environmental Management Systems platform to track our energy, water and waste impact, and engage on the ISO14001 certification process for largest, company-owned warehouse in Union City, California.</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is comprised of directors with diverse backgrounds and experiences. More than 50% of our directors self-report racial diversity and 25% self-report gender diversity.</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Social Responsibility Committee of the Board of Directors (the “Social Responsibility Committee”) helps ensure corporate social responsibility is a high priority of ours and is reviewed and supported at the highest level.</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publicly issued our 2022 Sustainability Report detailing our progress on sustainability matters.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2022, we were named to the Dow Jones Sustainability World and North America Indices among the top sustainable companies in the software industry.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GOVERNANCE AND BOARD HIGHLIGHTS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good corporate governance, which strengthens the accountability of the Board of Directors and promotes the long-term interests of our stockholders. The list below highlights our independent board and leadership practices, as discussed further in this Proxy Statement.</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majority of our directors are independent (six out of eight current directors).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Lead Independent Director is elected annually, to serve and function separately from the Chairman of the Board of Directors.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committees of the Board of Directors are composed of independent directors, with the exception of the Social Responsibility Committee.</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is focused on enhancing diversity, equity and inclusion. Management frequently presents to the Human Resources Committee of the Board of Directors on progress around diversity, equity and inclusion initiatives.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Social Responsibility Committee oversees our Corporate Social Responsibility (“CSR”) strategy, initiatives and execution related to ESG practices.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focuses on broad risk oversight practices, including CSR, cybersecurity, data privacy, legal and regulatory matters, and other critical evolving areas.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regularly reviews our governance practices. Over the years, on its own initiative, the Board of Directors has made adjustments to our corporate governance practices as we have matured as a public company, such as changing from a Board of Directors with three-year staggered terms for each director, to one-year terms.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Following feedback from our stockholders at our 2022 annual meeting of stockholders (the “2022 Annual Meeting”) on supermajority voting, the Board of Directors has recommended that our stockholders adopt an amendment (the “Majority Voting Amendment”) to our current amended and restated certificate of incorporation (the “Current Certificate”) in order to remove the supermajority voting requirement in our Current Certificate. The Board of Directors has also approved amended and restated bylaws (the “Restated Bylaws”), which shall become effective contingent upon and subject to the effectiveness of the filing of the Majority Voting Amendment with the Delaware Secretary of State after its adoption by our stockholders, to remove the supermajority voting requirement in our current amended and restated bylaws (the “Current Bylaws”). Information regarding this proposal can be found under the section titled “Proposal Four — Adoption of an Amendment to the Current Certificate to Remove the Supermajority Voting Requirement.”</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Independent directors conduct regular executive sessions.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directors maintain open communication and strong working relationships among themselves and have regular access to management.</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conducts a robust annual Board of Directors and committee self-assessment process.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has related-party transaction standards for any direct or indirect involvement of a director in our business activities.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non-employee directors are required to hold shares of our common stock pursuant to our Stock Ownership Guidelines for our non-employee directors.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ENGAGEMENT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and our executive management team are committed to actively engaging with our stockholders and maintaining a regular dialogue with our stockholders. We meet with current stockholders and prospective stockholders through meetings at our headquarters, investor conferences, roadshows and via videoconferences. These meetings allow stockholders the opportunity to provide feedback on our financial performance, corporate governance, executive compensation, environmental and sustainability matters and corporate responsibility initiatives. Members of the Board of Directors and our executive management and investor relations teams participate in meetings with stockholders. In 2022, we engaged in discussions with approximately 145 stockholders representing approximately 48% of our institutional share count.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themes from our engagement with stockholders and the actions we took in response include:</w:t>
      </w:r>
    </w:p>
    <w:tbl>
      <w:tblPr>
        <w:tblW w:w="10205" w:type="dxa"/>
        <w:jc w:val="left"/>
        <w:tblInd w:w="0" w:type="dxa"/>
        <w:tblCellMar>
          <w:top w:w="0" w:type="dxa"/>
          <w:left w:w="0" w:type="dxa"/>
          <w:bottom w:w="0" w:type="dxa"/>
          <w:right w:w="0" w:type="dxa"/>
        </w:tblCellMar>
      </w:tblPr>
      <w:tblGrid>
        <w:gridCol w:w="1923"/>
        <w:gridCol w:w="146"/>
        <w:gridCol w:w="4197"/>
        <w:gridCol w:w="146"/>
        <w:gridCol w:w="3793"/>
      </w:tblGrid>
      <w:tr>
        <w:trPr/>
        <w:tc>
          <w:tcPr>
            <w:tcW w:w="1923"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Theme</w:t>
            </w:r>
          </w:p>
        </w:tc>
        <w:tc>
          <w:tcPr>
            <w:tcW w:w="146" w:type="dxa"/>
            <w:tcBorders/>
            <w:shd w:fill="auto" w:val="clear"/>
            <w:vAlign w:val="bottom"/>
          </w:tcPr>
          <w:p>
            <w:pPr>
              <w:pStyle w:val="TableContents"/>
              <w:spacing w:before="0" w:after="283"/>
              <w:rPr/>
            </w:pPr>
            <w:r>
              <w:rPr/>
              <w:t> </w:t>
            </w:r>
          </w:p>
        </w:tc>
        <w:tc>
          <w:tcPr>
            <w:tcW w:w="4197"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What We Heard</w:t>
            </w:r>
          </w:p>
        </w:tc>
        <w:tc>
          <w:tcPr>
            <w:tcW w:w="146" w:type="dxa"/>
            <w:tcBorders/>
            <w:shd w:fill="auto" w:val="clear"/>
            <w:vAlign w:val="bottom"/>
          </w:tcPr>
          <w:p>
            <w:pPr>
              <w:pStyle w:val="TableContents"/>
              <w:spacing w:before="0" w:after="283"/>
              <w:rPr/>
            </w:pPr>
            <w:r>
              <w:rPr/>
              <w:t> </w:t>
            </w:r>
          </w:p>
        </w:tc>
        <w:tc>
          <w:tcPr>
            <w:tcW w:w="3793"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How We Responded</w:t>
            </w:r>
          </w:p>
        </w:tc>
      </w:tr>
      <w:tr>
        <w:trPr/>
        <w:tc>
          <w:tcPr>
            <w:tcW w:w="1923" w:type="dxa"/>
            <w:tcBorders/>
            <w:shd w:fill="auto" w:val="clear"/>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Compensation</w:t>
            </w:r>
          </w:p>
        </w:tc>
        <w:tc>
          <w:tcPr>
            <w:tcW w:w="146" w:type="dxa"/>
            <w:tcBorders/>
            <w:shd w:fill="auto" w:val="clear"/>
          </w:tcPr>
          <w:p>
            <w:pPr>
              <w:pStyle w:val="TableContents"/>
              <w:spacing w:before="0" w:after="283"/>
              <w:rPr/>
            </w:pPr>
            <w:r>
              <w:rPr/>
              <w:t> </w:t>
            </w:r>
          </w:p>
        </w:tc>
        <w:tc>
          <w:tcPr>
            <w:tcW w:w="4197"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preferred executives be awarded performance stock units (“PSUs”) pursuant to our long-term incentive compensation plan.</w:t>
            </w:r>
          </w:p>
        </w:tc>
        <w:tc>
          <w:tcPr>
            <w:tcW w:w="146" w:type="dxa"/>
            <w:tcBorders/>
            <w:shd w:fill="auto" w:val="clear"/>
          </w:tcPr>
          <w:p>
            <w:pPr>
              <w:pStyle w:val="TableContents"/>
              <w:spacing w:before="0" w:after="283"/>
              <w:rPr/>
            </w:pPr>
            <w:r>
              <w:rPr/>
              <w:t> </w:t>
            </w:r>
          </w:p>
        </w:tc>
        <w:tc>
          <w:tcPr>
            <w:tcW w:w="3793"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2023, we introduced PSUs with performance metrics and a four-year vesting period for the senior management team pursuant to our long-term incentive compensation plan. </w:t>
            </w:r>
          </w:p>
        </w:tc>
      </w:tr>
      <w:tr>
        <w:trPr/>
        <w:tc>
          <w:tcPr>
            <w:tcW w:w="1923"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4197"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793"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senior management grants in 2023, 50% of the long-term incentive compensation plan is comprised of PSUs and the remainder is time-based restricted stock units.</w:t>
            </w:r>
          </w:p>
        </w:tc>
      </w:tr>
      <w:tr>
        <w:trPr/>
        <w:tc>
          <w:tcPr>
            <w:tcW w:w="1923"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ESG and Sustainability</w:t>
            </w:r>
          </w:p>
        </w:tc>
        <w:tc>
          <w:tcPr>
            <w:tcW w:w="146" w:type="dxa"/>
            <w:tcBorders/>
            <w:shd w:fill="auto" w:val="clear"/>
          </w:tcPr>
          <w:p>
            <w:pPr>
              <w:pStyle w:val="TableContents"/>
              <w:spacing w:before="0" w:after="283"/>
              <w:rPr/>
            </w:pPr>
            <w:r>
              <w:rPr/>
              <w:t> </w:t>
            </w:r>
          </w:p>
        </w:tc>
        <w:tc>
          <w:tcPr>
            <w:tcW w:w="4197"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Stockholders were pleased with our progress on ESG and sustainability matters, including our efforts to align with the Task Force on Climate-Related Financial Disclosures (“TCFD”), the Science Based Targets initiative (“SBTi”) and Sustainability Accounting Standards Board frameworks as well as our disclosure of EEO-1 data. </w:t>
            </w:r>
          </w:p>
        </w:tc>
        <w:tc>
          <w:tcPr>
            <w:tcW w:w="146" w:type="dxa"/>
            <w:tcBorders/>
            <w:shd w:fill="auto" w:val="clear"/>
          </w:tcPr>
          <w:p>
            <w:pPr>
              <w:pStyle w:val="TableContents"/>
              <w:spacing w:before="0" w:after="283"/>
              <w:rPr/>
            </w:pPr>
            <w:r>
              <w:rPr/>
              <w:t> </w:t>
            </w:r>
          </w:p>
        </w:tc>
        <w:tc>
          <w:tcPr>
            <w:tcW w:w="3793"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2021, in alignment with SBTi methodology, we publicly committed to reach net zero on our Scope 1 and 2 emissions by 2030 and pledged to increase our climate disclosures. </w:t>
            </w:r>
          </w:p>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2022, we aligned with TCFD recommendations and participated in Carbon Disclosure Project reporting to increase the transparency of our environmental disclosures. We signed the SBTi commitment letter. </w:t>
            </w:r>
          </w:p>
        </w:tc>
      </w:tr>
      <w:tr>
        <w:trPr/>
        <w:tc>
          <w:tcPr>
            <w:tcW w:w="1923"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4197"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recommended that we continue to enhance our ESG and sustainability disclosures.</w:t>
            </w:r>
          </w:p>
        </w:tc>
        <w:tc>
          <w:tcPr>
            <w:tcW w:w="146" w:type="dxa"/>
            <w:tcBorders/>
            <w:shd w:fill="auto" w:val="clear"/>
          </w:tcPr>
          <w:p>
            <w:pPr>
              <w:pStyle w:val="TableContents"/>
              <w:spacing w:before="0" w:after="283"/>
              <w:rPr/>
            </w:pPr>
            <w:r>
              <w:rPr/>
              <w:t> </w:t>
            </w:r>
          </w:p>
        </w:tc>
        <w:tc>
          <w:tcPr>
            <w:tcW w:w="3793"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continued to reduce the environmental footprint of our products. In 2022, we released the FortiGate 1000F, which consumes 80% less power than competing products and began to use 100% bio-degradable packaging in low-end FortiGate models. </w:t>
            </w:r>
          </w:p>
        </w:tc>
      </w:tr>
      <w:tr>
        <w:trPr/>
        <w:tc>
          <w:tcPr>
            <w:tcW w:w="1923"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4197"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793"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publicly issued our 2022 Sustainability Report.</w:t>
            </w:r>
          </w:p>
        </w:tc>
      </w:tr>
      <w:tr>
        <w:trPr/>
        <w:tc>
          <w:tcPr>
            <w:tcW w:w="1923" w:type="dxa"/>
            <w:tcBorders/>
            <w:shd w:fill="auto" w:val="clear"/>
          </w:tcPr>
          <w:p>
            <w:pPr>
              <w:pStyle w:val="TableContents"/>
              <w:keepNext w:val="false"/>
              <w:widowControl/>
              <w:pBdr/>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Outside Board Commitments</w:t>
            </w:r>
          </w:p>
        </w:tc>
        <w:tc>
          <w:tcPr>
            <w:tcW w:w="146" w:type="dxa"/>
            <w:tcBorders/>
            <w:shd w:fill="auto" w:val="clear"/>
          </w:tcPr>
          <w:p>
            <w:pPr>
              <w:pStyle w:val="TableContents"/>
              <w:spacing w:before="0" w:after="283"/>
              <w:rPr/>
            </w:pPr>
            <w:r>
              <w:rPr/>
              <w:t> </w:t>
            </w:r>
          </w:p>
        </w:tc>
        <w:tc>
          <w:tcPr>
            <w:tcW w:w="4197"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stockholders mentioned that one director was not in compliance with the stockholders’ “overboarding” policies.</w:t>
            </w:r>
          </w:p>
        </w:tc>
        <w:tc>
          <w:tcPr>
            <w:tcW w:w="146" w:type="dxa"/>
            <w:tcBorders/>
            <w:shd w:fill="auto" w:val="clear"/>
          </w:tcPr>
          <w:p>
            <w:pPr>
              <w:pStyle w:val="TableContents"/>
              <w:spacing w:before="0" w:after="283"/>
              <w:rPr/>
            </w:pPr>
            <w:r>
              <w:rPr/>
              <w:t> </w:t>
            </w:r>
          </w:p>
        </w:tc>
        <w:tc>
          <w:tcPr>
            <w:tcW w:w="3793"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2022, the director in question stepped down from one board position.</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7609"/>
        <w:gridCol w:w="146"/>
        <w:gridCol w:w="2450"/>
      </w:tblGrid>
      <w:tr>
        <w:trPr/>
        <w:tc>
          <w:tcPr>
            <w:tcW w:w="7609"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ONE</w:t>
            </w:r>
          </w:p>
        </w:tc>
        <w:tc>
          <w:tcPr>
            <w:tcW w:w="146" w:type="dxa"/>
            <w:tcBorders/>
            <w:shd w:fill="auto" w:val="clear"/>
            <w:vAlign w:val="bottom"/>
          </w:tcPr>
          <w:p>
            <w:pPr>
              <w:pStyle w:val="TableContents"/>
              <w:spacing w:before="0" w:after="283"/>
              <w:rPr/>
            </w:pPr>
            <w:r>
              <w:rPr/>
              <w:t> </w:t>
            </w:r>
          </w:p>
        </w:tc>
        <w:tc>
          <w:tcPr>
            <w:tcW w:w="2450" w:type="dxa"/>
            <w:vMerge w:val="restart"/>
            <w:tcBorders/>
            <w:shd w:fill="auto" w:val="clear"/>
            <w:vAlign w:val="center"/>
          </w:tcPr>
          <w:p>
            <w:pPr>
              <w:pStyle w:val="TableContents"/>
              <w:keepNext w:val="false"/>
              <w:widowControl/>
              <w:pBdr/>
              <w:jc w:val="center"/>
              <w:rPr>
                <w:caps w:val="false"/>
                <w:smallCaps w:val="false"/>
              </w:rPr>
            </w:pPr>
            <w:r>
              <w:rPr>
                <w:caps w:val="false"/>
                <w:smallCaps w:val="false"/>
              </w:rPr>
              <w:drawing>
                <wp:inline distT="0" distB="0" distL="0" distR="0">
                  <wp:extent cx="266700" cy="2774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6700" cy="277495"/>
                          </a:xfrm>
                          <a:prstGeom prst="rect">
                            <a:avLst/>
                          </a:prstGeom>
                        </pic:spPr>
                      </pic:pic>
                    </a:graphicData>
                  </a:graphic>
                </wp:inline>
              </w:drawing>
            </w:r>
          </w:p>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BOARD’S </w:t>
              <w:br/>
              <w:t xml:space="preserve">RECOMMENDATION: </w:t>
              <w:br/>
              <w:t>“FOR” each of the nominees</w:t>
            </w:r>
          </w:p>
        </w:tc>
      </w:tr>
      <w:tr>
        <w:trPr/>
        <w:tc>
          <w:tcPr>
            <w:tcW w:w="7609"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OF DIRECTORS</w:t>
            </w:r>
          </w:p>
        </w:tc>
        <w:tc>
          <w:tcPr>
            <w:tcW w:w="146" w:type="dxa"/>
            <w:tcBorders/>
            <w:shd w:fill="auto" w:val="clear"/>
            <w:vAlign w:val="bottom"/>
          </w:tcPr>
          <w:p>
            <w:pPr>
              <w:pStyle w:val="TableContents"/>
              <w:spacing w:before="0" w:after="283"/>
              <w:rPr/>
            </w:pPr>
            <w:r>
              <w:rPr/>
              <w:t> </w:t>
            </w:r>
          </w:p>
        </w:tc>
        <w:tc>
          <w:tcPr>
            <w:tcW w:w="2450" w:type="dxa"/>
            <w:vMerge w:val="continue"/>
            <w:tcBorders/>
            <w:shd w:fill="auto" w:val="clear"/>
            <w:vAlign w:val="center"/>
          </w:tcPr>
          <w:p>
            <w:pPr>
              <w:pStyle w:val="Normal"/>
              <w:rPr/>
            </w:pPr>
            <w:r>
              <w:rPr/>
            </w:r>
          </w:p>
        </w:tc>
      </w:tr>
      <w:tr>
        <w:trPr/>
        <w:tc>
          <w:tcPr>
            <w:tcW w:w="7609"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our stockholders to elect eight directors for a one-year term expiring at Fortinet’s 2024 Annual Meeting of Stockholders (the “2024 Annual Meeting”) and until such director’s successor is duly elected and qualified or until such director’s earlier death, resignation, disqualification or removal. The table below sets forth information with respect to our eight nominees standing for election. All of the nominees are currently serving as directors. Additional information about our director nominees and their respective qualifications can be found under the section titled “Proposal One — Election of Directors — Nominees to the Board of Directors.”</w:t>
            </w:r>
          </w:p>
        </w:tc>
        <w:tc>
          <w:tcPr>
            <w:tcW w:w="146" w:type="dxa"/>
            <w:tcBorders/>
            <w:shd w:fill="auto" w:val="clear"/>
            <w:vAlign w:val="bottom"/>
          </w:tcPr>
          <w:p>
            <w:pPr>
              <w:pStyle w:val="TableContents"/>
              <w:spacing w:before="0" w:after="283"/>
              <w:rPr/>
            </w:pPr>
            <w:r>
              <w:rPr/>
              <w:t> </w:t>
            </w:r>
          </w:p>
        </w:tc>
        <w:tc>
          <w:tcPr>
            <w:tcW w:w="2450" w:type="dxa"/>
            <w:vMerge w:val="continue"/>
            <w:tcBorders/>
            <w:shd w:fill="auto" w:val="clear"/>
            <w:vAlign w:val="center"/>
          </w:tcPr>
          <w:p>
            <w:pPr>
              <w:pStyle w:val="Normal"/>
              <w:rPr/>
            </w:pPr>
            <w:r>
              <w:rPr/>
            </w:r>
          </w:p>
        </w:tc>
      </w:tr>
    </w:tbl>
    <w:tbl>
      <w:tblPr>
        <w:tblW w:w="5305" w:type="dxa"/>
        <w:jc w:val="left"/>
        <w:tblInd w:w="0" w:type="dxa"/>
        <w:tblCellMar>
          <w:top w:w="0" w:type="dxa"/>
          <w:left w:w="0" w:type="dxa"/>
          <w:bottom w:w="0" w:type="dxa"/>
          <w:right w:w="0" w:type="dxa"/>
        </w:tblCellMar>
      </w:tblPr>
      <w:tblGrid>
        <w:gridCol w:w="3001"/>
        <w:gridCol w:w="146"/>
        <w:gridCol w:w="466"/>
        <w:gridCol w:w="146"/>
        <w:gridCol w:w="1546"/>
      </w:tblGrid>
      <w:tr>
        <w:trPr/>
        <w:tc>
          <w:tcPr>
            <w:tcW w:w="3001"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Age</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Director Since</w:t>
            </w:r>
          </w:p>
        </w:tc>
      </w:tr>
      <w:tr>
        <w:trPr/>
        <w:tc>
          <w:tcPr>
            <w:tcW w:w="3001"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146" w:type="dxa"/>
            <w:tcBorders/>
            <w:shd w:fill="CCEEFF" w:val="clear"/>
          </w:tcPr>
          <w:p>
            <w:pPr>
              <w:pStyle w:val="TableContents"/>
              <w:spacing w:before="0" w:after="283"/>
              <w:rPr/>
            </w:pPr>
            <w:r>
              <w:rPr/>
              <w:t> </w:t>
            </w:r>
          </w:p>
        </w:tc>
        <w:tc>
          <w:tcPr>
            <w:tcW w:w="1546"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2000</w:t>
            </w:r>
          </w:p>
        </w:tc>
      </w:tr>
      <w:tr>
        <w:trPr/>
        <w:tc>
          <w:tcPr>
            <w:tcW w:w="300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Xie</w:t>
            </w:r>
          </w:p>
        </w:tc>
        <w:tc>
          <w:tcPr>
            <w:tcW w:w="146" w:type="dxa"/>
            <w:tcBorders/>
            <w:shd w:fill="auto" w:val="clear"/>
          </w:tcPr>
          <w:p>
            <w:pPr>
              <w:pStyle w:val="TableContents"/>
              <w:spacing w:before="0" w:after="283"/>
              <w:rPr/>
            </w:pPr>
            <w:r>
              <w:rPr/>
              <w:t> </w:t>
            </w:r>
          </w:p>
        </w:tc>
        <w:tc>
          <w:tcPr>
            <w:tcW w:w="46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shd w:fill="auto" w:val="clear"/>
          </w:tcPr>
          <w:p>
            <w:pPr>
              <w:pStyle w:val="TableContents"/>
              <w:spacing w:before="0" w:after="283"/>
              <w:rPr/>
            </w:pPr>
            <w:r>
              <w:rPr/>
              <w:t> </w:t>
            </w:r>
          </w:p>
        </w:tc>
        <w:tc>
          <w:tcPr>
            <w:tcW w:w="15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2001</w:t>
            </w:r>
          </w:p>
        </w:tc>
      </w:tr>
      <w:tr>
        <w:trPr/>
        <w:tc>
          <w:tcPr>
            <w:tcW w:w="3001"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Kenneth A. Goldman</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shd w:fill="CCEEFF" w:val="clear"/>
          </w:tcPr>
          <w:p>
            <w:pPr>
              <w:pStyle w:val="TableContents"/>
              <w:spacing w:before="0" w:after="283"/>
              <w:rPr/>
            </w:pPr>
            <w:r>
              <w:rPr/>
              <w:t> </w:t>
            </w:r>
          </w:p>
        </w:tc>
        <w:tc>
          <w:tcPr>
            <w:tcW w:w="1546"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2020</w:t>
            </w:r>
          </w:p>
        </w:tc>
      </w:tr>
      <w:tr>
        <w:trPr/>
        <w:tc>
          <w:tcPr>
            <w:tcW w:w="300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Ming Hsieh</w:t>
            </w:r>
          </w:p>
        </w:tc>
        <w:tc>
          <w:tcPr>
            <w:tcW w:w="146" w:type="dxa"/>
            <w:tcBorders/>
            <w:shd w:fill="auto" w:val="clear"/>
          </w:tcPr>
          <w:p>
            <w:pPr>
              <w:pStyle w:val="TableContents"/>
              <w:spacing w:before="0" w:after="283"/>
              <w:rPr/>
            </w:pPr>
            <w:r>
              <w:rPr/>
              <w:t> </w:t>
            </w:r>
          </w:p>
        </w:tc>
        <w:tc>
          <w:tcPr>
            <w:tcW w:w="46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46" w:type="dxa"/>
            <w:tcBorders/>
            <w:shd w:fill="auto" w:val="clear"/>
          </w:tcPr>
          <w:p>
            <w:pPr>
              <w:pStyle w:val="TableContents"/>
              <w:spacing w:before="0" w:after="283"/>
              <w:rPr/>
            </w:pPr>
            <w:r>
              <w:rPr/>
              <w:t> </w:t>
            </w:r>
          </w:p>
        </w:tc>
        <w:tc>
          <w:tcPr>
            <w:tcW w:w="15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2013</w:t>
            </w:r>
          </w:p>
        </w:tc>
      </w:tr>
      <w:tr>
        <w:trPr/>
        <w:tc>
          <w:tcPr>
            <w:tcW w:w="3001"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Hu</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146" w:type="dxa"/>
            <w:tcBorders/>
            <w:shd w:fill="CCEEFF" w:val="clear"/>
          </w:tcPr>
          <w:p>
            <w:pPr>
              <w:pStyle w:val="TableContents"/>
              <w:spacing w:before="0" w:after="283"/>
              <w:rPr/>
            </w:pPr>
            <w:r>
              <w:rPr/>
              <w:t> </w:t>
            </w:r>
          </w:p>
        </w:tc>
        <w:tc>
          <w:tcPr>
            <w:tcW w:w="1546"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2019</w:t>
            </w:r>
          </w:p>
        </w:tc>
      </w:tr>
      <w:tr>
        <w:trPr/>
        <w:tc>
          <w:tcPr>
            <w:tcW w:w="300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H. Neukom</w:t>
            </w:r>
          </w:p>
        </w:tc>
        <w:tc>
          <w:tcPr>
            <w:tcW w:w="146" w:type="dxa"/>
            <w:tcBorders/>
            <w:shd w:fill="auto" w:val="clear"/>
          </w:tcPr>
          <w:p>
            <w:pPr>
              <w:pStyle w:val="TableContents"/>
              <w:spacing w:before="0" w:after="283"/>
              <w:rPr/>
            </w:pPr>
            <w:r>
              <w:rPr/>
              <w:t> </w:t>
            </w:r>
          </w:p>
        </w:tc>
        <w:tc>
          <w:tcPr>
            <w:tcW w:w="46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shd w:fill="auto" w:val="clear"/>
          </w:tcPr>
          <w:p>
            <w:pPr>
              <w:pStyle w:val="TableContents"/>
              <w:spacing w:before="0" w:after="283"/>
              <w:rPr/>
            </w:pPr>
            <w:r>
              <w:rPr/>
              <w:t> </w:t>
            </w:r>
          </w:p>
        </w:tc>
        <w:tc>
          <w:tcPr>
            <w:tcW w:w="15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2013</w:t>
            </w:r>
          </w:p>
        </w:tc>
      </w:tr>
      <w:tr>
        <w:trPr/>
        <w:tc>
          <w:tcPr>
            <w:tcW w:w="3001"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Sim</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shd w:fill="CCEEFF" w:val="clear"/>
          </w:tcPr>
          <w:p>
            <w:pPr>
              <w:pStyle w:val="TableContents"/>
              <w:spacing w:before="0" w:after="283"/>
              <w:rPr/>
            </w:pPr>
            <w:r>
              <w:rPr/>
              <w:t> </w:t>
            </w:r>
          </w:p>
        </w:tc>
        <w:tc>
          <w:tcPr>
            <w:tcW w:w="1546"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2015</w:t>
            </w:r>
          </w:p>
        </w:tc>
      </w:tr>
      <w:tr>
        <w:trPr/>
        <w:tc>
          <w:tcPr>
            <w:tcW w:w="300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Admiral James Stavridis (Ret)</w:t>
            </w:r>
          </w:p>
        </w:tc>
        <w:tc>
          <w:tcPr>
            <w:tcW w:w="146" w:type="dxa"/>
            <w:tcBorders/>
            <w:shd w:fill="auto" w:val="clear"/>
          </w:tcPr>
          <w:p>
            <w:pPr>
              <w:pStyle w:val="TableContents"/>
              <w:spacing w:before="0" w:after="283"/>
              <w:rPr/>
            </w:pPr>
            <w:r>
              <w:rPr/>
              <w:t> </w:t>
            </w:r>
          </w:p>
        </w:tc>
        <w:tc>
          <w:tcPr>
            <w:tcW w:w="46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shd w:fill="auto" w:val="clear"/>
          </w:tcPr>
          <w:p>
            <w:pPr>
              <w:pStyle w:val="TableContents"/>
              <w:spacing w:before="0" w:after="283"/>
              <w:rPr/>
            </w:pPr>
            <w:r>
              <w:rPr/>
              <w:t> </w:t>
            </w:r>
          </w:p>
        </w:tc>
        <w:tc>
          <w:tcPr>
            <w:tcW w:w="15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2021</w:t>
            </w:r>
          </w:p>
        </w:tc>
      </w:tr>
    </w:tbl>
    <w:tbl>
      <w:tblPr>
        <w:tblW w:w="10205" w:type="dxa"/>
        <w:jc w:val="left"/>
        <w:tblInd w:w="0" w:type="dxa"/>
        <w:tblCellMar>
          <w:top w:w="0" w:type="dxa"/>
          <w:left w:w="0" w:type="dxa"/>
          <w:bottom w:w="0" w:type="dxa"/>
          <w:right w:w="0" w:type="dxa"/>
        </w:tblCellMar>
      </w:tblPr>
      <w:tblGrid>
        <w:gridCol w:w="7678"/>
        <w:gridCol w:w="146"/>
        <w:gridCol w:w="2381"/>
      </w:tblGrid>
      <w:tr>
        <w:trPr/>
        <w:tc>
          <w:tcPr>
            <w:tcW w:w="7678"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TWO</w:t>
            </w:r>
          </w:p>
        </w:tc>
        <w:tc>
          <w:tcPr>
            <w:tcW w:w="146" w:type="dxa"/>
            <w:tcBorders/>
            <w:shd w:fill="auto" w:val="clear"/>
            <w:vAlign w:val="bottom"/>
          </w:tcPr>
          <w:p>
            <w:pPr>
              <w:pStyle w:val="TableContents"/>
              <w:spacing w:before="0" w:after="283"/>
              <w:rPr/>
            </w:pPr>
            <w:r>
              <w:rPr/>
              <w:t> </w:t>
            </w:r>
          </w:p>
        </w:tc>
        <w:tc>
          <w:tcPr>
            <w:tcW w:w="2381" w:type="dxa"/>
            <w:vMerge w:val="restart"/>
            <w:tcBorders/>
            <w:shd w:fill="auto" w:val="clear"/>
            <w:vAlign w:val="center"/>
          </w:tcPr>
          <w:p>
            <w:pPr>
              <w:pStyle w:val="TableContents"/>
              <w:keepNext w:val="false"/>
              <w:widowControl/>
              <w:pBdr/>
              <w:jc w:val="center"/>
              <w:rPr>
                <w:caps w:val="false"/>
                <w:smallCaps w:val="false"/>
              </w:rPr>
            </w:pPr>
            <w:r>
              <w:rPr>
                <w:caps w:val="false"/>
                <w:smallCaps w:val="false"/>
              </w:rPr>
              <w:drawing>
                <wp:inline distT="0" distB="0" distL="0" distR="0">
                  <wp:extent cx="266700" cy="2774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66700" cy="277495"/>
                          </a:xfrm>
                          <a:prstGeom prst="rect">
                            <a:avLst/>
                          </a:prstGeom>
                        </pic:spPr>
                      </pic:pic>
                    </a:graphicData>
                  </a:graphic>
                </wp:inline>
              </w:drawing>
            </w:r>
          </w:p>
          <w:p>
            <w:pPr>
              <w:pStyle w:val="TableContents"/>
              <w:keepNext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BOARD’S </w:t>
              <w:br/>
              <w:t xml:space="preserve">RECOMMENDATION: </w:t>
              <w:br/>
              <w:t>“FOR” Proposal Two</w:t>
            </w:r>
          </w:p>
        </w:tc>
      </w:tr>
      <w:tr>
        <w:trPr/>
        <w:tc>
          <w:tcPr>
            <w:tcW w:w="7678"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RATIFICATION OF APPOINTMENT OF INDEPENDENT REGISTERED PUBLIC ACCOUNTING FIRM</w:t>
            </w:r>
          </w:p>
        </w:tc>
        <w:tc>
          <w:tcPr>
            <w:tcW w:w="146" w:type="dxa"/>
            <w:tcBorders/>
            <w:shd w:fill="auto" w:val="clear"/>
            <w:vAlign w:val="bottom"/>
          </w:tcPr>
          <w:p>
            <w:pPr>
              <w:pStyle w:val="TableContents"/>
              <w:spacing w:before="0" w:after="283"/>
              <w:rPr/>
            </w:pPr>
            <w:r>
              <w:rPr/>
              <w:t> </w:t>
            </w:r>
          </w:p>
        </w:tc>
        <w:tc>
          <w:tcPr>
            <w:tcW w:w="2381" w:type="dxa"/>
            <w:vMerge w:val="continue"/>
            <w:tcBorders/>
            <w:shd w:fill="auto" w:val="clear"/>
            <w:vAlign w:val="center"/>
          </w:tcPr>
          <w:p>
            <w:pPr>
              <w:pStyle w:val="Normal"/>
              <w:rPr/>
            </w:pPr>
            <w:r>
              <w:rPr/>
            </w:r>
          </w:p>
        </w:tc>
      </w:tr>
      <w:tr>
        <w:trPr/>
        <w:tc>
          <w:tcPr>
            <w:tcW w:w="7678"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our stockholders to ratify the audit committee’s appointment of Deloitte &amp; Touche LLP as our independent registered public accounting firm for the year ending December 31, 2023. Information regarding fees paid to Deloitte &amp; Touche LLP during 2022 and 2021 can be found under the section titled “Proposal Two — Ratification of Appointment of Independent Registered Public Accounting Firm.”</w:t>
            </w:r>
          </w:p>
        </w:tc>
        <w:tc>
          <w:tcPr>
            <w:tcW w:w="146" w:type="dxa"/>
            <w:tcBorders/>
            <w:shd w:fill="auto" w:val="clear"/>
            <w:vAlign w:val="bottom"/>
          </w:tcPr>
          <w:p>
            <w:pPr>
              <w:pStyle w:val="TableContents"/>
              <w:spacing w:before="0" w:after="283"/>
              <w:rPr/>
            </w:pPr>
            <w:r>
              <w:rPr/>
              <w:t> </w:t>
            </w:r>
          </w:p>
        </w:tc>
        <w:tc>
          <w:tcPr>
            <w:tcW w:w="2381" w:type="dxa"/>
            <w:vMerge w:val="continue"/>
            <w:tcBorders/>
            <w:shd w:fill="auto" w:val="clear"/>
            <w:vAlign w:val="center"/>
          </w:tcPr>
          <w:p>
            <w:pPr>
              <w:pStyle w:val="Normal"/>
              <w:rPr/>
            </w:pPr>
            <w:r>
              <w:rPr/>
            </w:r>
          </w:p>
        </w:tc>
      </w:tr>
    </w:tbl>
    <w:tbl>
      <w:tblPr>
        <w:tblW w:w="10205" w:type="dxa"/>
        <w:jc w:val="left"/>
        <w:tblInd w:w="0" w:type="dxa"/>
        <w:tblCellMar>
          <w:top w:w="0" w:type="dxa"/>
          <w:left w:w="0" w:type="dxa"/>
          <w:bottom w:w="0" w:type="dxa"/>
          <w:right w:w="0" w:type="dxa"/>
        </w:tblCellMar>
      </w:tblPr>
      <w:tblGrid>
        <w:gridCol w:w="7659"/>
        <w:gridCol w:w="146"/>
        <w:gridCol w:w="2400"/>
      </w:tblGrid>
      <w:tr>
        <w:trPr/>
        <w:tc>
          <w:tcPr>
            <w:tcW w:w="7659"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THREE</w:t>
            </w:r>
          </w:p>
        </w:tc>
        <w:tc>
          <w:tcPr>
            <w:tcW w:w="146" w:type="dxa"/>
            <w:tcBorders/>
            <w:shd w:fill="auto" w:val="clear"/>
            <w:vAlign w:val="bottom"/>
          </w:tcPr>
          <w:p>
            <w:pPr>
              <w:pStyle w:val="TableContents"/>
              <w:spacing w:before="0" w:after="283"/>
              <w:rPr/>
            </w:pPr>
            <w:r>
              <w:rPr/>
              <w:t> </w:t>
            </w:r>
          </w:p>
        </w:tc>
        <w:tc>
          <w:tcPr>
            <w:tcW w:w="2400" w:type="dxa"/>
            <w:vMerge w:val="restart"/>
            <w:tcBorders/>
            <w:shd w:fill="auto" w:val="clear"/>
            <w:vAlign w:val="center"/>
          </w:tcPr>
          <w:p>
            <w:pPr>
              <w:pStyle w:val="TableContents"/>
              <w:keepNext w:val="false"/>
              <w:widowControl/>
              <w:pBdr/>
              <w:jc w:val="center"/>
              <w:rPr>
                <w:caps w:val="false"/>
                <w:smallCaps w:val="false"/>
              </w:rPr>
            </w:pPr>
            <w:r>
              <w:rPr>
                <w:caps w:val="false"/>
                <w:smallCaps w:val="false"/>
              </w:rPr>
              <w:drawing>
                <wp:inline distT="0" distB="0" distL="0" distR="0">
                  <wp:extent cx="266700" cy="2774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66700" cy="277495"/>
                          </a:xfrm>
                          <a:prstGeom prst="rect">
                            <a:avLst/>
                          </a:prstGeom>
                        </pic:spPr>
                      </pic:pic>
                    </a:graphicData>
                  </a:graphic>
                </wp:inline>
              </w:drawing>
            </w:r>
          </w:p>
          <w:p>
            <w:pPr>
              <w:pStyle w:val="TableContents"/>
              <w:keepNext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BOARD’S </w:t>
              <w:br/>
              <w:t xml:space="preserve">RECOMMENDATION: </w:t>
              <w:br/>
              <w:t>“FOR” Proposal Three</w:t>
            </w:r>
          </w:p>
        </w:tc>
      </w:tr>
      <w:tr>
        <w:trPr/>
        <w:tc>
          <w:tcPr>
            <w:tcW w:w="7659"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ADVISORY VOTE TO APPROVE NAMED EXECUTIVE OFFICER COMPENSATION</w:t>
            </w:r>
          </w:p>
        </w:tc>
        <w:tc>
          <w:tcPr>
            <w:tcW w:w="146" w:type="dxa"/>
            <w:tcBorders/>
            <w:shd w:fill="auto" w:val="clear"/>
            <w:vAlign w:val="bottom"/>
          </w:tcPr>
          <w:p>
            <w:pPr>
              <w:pStyle w:val="TableContents"/>
              <w:spacing w:before="0" w:after="283"/>
              <w:rPr/>
            </w:pPr>
            <w:r>
              <w:rPr/>
              <w:t> </w:t>
            </w:r>
          </w:p>
        </w:tc>
        <w:tc>
          <w:tcPr>
            <w:tcW w:w="2400" w:type="dxa"/>
            <w:vMerge w:val="continue"/>
            <w:tcBorders/>
            <w:shd w:fill="auto" w:val="clear"/>
            <w:vAlign w:val="center"/>
          </w:tcPr>
          <w:p>
            <w:pPr>
              <w:pStyle w:val="Normal"/>
              <w:rPr/>
            </w:pPr>
            <w:r>
              <w:rPr/>
            </w:r>
          </w:p>
        </w:tc>
      </w:tr>
      <w:tr>
        <w:trPr/>
        <w:tc>
          <w:tcPr>
            <w:tcW w:w="7659"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our stockholders to approve, on an advisory and non-binding basis, the compensation of our named executive officers as disclosed in accordance with the SEC’s rules in the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section of this Proxy Statement. Information regarding compensation of our named executive officers can be found under the section titled “Proposal Three — Vote to Approve Named Executive Officer Compensation”</w:t>
            </w:r>
          </w:p>
        </w:tc>
        <w:tc>
          <w:tcPr>
            <w:tcW w:w="146" w:type="dxa"/>
            <w:tcBorders/>
            <w:shd w:fill="auto" w:val="clear"/>
            <w:vAlign w:val="bottom"/>
          </w:tcPr>
          <w:p>
            <w:pPr>
              <w:pStyle w:val="TableContents"/>
              <w:spacing w:before="0" w:after="283"/>
              <w:rPr/>
            </w:pPr>
            <w:r>
              <w:rPr/>
              <w:t> </w:t>
            </w:r>
          </w:p>
        </w:tc>
        <w:tc>
          <w:tcPr>
            <w:tcW w:w="2400" w:type="dxa"/>
            <w:vMerge w:val="continue"/>
            <w:tcBorders/>
            <w:shd w:fill="auto" w:val="clear"/>
            <w:vAlign w:val="center"/>
          </w:tcPr>
          <w:p>
            <w:pPr>
              <w:pStyle w:val="Normal"/>
              <w:rPr/>
            </w:pPr>
            <w:r>
              <w:rPr/>
            </w:r>
          </w:p>
        </w:tc>
      </w:tr>
    </w:tbl>
    <w:tbl>
      <w:tblPr>
        <w:tblW w:w="10205" w:type="dxa"/>
        <w:jc w:val="left"/>
        <w:tblInd w:w="0" w:type="dxa"/>
        <w:tblCellMar>
          <w:top w:w="0" w:type="dxa"/>
          <w:left w:w="0" w:type="dxa"/>
          <w:bottom w:w="0" w:type="dxa"/>
          <w:right w:w="0" w:type="dxa"/>
        </w:tblCellMar>
      </w:tblPr>
      <w:tblGrid>
        <w:gridCol w:w="7677"/>
        <w:gridCol w:w="146"/>
        <w:gridCol w:w="2382"/>
      </w:tblGrid>
      <w:tr>
        <w:trPr/>
        <w:tc>
          <w:tcPr>
            <w:tcW w:w="7677"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FOUR</w:t>
            </w:r>
          </w:p>
        </w:tc>
        <w:tc>
          <w:tcPr>
            <w:tcW w:w="146" w:type="dxa"/>
            <w:tcBorders/>
            <w:shd w:fill="auto" w:val="clear"/>
            <w:vAlign w:val="bottom"/>
          </w:tcPr>
          <w:p>
            <w:pPr>
              <w:pStyle w:val="TableContents"/>
              <w:spacing w:before="0" w:after="283"/>
              <w:rPr/>
            </w:pPr>
            <w:r>
              <w:rPr/>
              <w:t> </w:t>
            </w:r>
          </w:p>
        </w:tc>
        <w:tc>
          <w:tcPr>
            <w:tcW w:w="2382" w:type="dxa"/>
            <w:vMerge w:val="restart"/>
            <w:tcBorders/>
            <w:shd w:fill="auto" w:val="clear"/>
            <w:vAlign w:val="center"/>
          </w:tcPr>
          <w:p>
            <w:pPr>
              <w:pStyle w:val="TableContents"/>
              <w:keepNext w:val="false"/>
              <w:widowControl/>
              <w:pBdr/>
              <w:jc w:val="center"/>
              <w:rPr>
                <w:caps w:val="false"/>
                <w:smallCaps w:val="false"/>
              </w:rPr>
            </w:pPr>
            <w:r>
              <w:rPr>
                <w:caps w:val="false"/>
                <w:smallCaps w:val="false"/>
              </w:rPr>
              <w:drawing>
                <wp:inline distT="0" distB="0" distL="0" distR="0">
                  <wp:extent cx="266700" cy="27749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66700" cy="277495"/>
                          </a:xfrm>
                          <a:prstGeom prst="rect">
                            <a:avLst/>
                          </a:prstGeom>
                        </pic:spPr>
                      </pic:pic>
                    </a:graphicData>
                  </a:graphic>
                </wp:inline>
              </w:drawing>
            </w:r>
          </w:p>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BOARD’S </w:t>
              <w:br/>
              <w:t xml:space="preserve">RECOMMENDATION: </w:t>
              <w:br/>
              <w:t>Every “ONE YEAR”</w:t>
            </w:r>
          </w:p>
        </w:tc>
      </w:tr>
      <w:tr>
        <w:trPr/>
        <w:tc>
          <w:tcPr>
            <w:tcW w:w="7677"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ADVISORY VOTE ON THE FREQUENCY OF FUTURE ADVISORY VOTES TO APPROVE NAMED EXECUTIVE OFFICER COMPENSATION</w:t>
            </w:r>
          </w:p>
        </w:tc>
        <w:tc>
          <w:tcPr>
            <w:tcW w:w="146" w:type="dxa"/>
            <w:tcBorders/>
            <w:shd w:fill="auto" w:val="clear"/>
            <w:vAlign w:val="bottom"/>
          </w:tcPr>
          <w:p>
            <w:pPr>
              <w:pStyle w:val="TableContents"/>
              <w:spacing w:before="0" w:after="283"/>
              <w:rPr/>
            </w:pPr>
            <w:r>
              <w:rPr/>
              <w:t> </w:t>
            </w:r>
          </w:p>
        </w:tc>
        <w:tc>
          <w:tcPr>
            <w:tcW w:w="2382" w:type="dxa"/>
            <w:vMerge w:val="continue"/>
            <w:tcBorders/>
            <w:shd w:fill="auto" w:val="clear"/>
            <w:vAlign w:val="center"/>
          </w:tcPr>
          <w:p>
            <w:pPr>
              <w:pStyle w:val="Normal"/>
              <w:rPr/>
            </w:pPr>
            <w:r>
              <w:rPr/>
            </w:r>
          </w:p>
        </w:tc>
      </w:tr>
      <w:tr>
        <w:trPr/>
        <w:tc>
          <w:tcPr>
            <w:tcW w:w="7677"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our stockholders to approve, on an advisory and non-binding basis, the frequency of future advisory votes to approve the compensation of our named executive officers. Information regarding this proposal can be found under the section titled “Proposal Four — Advisory Vote on the Frequency of Future Advisory Votes to Approve Named Executive Officer Compensation.”</w:t>
            </w:r>
          </w:p>
        </w:tc>
        <w:tc>
          <w:tcPr>
            <w:tcW w:w="146" w:type="dxa"/>
            <w:tcBorders/>
            <w:shd w:fill="auto" w:val="clear"/>
            <w:vAlign w:val="bottom"/>
          </w:tcPr>
          <w:p>
            <w:pPr>
              <w:pStyle w:val="TableContents"/>
              <w:spacing w:before="0" w:after="283"/>
              <w:rPr/>
            </w:pPr>
            <w:r>
              <w:rPr/>
              <w:t> </w:t>
            </w:r>
          </w:p>
        </w:tc>
        <w:tc>
          <w:tcPr>
            <w:tcW w:w="2382" w:type="dxa"/>
            <w:vMerge w:val="continue"/>
            <w:tcBorders/>
            <w:shd w:fill="auto" w:val="clear"/>
            <w:vAlign w:val="center"/>
          </w:tcPr>
          <w:p>
            <w:pPr>
              <w:pStyle w:val="Normal"/>
              <w:rPr/>
            </w:pPr>
            <w:r>
              <w:rPr/>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7680"/>
        <w:gridCol w:w="146"/>
        <w:gridCol w:w="2379"/>
      </w:tblGrid>
      <w:tr>
        <w:trPr/>
        <w:tc>
          <w:tcPr>
            <w:tcW w:w="7680"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FIVE</w:t>
            </w:r>
          </w:p>
        </w:tc>
        <w:tc>
          <w:tcPr>
            <w:tcW w:w="146" w:type="dxa"/>
            <w:tcBorders/>
            <w:shd w:fill="auto" w:val="clear"/>
            <w:vAlign w:val="bottom"/>
          </w:tcPr>
          <w:p>
            <w:pPr>
              <w:pStyle w:val="TableContents"/>
              <w:spacing w:before="0" w:after="283"/>
              <w:rPr/>
            </w:pPr>
            <w:r>
              <w:rPr/>
              <w:t> </w:t>
            </w:r>
          </w:p>
        </w:tc>
        <w:tc>
          <w:tcPr>
            <w:tcW w:w="2379" w:type="dxa"/>
            <w:vMerge w:val="restart"/>
            <w:tcBorders/>
            <w:shd w:fill="auto" w:val="clear"/>
            <w:vAlign w:val="center"/>
          </w:tcPr>
          <w:p>
            <w:pPr>
              <w:pStyle w:val="TableContents"/>
              <w:keepNext w:val="false"/>
              <w:widowControl/>
              <w:pBdr/>
              <w:jc w:val="center"/>
              <w:rPr>
                <w:caps w:val="false"/>
                <w:smallCaps w:val="false"/>
              </w:rPr>
            </w:pPr>
            <w:r>
              <w:rPr>
                <w:caps w:val="false"/>
                <w:smallCaps w:val="false"/>
              </w:rPr>
              <w:drawing>
                <wp:inline distT="0" distB="0" distL="0" distR="0">
                  <wp:extent cx="266700" cy="2774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66700" cy="277495"/>
                          </a:xfrm>
                          <a:prstGeom prst="rect">
                            <a:avLst/>
                          </a:prstGeom>
                        </pic:spPr>
                      </pic:pic>
                    </a:graphicData>
                  </a:graphic>
                </wp:inline>
              </w:drawing>
            </w:r>
          </w:p>
          <w:p>
            <w:pPr>
              <w:pStyle w:val="TableContents"/>
              <w:keepNext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BOARD’S </w:t>
              <w:br/>
              <w:t xml:space="preserve">RECOMMENDATION: </w:t>
              <w:br/>
              <w:t>“FOR” Proposal Five</w:t>
            </w:r>
          </w:p>
        </w:tc>
      </w:tr>
      <w:tr>
        <w:trPr/>
        <w:tc>
          <w:tcPr>
            <w:tcW w:w="7680"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ADOPTION OF AN AMENDMENT TO THE CURRENT CERTIFICATE TO REMOVE THE SUPERMAJORITY VOTING REQUIREMENT</w:t>
            </w:r>
          </w:p>
        </w:tc>
        <w:tc>
          <w:tcPr>
            <w:tcW w:w="146" w:type="dxa"/>
            <w:tcBorders/>
            <w:shd w:fill="auto" w:val="clear"/>
            <w:vAlign w:val="bottom"/>
          </w:tcPr>
          <w:p>
            <w:pPr>
              <w:pStyle w:val="TableContents"/>
              <w:spacing w:before="0" w:after="283"/>
              <w:rPr/>
            </w:pPr>
            <w:r>
              <w:rPr/>
              <w:t> </w:t>
            </w:r>
          </w:p>
        </w:tc>
        <w:tc>
          <w:tcPr>
            <w:tcW w:w="2379" w:type="dxa"/>
            <w:vMerge w:val="continue"/>
            <w:tcBorders/>
            <w:shd w:fill="auto" w:val="clear"/>
            <w:vAlign w:val="center"/>
          </w:tcPr>
          <w:p>
            <w:pPr>
              <w:pStyle w:val="Normal"/>
              <w:rPr/>
            </w:pPr>
            <w:r>
              <w:rPr/>
            </w:r>
          </w:p>
        </w:tc>
      </w:tr>
      <w:tr>
        <w:trPr/>
        <w:tc>
          <w:tcPr>
            <w:tcW w:w="7680"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our stockholders to adopt the Majority Voting Amendment in order to remove the supermajority voting requirement in the Current Certificate. The Majority Voting Amendment also removes from the Current Certificate language relating to the 2022 Stock Split (as defined below).</w:t>
            </w:r>
            <w:r>
              <w:rPr>
                <w:rFonts w:ascii="Times New Roman PS Std;serif" w:hAnsi="Times New Roman PS Std;serif"/>
                <w:b w:val="false"/>
                <w:i w:val="false"/>
                <w:caps/>
                <w:sz w:val="20"/>
              </w:rPr>
              <w:t xml:space="preserve"> </w:t>
            </w:r>
            <w:r>
              <w:rPr>
                <w:rFonts w:ascii="Times New Roman PS Std;serif" w:hAnsi="Times New Roman PS Std;serif"/>
                <w:b w:val="false"/>
                <w:i w:val="false"/>
                <w:caps w:val="false"/>
                <w:smallCaps w:val="false"/>
                <w:sz w:val="20"/>
              </w:rPr>
              <w:t>Information regarding this proposal can be found under the section titled “Proposal Five — Adoption of an Amendment to the Current Certificate to Remove the Supermajority Voting Requirement and Make Certain Other Changes.”</w:t>
            </w:r>
          </w:p>
        </w:tc>
        <w:tc>
          <w:tcPr>
            <w:tcW w:w="146" w:type="dxa"/>
            <w:tcBorders/>
            <w:shd w:fill="auto" w:val="clear"/>
            <w:vAlign w:val="bottom"/>
          </w:tcPr>
          <w:p>
            <w:pPr>
              <w:pStyle w:val="TableContents"/>
              <w:spacing w:before="0" w:after="283"/>
              <w:rPr/>
            </w:pPr>
            <w:r>
              <w:rPr/>
              <w:t> </w:t>
            </w:r>
          </w:p>
        </w:tc>
        <w:tc>
          <w:tcPr>
            <w:tcW w:w="2379" w:type="dxa"/>
            <w:vMerge w:val="continue"/>
            <w:tcBorders/>
            <w:shd w:fill="auto" w:val="clear"/>
            <w:vAlign w:val="center"/>
          </w:tcPr>
          <w:p>
            <w:pPr>
              <w:pStyle w:val="Normal"/>
              <w:rPr/>
            </w:pPr>
            <w:r>
              <w:rPr/>
            </w:r>
          </w:p>
        </w:tc>
      </w:tr>
    </w:tbl>
    <w:tbl>
      <w:tblPr>
        <w:tblW w:w="10205" w:type="dxa"/>
        <w:jc w:val="left"/>
        <w:tblInd w:w="0" w:type="dxa"/>
        <w:tblCellMar>
          <w:top w:w="0" w:type="dxa"/>
          <w:left w:w="0" w:type="dxa"/>
          <w:bottom w:w="0" w:type="dxa"/>
          <w:right w:w="0" w:type="dxa"/>
        </w:tblCellMar>
      </w:tblPr>
      <w:tblGrid>
        <w:gridCol w:w="7679"/>
        <w:gridCol w:w="146"/>
        <w:gridCol w:w="2380"/>
      </w:tblGrid>
      <w:tr>
        <w:trPr/>
        <w:tc>
          <w:tcPr>
            <w:tcW w:w="7679"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SIX</w:t>
            </w:r>
          </w:p>
        </w:tc>
        <w:tc>
          <w:tcPr>
            <w:tcW w:w="146" w:type="dxa"/>
            <w:tcBorders/>
            <w:shd w:fill="auto" w:val="clear"/>
            <w:vAlign w:val="bottom"/>
          </w:tcPr>
          <w:p>
            <w:pPr>
              <w:pStyle w:val="TableContents"/>
              <w:spacing w:before="0" w:after="283"/>
              <w:rPr/>
            </w:pPr>
            <w:r>
              <w:rPr/>
              <w:t> </w:t>
            </w:r>
          </w:p>
        </w:tc>
        <w:tc>
          <w:tcPr>
            <w:tcW w:w="2380" w:type="dxa"/>
            <w:vMerge w:val="restart"/>
            <w:tcBorders/>
            <w:shd w:fill="auto" w:val="clear"/>
            <w:vAlign w:val="center"/>
          </w:tcPr>
          <w:p>
            <w:pPr>
              <w:pStyle w:val="TableContents"/>
              <w:keepNext w:val="false"/>
              <w:widowControl/>
              <w:pBdr/>
              <w:jc w:val="center"/>
              <w:rPr>
                <w:caps w:val="false"/>
                <w:smallCaps w:val="false"/>
              </w:rPr>
            </w:pPr>
            <w:r>
              <w:rPr>
                <w:caps w:val="false"/>
                <w:smallCaps w:val="false"/>
              </w:rPr>
              <w:drawing>
                <wp:inline distT="0" distB="0" distL="0" distR="0">
                  <wp:extent cx="266700" cy="27749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66700" cy="277495"/>
                          </a:xfrm>
                          <a:prstGeom prst="rect">
                            <a:avLst/>
                          </a:prstGeom>
                        </pic:spPr>
                      </pic:pic>
                    </a:graphicData>
                  </a:graphic>
                </wp:inline>
              </w:drawing>
            </w:r>
          </w:p>
          <w:p>
            <w:pPr>
              <w:pStyle w:val="TableContents"/>
              <w:keepNext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BOARD’S </w:t>
              <w:br/>
              <w:t xml:space="preserve">RECOMMENDATION: </w:t>
              <w:br/>
              <w:t>“FOR” Proposal Six</w:t>
            </w:r>
          </w:p>
        </w:tc>
      </w:tr>
      <w:tr>
        <w:trPr/>
        <w:tc>
          <w:tcPr>
            <w:tcW w:w="7679"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ADOPTION OF AN AMENDMENT TO THE CURRENT CERTIFICATE IN ORDER TO PERMIT THE EXCULPATION OF OFFICERS FROM PERSONAL LIABILITY FOR CERTAIN BREACHES OF THE DUTY OF CARE</w:t>
            </w:r>
          </w:p>
        </w:tc>
        <w:tc>
          <w:tcPr>
            <w:tcW w:w="146" w:type="dxa"/>
            <w:tcBorders/>
            <w:shd w:fill="auto" w:val="clear"/>
            <w:vAlign w:val="bottom"/>
          </w:tcPr>
          <w:p>
            <w:pPr>
              <w:pStyle w:val="TableContents"/>
              <w:spacing w:before="0" w:after="283"/>
              <w:rPr/>
            </w:pPr>
            <w:r>
              <w:rPr/>
              <w:t> </w:t>
            </w:r>
          </w:p>
        </w:tc>
        <w:tc>
          <w:tcPr>
            <w:tcW w:w="2380" w:type="dxa"/>
            <w:vMerge w:val="continue"/>
            <w:tcBorders/>
            <w:shd w:fill="auto" w:val="clear"/>
            <w:vAlign w:val="center"/>
          </w:tcPr>
          <w:p>
            <w:pPr>
              <w:pStyle w:val="Normal"/>
              <w:rPr/>
            </w:pPr>
            <w:r>
              <w:rPr/>
            </w:r>
          </w:p>
        </w:tc>
      </w:tr>
      <w:tr>
        <w:trPr/>
        <w:tc>
          <w:tcPr>
            <w:tcW w:w="7679"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our stockholders to adopt an amendment to the Current Certificate in order to provide exculpation for our officers from personal liability for certain breaches of the duty of care (the “Officer Exculpation Amendment”). Information regarding this proposal can be found under the section titled “Proposal Six — Adoption of an Amendment to the Current Certificate in Order to Permit the Exculpation of Officers from Personal Liability for Certain Breaches of the Duty of Care.”</w:t>
            </w:r>
          </w:p>
        </w:tc>
        <w:tc>
          <w:tcPr>
            <w:tcW w:w="146" w:type="dxa"/>
            <w:tcBorders/>
            <w:shd w:fill="auto" w:val="clear"/>
            <w:vAlign w:val="bottom"/>
          </w:tcPr>
          <w:p>
            <w:pPr>
              <w:pStyle w:val="TableContents"/>
              <w:spacing w:before="0" w:after="283"/>
              <w:rPr/>
            </w:pPr>
            <w:r>
              <w:rPr/>
              <w:t> </w:t>
            </w:r>
          </w:p>
        </w:tc>
        <w:tc>
          <w:tcPr>
            <w:tcW w:w="2380" w:type="dxa"/>
            <w:vMerge w:val="continue"/>
            <w:tcBorders/>
            <w:shd w:fill="auto" w:val="clear"/>
            <w:vAlign w:val="center"/>
          </w:tcPr>
          <w:p>
            <w:pPr>
              <w:pStyle w:val="Normal"/>
              <w:rPr/>
            </w:pPr>
            <w:r>
              <w:rPr/>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FORTINET, INC.</w:t>
        <w:br/>
        <w:t>899 Kifer Road</w:t>
        <w:br/>
        <w:t>Sunnyvale, California 94086</w:t>
      </w:r>
    </w:p>
    <w:p>
      <w:pPr>
        <w:pStyle w:val="TextBody"/>
        <w:keepNext w:val="true"/>
        <w:pageBreakBefore w:val="false"/>
        <w:widowControl/>
        <w:pBdr/>
        <w:spacing w:before="2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____________________________</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br/>
        <w:t>FOR 2023 ANNUAL MEETING OF STOCKHOLDERS</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4" w:name="T99101"/>
      <w:bookmarkEnd w:id="4"/>
      <w:r>
        <w:rPr>
          <w:rFonts w:ascii="Times New Roman PS Std;serif" w:hAnsi="Times New Roman PS Std;serif"/>
          <w:b/>
          <w:i w:val="false"/>
          <w:caps w:val="false"/>
          <w:smallCaps w:val="false"/>
          <w:sz w:val="20"/>
        </w:rPr>
        <w:t>QUESTIONS AND ANSWERS ABOUT THE 2023 ANNUAL MEETING AND PROCEDURAL MATTERS</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5" w:name="T99102"/>
      <w:bookmarkEnd w:id="5"/>
      <w:r>
        <w:rPr>
          <w:rFonts w:ascii="Times New Roman PS Std;serif" w:hAnsi="Times New Roman PS Std;serif"/>
          <w:b/>
          <w:i w:val="false"/>
          <w:caps w:val="false"/>
          <w:smallCaps w:val="false"/>
          <w:sz w:val="20"/>
        </w:rPr>
        <w:t>Q:   Why am I receiving these materials?</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Board of Directors is providing these proxy materials to you in connection with the solicitation of proxies for use at Fortinet’s 2023 Annual Meeting of Stockholders (the “2023 Annual Meeting”), to be held on Friday, June 16, 2023 at 10:00 a.m. Pacific time, and at any adjournment or postponement thereof, for the purpose of considering and acting upon the matters set forth in this Proxy Statement.</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expect to mail the Notice of Internet Availability of Proxy Materials (the “Notice”) on or about May 3, 2023. Copies of our proxy materials and 2022 Annual Report are available at </w:t>
      </w:r>
      <w:r>
        <w:rPr>
          <w:rFonts w:ascii="Times New Roman PS Std;serif" w:hAnsi="Times New Roman PS Std;serif"/>
          <w:b w:val="false"/>
          <w:i/>
          <w:caps w:val="false"/>
          <w:smallCaps w:val="false"/>
          <w:sz w:val="20"/>
        </w:rPr>
        <w:t>www.edocumentview.com/FTNT</w:t>
      </w:r>
      <w:r>
        <w:rPr>
          <w:rFonts w:ascii="Times New Roman PS Std;serif" w:hAnsi="Times New Roman PS Std;serif"/>
          <w:b w:val="false"/>
          <w:i w:val="false"/>
          <w:caps w:val="false"/>
          <w:smallCaps w:val="false"/>
          <w:sz w:val="20"/>
        </w:rPr>
        <w:t xml:space="preserve">. Our 2022 Annual Report may also be obtained by accessing Fortinet’s filings on the SEC’s website at </w:t>
      </w:r>
      <w:r>
        <w:rPr>
          <w:rFonts w:ascii="Times New Roman PS Std;serif" w:hAnsi="Times New Roman PS Std;serif"/>
          <w:b w:val="false"/>
          <w:i/>
          <w:caps w:val="false"/>
          <w:smallCaps w:val="false"/>
          <w:sz w:val="20"/>
        </w:rPr>
        <w:t>www.sec.gov.</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2023 Annual Meeting will be held in a virtual-only format. We believe that hosting a virtual meeting will allow for greater stockholder attendance and participation from any location around the world. The virtual-only approach also lowers costs and aligns with our broader sustainability goals. You will not be able to attend the 2023 Annual Meeting in person.</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bookmarkStart w:id="6" w:name="T99103"/>
      <w:bookmarkEnd w:id="6"/>
      <w:r>
        <w:rPr>
          <w:rFonts w:ascii="Times New Roman PS Std;serif" w:hAnsi="Times New Roman PS Std;serif"/>
          <w:b/>
          <w:i w:val="false"/>
          <w:caps w:val="false"/>
          <w:smallCaps w:val="false"/>
          <w:sz w:val="20"/>
        </w:rPr>
        <w:t>Q:   Why did I receive a one-page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notice in the mail regarding the internet availability of proxy materials instead of a full set of proxy materials?</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Pursuant to rules adopted by the Securities and Exchange Commission (the “SEC”), we have elected to provide access to our proxy materials over the internet. Accordingly, we are sending the Notice to our stockholders of record and beneficial owners. All stockholders will have the ability to access the proxy materials on the website referred to in the Notice or request a printed set of the proxy materials. Instructions on how to access the proxy materials over the internet or to request a printed copy may be found in the Notice. In addition, stockholders may request to receive proxy materials in printed form by mail or electronically by email on an ongoing basis.</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7" w:name="T99104"/>
      <w:bookmarkEnd w:id="7"/>
      <w:r>
        <w:rPr>
          <w:rFonts w:ascii="Times New Roman PS Std;serif" w:hAnsi="Times New Roman PS Std;serif"/>
          <w:b/>
          <w:i w:val="false"/>
          <w:caps w:val="false"/>
          <w:smallCaps w:val="false"/>
          <w:sz w:val="20"/>
        </w:rPr>
        <w:t>Q:   How can I get electronic access to the proxy materials?</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Notice will provide you with instructions regarding how to:</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View our proxy materials for the 2023 Annual Meeting on the internet;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Have future proxy materials sent to you electronically by email.</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Choosing to receive future proxy materials by email will save us the cost of printing and mailing documents to you and will reduce the impact of our annual meetings on the environment. If you choose to receive future proxy materials by email, you will receive an email next year with instructions containing a link to those materials and a link to the proxy voting site.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8" w:name="T99105"/>
      <w:bookmarkEnd w:id="8"/>
      <w:r>
        <w:rPr>
          <w:rFonts w:ascii="Times New Roman PS Std;serif" w:hAnsi="Times New Roman PS Std;serif"/>
          <w:b/>
          <w:i w:val="false"/>
          <w:caps w:val="false"/>
          <w:smallCaps w:val="false"/>
          <w:sz w:val="20"/>
        </w:rPr>
        <w:t>Q:   Can I attend the 2023 Annual Meeting?</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were a stockholder of record at the close of business on April 17, 2023 (the “Record Date”) (i.e., your shares were registered directly in your name with our transfer agent, Computershare Trust Company, N.A. (“Computershare”)) or if you are a proxy holder for such a stockholder, you may participate in the 2023 Annual Meeting by following the instructions below:</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Beginning at 9:45 a.m. Pacific Time on June 16, 2023, please visit </w:t>
      </w:r>
      <w:r>
        <w:rPr>
          <w:rFonts w:ascii="Times New Roman PS Std;serif" w:hAnsi="Times New Roman PS Std;serif"/>
          <w:b w:val="false"/>
          <w:i/>
          <w:caps w:val="false"/>
          <w:smallCaps w:val="false"/>
          <w:sz w:val="20"/>
        </w:rPr>
        <w:t>www.meetnow.global/MFQX4LA</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the 15-digit control number on the Proxy Card or Notice of Availability of Proxy Materials you receive.</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held your shares through an intermediary on the Record Date (i.e., you hold your shares in “street name” through an intermediary, such as a bank or broker), you must register in advance to virtually attend the 2023 Annual Meeting by following the instructions below:</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obtain a legal proxy, executed in your favor, from the holder of record reflecting the number of shares of common stock you held as of the Record Date, along with your name and email address.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Submit proof of your legal proxy by forwarding the email from your broker, or attaching an image of your legal proxy, to legalproxy@computershare.com. Requests for registration must be labeled as “Legal Proxy” and be received no later than 5:00 p.m. Eastern Time on June 13, 2023. You will then receive a confirmation of your registration, with a control number, by email from Computershare.</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At the time of the 2023 Annual Meeting, go to </w:t>
      </w:r>
      <w:r>
        <w:rPr>
          <w:rFonts w:ascii="Times New Roman PS Std;serif" w:hAnsi="Times New Roman PS Std;serif"/>
          <w:b w:val="false"/>
          <w:i/>
          <w:caps w:val="false"/>
          <w:smallCaps w:val="false"/>
          <w:sz w:val="20"/>
        </w:rPr>
        <w:t xml:space="preserve">www.meetnow.global/MFQX4LA </w:t>
      </w:r>
      <w:r>
        <w:rPr>
          <w:rFonts w:ascii="Times New Roman PS Std;serif" w:hAnsi="Times New Roman PS Std;serif"/>
          <w:b w:val="false"/>
          <w:i w:val="false"/>
          <w:caps w:val="false"/>
          <w:smallCaps w:val="false"/>
          <w:sz w:val="20"/>
        </w:rPr>
        <w:t>and enter your control number.</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t>
      </w:r>
      <w:r>
        <w:rPr>
          <w:rFonts w:ascii="Times New Roman PS Std;serif" w:hAnsi="Times New Roman PS Std;serif"/>
          <w:b w:val="false"/>
          <w:i/>
          <w:caps w:val="false"/>
          <w:smallCaps w:val="false"/>
          <w:sz w:val="20"/>
        </w:rPr>
        <w:t>www.meetnow.global/MFQX4LA</w:t>
      </w:r>
      <w:r>
        <w:rPr>
          <w:rFonts w:ascii="Times New Roman PS Std;serif" w:hAnsi="Times New Roman PS Std;serif"/>
          <w:b w:val="false"/>
          <w:i w:val="false"/>
          <w:caps w:val="false"/>
          <w:smallCaps w:val="false"/>
          <w:sz w:val="20"/>
        </w:rPr>
        <w:t>. The virtual meeting platform is fully supported across most browsers (including Edge, Firefox, Chrome and Safari) and devices (including desktops, laptops, tablets and cell phones) running the most up-to-date version of applicable software and plugins. Internet Explorer is not a supported browser. Participants should ensure that they have a strong internet connection wherever they intend to participate in the meeting. We encourage you to access the meeting prior to the start time. For further assistance should you need it you may call Computershare toll free at (888) 724-2416.</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9" w:name="T99106"/>
      <w:bookmarkEnd w:id="9"/>
      <w:r>
        <w:rPr>
          <w:rFonts w:ascii="Times New Roman PS Std;serif" w:hAnsi="Times New Roman PS Std;serif"/>
          <w:b/>
          <w:i w:val="false"/>
          <w:caps w:val="false"/>
          <w:smallCaps w:val="false"/>
          <w:sz w:val="20"/>
        </w:rPr>
        <w:t>Q:   How can I ask questions at the 2023 Annual Meeting?</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 xml:space="preserve">You will be able to attend the 2023 Annual Meeting online and submit your questions during the meeting by visiting </w:t>
      </w:r>
      <w:r>
        <w:rPr>
          <w:rFonts w:ascii="Times New Roman PS Std;serif" w:hAnsi="Times New Roman PS Std;serif"/>
          <w:b w:val="false"/>
          <w:i/>
          <w:caps w:val="false"/>
          <w:smallCaps w:val="false"/>
          <w:sz w:val="20"/>
        </w:rPr>
        <w:t>www.meetnow.global/MFQX4LA</w:t>
      </w:r>
      <w:r>
        <w:rPr>
          <w:rFonts w:ascii="Times New Roman PS Std;serif" w:hAnsi="Times New Roman PS Std;serif"/>
          <w:b w:val="false"/>
          <w:i w:val="false"/>
          <w:caps w:val="false"/>
          <w:smallCaps w:val="false"/>
          <w:sz w:val="20"/>
        </w:rPr>
        <w:t>. For technical support, please call Computershare toll free at (888) 724-2416.</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10" w:name="T99107"/>
      <w:bookmarkEnd w:id="10"/>
      <w:r>
        <w:rPr>
          <w:rFonts w:ascii="Times New Roman PS Std;serif" w:hAnsi="Times New Roman PS Std;serif"/>
          <w:b/>
          <w:i w:val="false"/>
          <w:caps w:val="false"/>
          <w:smallCaps w:val="false"/>
          <w:sz w:val="20"/>
        </w:rPr>
        <w:t>Q:   Who is entitled to vote at the 2023 Annual Meeting?</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vote your shares of Fortinet common stock if our records show that you owned your shares at the close of business on the Record Date. At the close of business on the Record Date, there were 784,374,421 shares of Fortinet common stock outstanding and entitled to vote at the 2023 Annual Meeting. You may cast one vote for each share of common stock held by you as of the Record Date on all matters presented.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11" w:name="T99108"/>
      <w:bookmarkEnd w:id="11"/>
      <w:r>
        <w:rPr>
          <w:rFonts w:ascii="Times New Roman PS Std;serif" w:hAnsi="Times New Roman PS Std;serif"/>
          <w:b/>
          <w:i w:val="false"/>
          <w:caps w:val="false"/>
          <w:smallCaps w:val="false"/>
          <w:sz w:val="20"/>
        </w:rPr>
        <w:t>Q:   What is the difference between holding shares as a stockholder of record or as a beneficial owner?</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With respect to your shares that are registered directly in your name with Fortinet’s transfer agent, Computershare, you are considered the “stockholder of record” and the Notice has been sent directly to you by Fortinet. As the stockholder of record, you have the right to grant your voting proxy directly to Fortinet or to a third party, or to vote in person at the 2023 Annual Meeting.</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your shares that are held by a brokerage account or by another nominee, you are considered the “beneficial owner” of shares held in “street name” and the Notice is being forwarded to you together with voting instructions on behalf of your broker, trustee or nominee. As the beneficial owner, you have the right to direct your broker, trustee or nominee how to vote, and you are also invited to attend the 2023 Annual Meeting. Your broker, trustee or nominee has enclosed or provided voting instructions for you to use in directing the broker, trustee or nominee how to vote your shares. Because a beneficial owner is not the stockholder of record, you may not vote these shares in person at the 2023 Annual Meeting unless you obtain a “legal proxy” from the broker, trustee or nominee that holds your shares, giving you the right to vote the shares at the 2023 Annual Meeting. If you hold your shares through a broker and do not provide your broker with specific voting instructions, under the rules that govern brokers in such circumstances, your broker will have the discretion to vote such shares on routine matters but not on non-routine matters. Even though we are listed on The Nasdaq Stock Market LLC (“Nasdaq”), the rules of the New York Stock Exchange (the “NYSE”) govern how a broker licensed by the NYSE can vote shares it holds on behalf of stockholders of Nasdaq-listed companies.</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Your broker will not have the authority to exercise discretion to vote your shares with respect to the election of directors (Proposal One), the advisory vote on named executive officer compensation (Proposal Three), the advisory vote on the frequency of future advisory votes to approve named executive officer compensation (Proposal Four), the adoption of the Majority Voting Amendment (Proposal Five) or the adoption of the Officer Exculpation Amendment (Proposal Six).</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Your broker will have the authority to exercise discretion to vote your shares with respect to the appointment of Deloitte &amp; Touche LLP as our independent registered public accounting firm for the year ending December 31, 2023 (Proposal Two), because that matter is treated as routine under NYSE rules.</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proposals to be acted upon at the 2023 Annual Meeting include both routine and non-routine matters, if you do not give voting instructions to your broker, trustee or nominee, your broker, trustee or nominee may either (i) vote your shares on routine matters or (ii) leave your shares unvoted.</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broker “non-vote” occurs when your broker, trustee or nominee does not vote on a particular proposal because the broker, trustee or nominee does not have discretionary voting power with respect to that item and has not received voting instructions from you as the beneficial owner.</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12" w:name="T99109"/>
      <w:bookmarkEnd w:id="12"/>
      <w:r>
        <w:rPr>
          <w:rFonts w:ascii="Times New Roman PS Std;serif" w:hAnsi="Times New Roman PS Std;serif"/>
          <w:b/>
          <w:i w:val="false"/>
          <w:caps w:val="false"/>
          <w:smallCaps w:val="false"/>
          <w:sz w:val="20"/>
        </w:rPr>
        <w:t>Q:   How can I vote my shares without attending the 2023 Annual Meeting?</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t>
      </w:r>
      <w:r>
        <w:rPr>
          <w:rFonts w:ascii="Times New Roman PS Std;serif" w:hAnsi="Times New Roman PS Std;serif"/>
          <w:b/>
          <w:i w:val="false"/>
          <w:caps w:val="false"/>
          <w:smallCaps w:val="false"/>
          <w:sz w:val="20"/>
        </w:rPr>
        <w:t>You are encouraged to vote your shares in advance of the 2023 Annual Meeting.</w:t>
      </w:r>
      <w:r>
        <w:rPr>
          <w:rFonts w:ascii="Times New Roman PS Std;serif" w:hAnsi="Times New Roman PS Std;serif"/>
          <w:b w:val="false"/>
          <w:i w:val="false"/>
          <w:caps w:val="false"/>
          <w:smallCaps w:val="false"/>
          <w:sz w:val="20"/>
        </w:rPr>
        <w:t>    If voting in advance of the 2023 Annual Meeting, the steps required to cast your votes are the same as indicated in the materials received with this Proxy Statement. If you have not already voted your shares in advance, you will be able to vote your shares electronically during the 2023 Annual Meeting by clicking on the “Cast Your Vote” link on the Meeting Center site.</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you hold shares directly as the stockholder of record or beneficially in street name, you may direct how your shares are voted without attending the 2023 Annual Meeting. There are three ways to vote by proxy:</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By mail</w:t>
      </w:r>
      <w:r>
        <w:rPr>
          <w:rFonts w:ascii="Times New Roman PS Std;serif" w:hAnsi="Times New Roman PS Std;serif"/>
          <w:b w:val="false"/>
          <w:i w:val="false"/>
          <w:caps w:val="false"/>
          <w:smallCaps w:val="false"/>
          <w:sz w:val="20"/>
        </w:rPr>
        <w:t> — If you are a stockholder of record, you may vote by submitting a proxy card; please refer to the voting instructions in the Notice or below. If you hold shares beneficially in street name, you may vote by submitting voting instructions to your broker, trustee or nominee; please refer to the voting instructions provided to you by your broker, trustee or nominee.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By internet</w:t>
      </w:r>
      <w:r>
        <w:rPr>
          <w:rFonts w:ascii="Times New Roman PS Std;serif" w:hAnsi="Times New Roman PS Std;serif"/>
          <w:b w:val="false"/>
          <w:i w:val="false"/>
          <w:caps w:val="false"/>
          <w:smallCaps w:val="false"/>
          <w:sz w:val="20"/>
        </w:rPr>
        <w:t xml:space="preserve"> — Stockholders of record of Fortinet common stock with internet access may submit proxies by following the “Vote by Internet” instructions described in the Notice until 11:59 p.m. Eastern time on Thursday, June 15, 2023 or by following the instructions at </w:t>
      </w:r>
      <w:r>
        <w:rPr>
          <w:rFonts w:ascii="Times New Roman PS Std;serif" w:hAnsi="Times New Roman PS Std;serif"/>
          <w:b w:val="false"/>
          <w:i/>
          <w:caps w:val="false"/>
          <w:smallCaps w:val="false"/>
          <w:sz w:val="20"/>
        </w:rPr>
        <w:t>www.investorvote.com/FTNT. </w:t>
      </w:r>
      <w:r>
        <w:rPr>
          <w:rFonts w:ascii="Times New Roman PS Std;serif" w:hAnsi="Times New Roman PS Std;serif"/>
          <w:b w:val="false"/>
          <w:i w:val="false"/>
          <w:caps w:val="false"/>
          <w:smallCaps w:val="false"/>
          <w:sz w:val="20"/>
        </w:rPr>
        <w:t>Most Fortinet stockholders who hold shares beneficially in street name may vote by accessing the website specified in the voting instructions provided by their brokers, trustees or nominees. Please check the voting instructions for internet voting availability.</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By telephone</w:t>
      </w:r>
      <w:r>
        <w:rPr>
          <w:rFonts w:ascii="Times New Roman PS Std;serif" w:hAnsi="Times New Roman PS Std;serif"/>
          <w:b w:val="false"/>
          <w:i w:val="false"/>
          <w:caps w:val="false"/>
          <w:smallCaps w:val="false"/>
          <w:sz w:val="20"/>
        </w:rPr>
        <w:t> — Depending on how your shares are held, you may be able to vote by telephone. If this option is available to you, you will have received information with the Notice or the voting instruction card provided by your broker, trustee or nominee explaining this procedure.</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bookmarkStart w:id="13" w:name="T99110"/>
      <w:bookmarkEnd w:id="13"/>
      <w:r>
        <w:rPr>
          <w:rFonts w:ascii="Times New Roman PS Std;serif" w:hAnsi="Times New Roman PS Std;serif"/>
          <w:b/>
          <w:i w:val="false"/>
          <w:caps w:val="false"/>
          <w:smallCaps w:val="false"/>
          <w:sz w:val="20"/>
        </w:rPr>
        <w:t>Q</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How many shares must be present or represented to conduct business at the 2023 Annual Meeting?</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presence of the holders of a majority of the issued and outstanding shares of our capital stock entitled to vote at the 2023 Annual Meeting is necessary to constitute a quorum at the 2023 Annual Meeting. Such stockholders are counted as present at the meeting if they (i) are present in person at the 2023 Annual Meeting or (ii) represented by proxy.</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abstentions and broker non-votes are counted as present and entitled to vote for purposes of determining whether a quorum is present at the 2023 Annual Meeting. However, as discussed above, under “What is the difference between holding shares as a stockholder of record or as a beneficial owner?” brokers have limited discretionary authority to vote shares that are beneficially owned and, therefore, are not entitled to vote on non-routine matters in the absence of voting instructions from the beneficial owner of such shares.</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14" w:name="T99111"/>
      <w:bookmarkEnd w:id="14"/>
      <w:r>
        <w:rPr>
          <w:rFonts w:ascii="Times New Roman PS Std;serif" w:hAnsi="Times New Roman PS Std;serif"/>
          <w:b/>
          <w:i w:val="false"/>
          <w:caps w:val="false"/>
          <w:smallCaps w:val="false"/>
          <w:sz w:val="20"/>
        </w:rPr>
        <w:t>Q:   What proposals will be voted on at the 2023 Annual Meeting?</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proposals scheduled to be voted on at the 2023 Annual Meeting are:</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Proposal One:    </w:t>
      </w:r>
      <w:r>
        <w:rPr>
          <w:rFonts w:ascii="Times New Roman PS Std;serif" w:hAnsi="Times New Roman PS Std;serif"/>
          <w:b w:val="false"/>
          <w:i w:val="false"/>
          <w:caps w:val="false"/>
          <w:smallCaps w:val="false"/>
          <w:sz w:val="20"/>
        </w:rPr>
        <w:t>The election of the eight directors set forth in Proposal One to serve for a one-year term expiring at the 2024 Annual Meeting and until their respective successors are duly elected and qualified;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Proposal Two:    </w:t>
      </w:r>
      <w:r>
        <w:rPr>
          <w:rFonts w:ascii="Times New Roman PS Std;serif" w:hAnsi="Times New Roman PS Std;serif"/>
          <w:b w:val="false"/>
          <w:i w:val="false"/>
          <w:caps w:val="false"/>
          <w:smallCaps w:val="false"/>
          <w:sz w:val="20"/>
        </w:rPr>
        <w:t>The ratification of the appointment of Deloitte &amp; Touche LLP as our independent registered public accounting firm for the fiscal year ending December 31, 2023;</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Proposal Three:    </w:t>
      </w:r>
      <w:r>
        <w:rPr>
          <w:rFonts w:ascii="Times New Roman PS Std;serif" w:hAnsi="Times New Roman PS Std;serif"/>
          <w:b w:val="false"/>
          <w:i w:val="false"/>
          <w:caps w:val="false"/>
          <w:smallCaps w:val="false"/>
          <w:sz w:val="20"/>
        </w:rPr>
        <w:t>An advisory vote to approve our named executive officer compensation;</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Proposal Four:    </w:t>
      </w:r>
      <w:r>
        <w:rPr>
          <w:rFonts w:ascii="Times New Roman PS Std;serif" w:hAnsi="Times New Roman PS Std;serif"/>
          <w:b w:val="false"/>
          <w:i w:val="false"/>
          <w:caps w:val="false"/>
          <w:smallCaps w:val="false"/>
          <w:sz w:val="20"/>
        </w:rPr>
        <w:t>An advisory vote on the frequency of future advisory votes to approve named executive officer compensation;</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Proposal Five:    </w:t>
      </w:r>
      <w:r>
        <w:rPr>
          <w:rFonts w:ascii="Times New Roman PS Std;serif" w:hAnsi="Times New Roman PS Std;serif"/>
          <w:b w:val="false"/>
          <w:i w:val="false"/>
          <w:caps w:val="false"/>
          <w:smallCaps w:val="false"/>
          <w:sz w:val="20"/>
        </w:rPr>
        <w:t>Adoption of the Majority Voting Amendment;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Proposal Six:    </w:t>
      </w:r>
      <w:r>
        <w:rPr>
          <w:rFonts w:ascii="Times New Roman PS Std;serif" w:hAnsi="Times New Roman PS Std;serif"/>
          <w:b w:val="false"/>
          <w:i w:val="false"/>
          <w:caps w:val="false"/>
          <w:smallCaps w:val="false"/>
          <w:sz w:val="20"/>
        </w:rPr>
        <w:t>Adoption of the Officer Exculpation Amendment.</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15" w:name="T99112"/>
      <w:bookmarkEnd w:id="15"/>
      <w:r>
        <w:rPr>
          <w:rFonts w:ascii="Times New Roman PS Std;serif" w:hAnsi="Times New Roman PS Std;serif"/>
          <w:b/>
          <w:i w:val="false"/>
          <w:caps w:val="false"/>
          <w:smallCaps w:val="false"/>
          <w:sz w:val="20"/>
        </w:rPr>
        <w:t>Q:   What is the voting requirement to approve each of the proposals?</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We have a majority voting standard for uncontested elections of directors (Proposal One), which means that to be elected, a director nominee must receive a majority of the votes cast, i.e. the number of shares voted “FOR” a director nominee must exceed the votes cast “AGAINST” that nominee.</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majority of the shares of our common stock that are present in person or represented by proxy at the 2023 Annual Meeting and entitled to vote is required to ratify the appointment of Deloitte &amp; Touche LLP as our independent registered public accounting firm (Proposal Two) and to approve the advisory resolution on named executive compensation (Proposal Three).</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frequency that is selected by the greatest number of shares of our common stock that are present in person or represented by proxy at the 2023 Annual Meeting and entitled to vote will be considered the non-binding advisory vote of our stockholders for the advisory resolution on the frequency of future advisory votes to approve named executive officer compensation (Proposal Four).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at least 66 2/3% of the voting power of all of the shares of our common stock outstanding as of the Record Date is required for the adoption of the Majority Voting Amendment (Proposal Five) and the adoption of the Officer Exculpation Amendment (Proposal Six).</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16" w:name="T99113"/>
      <w:bookmarkEnd w:id="16"/>
      <w:r>
        <w:rPr>
          <w:rFonts w:ascii="Times New Roman PS Std;serif" w:hAnsi="Times New Roman PS Std;serif"/>
          <w:b/>
          <w:i w:val="false"/>
          <w:caps w:val="false"/>
          <w:smallCaps w:val="false"/>
          <w:sz w:val="20"/>
        </w:rPr>
        <w:t>Q:   What happens if only one of the Majority Voting Amendment (Proposal Five) or the Officer Exculpation Amendment (Proposal Six) is adopted, or if both are adopted?</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Proposals Five and Six are independent from one another. If our stockholders adopt the amendment to the Current Certificate in one proposal and not the other (and if the Board of Directors does not abandon the adopted amendment after it is adopted by the stockholders), we will file the adopted amendment to the Current Certificate as soon as practicable after adoption by the stockholders.</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adopt both amendments (and if the Board of Directors does not abandon the adopted amendments after they are adopted by the stockholders), we will file both adopted amendments to the Current Certificate as soon as practicable after approval by the stockholders.</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 in either scenario, we expect that the Board of Directors would then approve, and we would then file, a restated certificate of incorporation that will integrate the adopted amendment(s) (unless abandoned) into a single document without further amending our certificate of incorporation. Under the Delaware General Corporation Law, this restatement would not require an additional stockholder vote.</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Proposal Five, the Board of Directors has also approved the Restated Bylaws, which shall become effective contingent upon and subject to the effectiveness of the filing of the Majority Voting Amendment with the Delaware Secretary of State after its adoption by our stockholders, to remove the supermajority voting requirement in our Current Bylaws.</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17" w:name="T99114"/>
      <w:bookmarkEnd w:id="17"/>
      <w:r>
        <w:rPr>
          <w:rFonts w:ascii="Times New Roman PS Std;serif" w:hAnsi="Times New Roman PS Std;serif"/>
          <w:b/>
          <w:i w:val="false"/>
          <w:caps w:val="false"/>
          <w:smallCaps w:val="false"/>
          <w:sz w:val="20"/>
        </w:rPr>
        <w:t>Q:   How are votes counted?</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vote “FOR” or “AGAINST” each of the nominees for election as director in Proposal One and on each of Proposal Two, Proposal Three, Proposal Five and Proposal Six. You may also “ABSTAIN” from voting.</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vote select every “ONE YEAR,” TWO YEARS” or “THREE YEARS” for the advisory resolution on the frequency of future advisory votes to approve named executive officer compensation (Proposal Four). You may also “ABSTAIN” from voting.</w:t>
      </w:r>
    </w:p>
    <w:p>
      <w:pPr>
        <w:pStyle w:val="TextBody"/>
        <w:keepNext w:val="false"/>
        <w:pageBreakBefore w:val="false"/>
        <w:widowControl/>
        <w:pBdr/>
        <w:spacing w:before="160" w:after="283"/>
        <w:ind w:left="40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Abstentions are deemed to be shares present or represented by proxy and entitled to vote. Abstentions have no effect on Proposal One or Proposal Four and the same effect as a vote against Proposals Two, Three, Five and Six.</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 have discretionary authority to vote shares that are beneficially owned on Proposal Two. If a broker chooses not to vote shares for or against Proposal Two, it would have the same effect as an abstention. Broker non-votes are not deemed to be shares entitled to vote on and will have no effect on Proposals One, Three and Four. Broker non-votes will also have the same effect on Proposals Five and Six as an abstention.</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entitled to vote and represented by properly submitted proxies received prior to the 2023 Annual Meeting (and not revoked) will be voted at the 2023 Annual Meeting in accordance with the instructions indicated by such proxy. If no instructions are indicated on such proxy, the shares represented by that proxy will be voted as recommended by the Board of Directors.</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18" w:name="T99115"/>
      <w:bookmarkEnd w:id="18"/>
      <w:r>
        <w:rPr>
          <w:rFonts w:ascii="Times New Roman PS Std;serif" w:hAnsi="Times New Roman PS Std;serif"/>
          <w:b/>
          <w:i w:val="false"/>
          <w:caps w:val="false"/>
          <w:smallCaps w:val="false"/>
          <w:sz w:val="20"/>
        </w:rPr>
        <w:t>Q:   How does the Board of Directors recommend that I vote?</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Board of Directors recommends that you vote your shares: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each of the eight nominees for election as directors (Proposal One);</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ratification of the appointment of Deloitte &amp; Touche LLP as our independent registered public accounting firm for the fiscal year ending December 31, 2023 (Proposal Two);</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advisory resolution to approve named executive officer compensation (Proposal Three);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ONE YEAR</w:t>
      </w:r>
      <w:r>
        <w:rPr>
          <w:rFonts w:ascii="Times New Roman PS Std;serif" w:hAnsi="Times New Roman PS Std;serif"/>
          <w:b w:val="false"/>
          <w:i w:val="false"/>
          <w:caps w:val="false"/>
          <w:smallCaps w:val="false"/>
          <w:sz w:val="20"/>
        </w:rPr>
        <w:t>” with respect to the advisory resolution on the frequency of future advisory votes to approve named executive officer compensation (Proposal Four);</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adoption of the Majority Voting Amendment (Proposal Five);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adoption of the Officer Exculpation Amendment (Proposal Six).</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19" w:name="T99116"/>
      <w:bookmarkEnd w:id="19"/>
      <w:r>
        <w:rPr>
          <w:rFonts w:ascii="Times New Roman PS Std;serif" w:hAnsi="Times New Roman PS Std;serif"/>
          <w:b/>
          <w:i w:val="false"/>
          <w:caps w:val="false"/>
          <w:smallCaps w:val="false"/>
          <w:sz w:val="20"/>
        </w:rPr>
        <w:t>Q:   What happens if additional matters are presented at the 2023 Annual Meeting?</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any other matters are properly presented for consideration at the 2023 Annual Meeting, including, among other things, consideration of a motion to adjourn the 2023 Annual Meeting to another time or place (including, without limitation, for the purpose of soliciting additional proxies), the persons named as proxy holders, Ken Xie and John Whittle, or either of them, will have discretion to vote on those matters in accordance with their best judgment. Fortinet does not currently anticipate that any other matters will be raised at the 2023 Annual Meeting.</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20" w:name="T99117"/>
      <w:bookmarkEnd w:id="20"/>
      <w:r>
        <w:rPr>
          <w:rFonts w:ascii="Times New Roman PS Std;serif" w:hAnsi="Times New Roman PS Std;serif"/>
          <w:b/>
          <w:i w:val="false"/>
          <w:caps w:val="false"/>
          <w:smallCaps w:val="false"/>
          <w:sz w:val="20"/>
        </w:rPr>
        <w:t>Q:   Can I change my vote?</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Subject to any rules your broker, trustee or nominee may have, you may change your proxy instructions at any time before your proxy is voted at the 2023 Annual Meeting.</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the stockholder of record, you may change your vote: (i) by granting a new proxy bearing a later date (which automatically revokes the earlier proxy) using any of the methods described above (and until the applicable deadline for each method); (ii) by providing a written notice of revocation to Fortinet’s Corporate Secretary at Fortinet, Inc., 899 Kifer Road, Sunnyvale, California 94086 prior to your shares being voted; or (iii) by attending the 2023 Annual Meeting and voting virtually. Attendance at the meeting will not cause your previously granted proxy to be revoked unless you specifically so request.</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beneficial owner of shares held in street name, you may change your vote (a) by submitting new voting instructions to your broker, trustee or nominee or (b) if you have obtained a legal proxy from the broker, trustee or nominee that holds your shares giving you the right to vote your shares, by attending the 2023 Annual Meeting and voting virtually.</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21" w:name="T99118"/>
      <w:bookmarkEnd w:id="21"/>
      <w:r>
        <w:rPr>
          <w:rFonts w:ascii="Times New Roman PS Std;serif" w:hAnsi="Times New Roman PS Std;serif"/>
          <w:b/>
          <w:i w:val="false"/>
          <w:caps w:val="false"/>
          <w:smallCaps w:val="false"/>
          <w:sz w:val="20"/>
        </w:rPr>
        <w:t>Q:   What should I do if I receive more than one set of voting materials?</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received more than one Notice, voting instruction card or set of proxy materials, your shares are registered in more than one name or brokerage account. Please follow the instructions on each Notice or voting instruction card that you receive to ensure that all of your shares are voted.</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22" w:name="T99119"/>
      <w:bookmarkEnd w:id="22"/>
      <w:r>
        <w:rPr>
          <w:rFonts w:ascii="Times New Roman PS Std;serif" w:hAnsi="Times New Roman PS Std;serif"/>
          <w:b/>
          <w:i w:val="false"/>
          <w:caps w:val="false"/>
          <w:smallCaps w:val="false"/>
          <w:sz w:val="20"/>
        </w:rPr>
        <w:t>Q:   Is my vote confidential?</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Proxy instructions, ballots and voting tabulations that identify individual stockholders are handled in a manner that protects your voting privacy. Your vote will not be disclosed either within Fortinet or to third parties, except: (i) as necessary to meet applicable legal requirements; (ii) to allow for the tabulation of votes and certification of the vote; and (iii) to facilitate a successful proxy solicitation. Occasionally, stockholders provide written comments on their proxy cards, which may be forwarded to Fortinet management.</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23" w:name="T99120"/>
      <w:bookmarkEnd w:id="23"/>
      <w:r>
        <w:rPr>
          <w:rFonts w:ascii="Times New Roman PS Std;serif" w:hAnsi="Times New Roman PS Std;serif"/>
          <w:b/>
          <w:i w:val="false"/>
          <w:caps w:val="false"/>
          <w:smallCaps w:val="false"/>
          <w:sz w:val="20"/>
        </w:rPr>
        <w:t>Q:   Who will serve as inspector of election?</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inspector of election will be a representative of Computershare.</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24" w:name="T99121"/>
      <w:bookmarkEnd w:id="24"/>
      <w:r>
        <w:rPr>
          <w:rFonts w:ascii="Times New Roman PS Std;serif" w:hAnsi="Times New Roman PS Std;serif"/>
          <w:b/>
          <w:i w:val="false"/>
          <w:caps w:val="false"/>
          <w:smallCaps w:val="false"/>
          <w:sz w:val="20"/>
        </w:rPr>
        <w:t>Q:   Where can I find the voting results of the 2023 Annual Meeting?</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We will announce preliminary voting results at the 2023 Annual Meeting. We will disclose final voting results in a Current Report on a Form 8-K filed with the SEC within four business days after the 2023 Annual Meeting.</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25" w:name="T99122"/>
      <w:bookmarkEnd w:id="25"/>
      <w:r>
        <w:rPr>
          <w:rFonts w:ascii="Times New Roman PS Std;serif" w:hAnsi="Times New Roman PS Std;serif"/>
          <w:b/>
          <w:i w:val="false"/>
          <w:caps w:val="false"/>
          <w:smallCaps w:val="false"/>
          <w:sz w:val="20"/>
        </w:rPr>
        <w:t>Q:   Who will bear the cost of soliciting votes for the 2023 Annual Meeting?</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Fortinet will pay the entire cost of preparing, assembling, printing, mailing and distributing these proxy materials and soliciting votes. We may reimburse brokerage firms, custodians, nominees, fiduciaries and other persons representing beneficial owners for their reasonable expenses in forwarding solicitation material to such beneficial owners. Our directors, officers and employees may also solicit proxies in person or by other means of communication. Such directors, officers and employees will not be additionally compensated but may be reimbursed for reasonable out-of-pocket expenses in connection with such solicitation.</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26" w:name="T99123"/>
      <w:bookmarkEnd w:id="26"/>
      <w:r>
        <w:rPr>
          <w:rFonts w:ascii="Times New Roman PS Std;serif" w:hAnsi="Times New Roman PS Std;serif"/>
          <w:b/>
          <w:i w:val="false"/>
          <w:caps w:val="false"/>
          <w:smallCaps w:val="false"/>
          <w:sz w:val="20"/>
        </w:rPr>
        <w:t>Q:   What is the deadline to propose actions for consideration at next year’s annual meeting of stockholders or to nominate individuals to serve as directors?</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submit proposals, including nominations of director candidates, for consideration at future stockholder meetings.</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For inclusion in Fortinet’s proxy materials</w:t>
      </w:r>
      <w:r>
        <w:rPr>
          <w:rFonts w:ascii="Times New Roman PS Std;serif" w:hAnsi="Times New Roman PS Std;serif"/>
          <w:b w:val="false"/>
          <w:i w:val="false"/>
          <w:caps w:val="false"/>
          <w:smallCaps w:val="false"/>
          <w:sz w:val="20"/>
        </w:rPr>
        <w:t> — Stockholders may present proper proposals for inclusion in Fortinet’s proxy statement and for consideration at the next annual meeting of stockholders by submitting their proposals in writing to Fortinet’s Corporate Secretary in a timely manner. In order to be included in the proxy statement for the 2024 Annual Meeting, stockholder proposals must be received by Fortinet’s Corporate Secretary no later than January 2, 2024, and must otherwise comply with the requirements of Rule 14a-8 of the Securities Exchange Act of 1934, as amended (the “Exchange Act”).</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To be brought before the annual meeting</w:t>
      </w:r>
      <w:r>
        <w:rPr>
          <w:rFonts w:ascii="Times New Roman PS Std;serif" w:hAnsi="Times New Roman PS Std;serif"/>
          <w:b w:val="false"/>
          <w:i w:val="false"/>
          <w:caps w:val="false"/>
          <w:smallCaps w:val="false"/>
          <w:sz w:val="20"/>
        </w:rPr>
        <w:t> — In addition, Fortinet’s Current Bylaws establish an advance notice procedure for stockholders who wish to present certain matters before an annual meeting of stockholders. In general, nominations for the election of directors may be made (i) pursuant to our notice of meeting of stockholders, (ii) by or at the direction of the Board of Directors or a duly authorized committee thereof or (iii) by a stockholder who has delivered written notice to Fortinet’s Secretary within the Notice Period (as defined below) and complied with the other procedural requirements sets forth in our Current Bylaws and who was a stockholder of record at the time of such notice, as of the record date and at the time of the annual meeting. The notice must contain specified information about the nominees and about the stockholder proposing such nominations.</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Fortinet’s Current Bylaws also provide that the only business that may be conducted at an annual meeting is business that is (a) properly brought before the meeting pursuant to Fortinet’s proxy materials with respect to such meeting, (b) properly brought before the meeting by or at the direction of the Board of Directors or (c) properly brought before the meeting by a stockholder who has delivered written notice to Fortinet’s Corporate Secretary at its principal executive offices within the Notice Period and who was a stockholder at the time of such notice and as of the record date. The notice must contain specified information about the matters to be brought before such meeting and about the stockholder proposing such matters.</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“Notice Period” is defined as that period not less than 90 days nor more than 120 days prior to the one-year anniversary of the preceding year’s annual meeting. As a result, the Notice Period for the 2024 Annual Meeting will start on February 17, 2024 and end on March 18, 2024.</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stockholder who has notified Fortinet of such stockholder’s intention to present a proposal at an annual meeting does not appear to present such stockholder’s proposal at such meeting, Fortinet need not present the proposal for vote at such meeting.</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copy of the full text of the bylaw provisions discussed above may be obtained by writing to Fortinet’s Corporate Secretary at our principal executive offices or by accessing Fortinet’s filings on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All notices of proposals by stockholders, whether or not included in Fortinet’s proxy materials, should be sent to Fortinet’s Corporate Secretary at our principal executive offices.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27" w:name="T99124"/>
      <w:bookmarkEnd w:id="27"/>
      <w:r>
        <w:rPr>
          <w:rFonts w:ascii="Times New Roman PS Std;serif" w:hAnsi="Times New Roman PS Std;serif"/>
          <w:b/>
          <w:i w:val="false"/>
          <w:caps w:val="false"/>
          <w:smallCaps w:val="false"/>
          <w:sz w:val="20"/>
        </w:rPr>
        <w:t>Q:   How may I obtain a separate set of proxy materials or the 2022 Annual Report?</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If you share an address with another stockholder, each stockholder may not receive a separate copy of our proxy materials and 2022 Annual Report. Stockholders who do not receive a separate copy of our proxy materials and 2022 Annual Report and want to receive a separate copy may request to receive a separate copy of, or stockholders may request additional copies of, our proxy materials and 2022 Annual Report by calling (408) 235-7700 or by writing to Fortinet, Inc., 899 Kifer Road, Sunnyvale, California 94086, Attention: Investor Relations. Our 2022 Annual Report may also be obtained by accessing Fortinet’s filings on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Stockholders who share an address and receive multiple copies of our proxy materials and 2022 Annual Report can also request to receive a single copy by following the instructions above.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8" w:name="T99125"/>
      <w:bookmarkEnd w:id="28"/>
      <w:r>
        <w:rPr>
          <w:rFonts w:ascii="Times New Roman PS Std;serif" w:hAnsi="Times New Roman PS Std;serif"/>
          <w:b/>
          <w:i w:val="false"/>
          <w:caps w:val="false"/>
          <w:smallCaps w:val="false"/>
          <w:sz w:val="20"/>
        </w:rPr>
        <w:t>PROPOSAL ONE</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OF DIRECTORS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29" w:name="T99126"/>
      <w:bookmarkEnd w:id="29"/>
      <w:r>
        <w:rPr>
          <w:rFonts w:ascii="Times New Roman PS Std;serif" w:hAnsi="Times New Roman PS Std;serif"/>
          <w:b/>
          <w:i w:val="false"/>
          <w:caps w:val="false"/>
          <w:smallCaps w:val="false"/>
          <w:sz w:val="20"/>
        </w:rPr>
        <w:t>General</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currently consists of eight members, and the Current Certificate provides that the entire Board of Directors will stand for election annually for one-year terms. Each director holds office until that director’s successor is duly elected and qualified. Our Current Bylaws permit the Board of Directors to establish by resolution the authorized number of directors, and eight directors are currently authorized.</w:t>
      </w:r>
    </w:p>
    <w:p>
      <w:pPr>
        <w:pStyle w:val="TextBody"/>
        <w:keepNext w:val="false"/>
        <w:pageBreakBefore w:val="false"/>
        <w:widowControl/>
        <w:pBdr/>
        <w:spacing w:before="160" w:after="283"/>
        <w:jc w:val="left"/>
        <w:rPr>
          <w:rFonts w:ascii="Times New Roman PS Std;serif" w:hAnsi="Times New Roman PS Std;serif"/>
          <w:b/>
          <w:i w:val="false"/>
          <w:caps w:val="false"/>
          <w:smallCaps w:val="false"/>
          <w:sz w:val="20"/>
        </w:rPr>
      </w:pPr>
      <w:bookmarkStart w:id="30" w:name="T99127"/>
      <w:bookmarkEnd w:id="30"/>
      <w:r>
        <w:rPr>
          <w:rFonts w:ascii="Times New Roman PS Std;serif" w:hAnsi="Times New Roman PS Std;serif"/>
          <w:b/>
          <w:i w:val="false"/>
          <w:caps w:val="false"/>
          <w:smallCaps w:val="false"/>
          <w:sz w:val="20"/>
        </w:rPr>
        <w:t>Nominees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Eight candidates have been nominated for election as directors at the 2023 Annual Meeting for a one-year term expiring at the 2023 Annual Meeting. Upon recommendation of the Governance Committee of the Board of Directors (the “Governance Committee”), the Board of Directors has nominated Ken Xie, Michael Xie, Kenneth A. Goldman, Ming Hsieh, Jean Hu, William Neukom, Judith Sim and Admiral James Stavridis (Ret) for election as directors. Biographical information about each of the nominees is contained in the following section. A discussion of the qualifications, attributes and skills of each nominee that led the Board of Directors and the Governance Committee to the conclusion that such nominee should serve as a director has been added following each of the director and nominee biographies.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nominee has agreed to serve if elected, and management has no reason to believe that any nominee will be unavailable to serve. In the event any nominee is unable or declines to serve as a director at the time of the 2023 Annual Meeting, the proxies will be voted for any nominee who may be proposed by the Governance Committee and designated by the present Board of Directors to fill the vacancy.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sign your proxy card or voting instruction card or vote by telephone or over the internet but do not give instructions with respect to the voting of directors, your shares will be voted for the eight nominees recommended by the Board of Directors. If you wish to give specific instructions with respect to the voting of directors, you may do so by indicating your instructions on your proxy or voting instruction card or when you vote by telephone or over the internet. If you do not give voting instructions to your broker, your broker will leave your shares unvoted on this matter.</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THE BOARD OF DIRECTORS RECOMMENDS A VOTE “FOR” THE ELECTION OF </w:t>
        <w:br/>
      </w:r>
      <w:r>
        <w:rPr>
          <w:rFonts w:ascii="Times New Roman PS Std;serif" w:hAnsi="Times New Roman PS Std;serif"/>
          <w:b/>
          <w:i w:val="false"/>
          <w:caps/>
          <w:sz w:val="20"/>
        </w:rPr>
        <w:t xml:space="preserve">Ken Xie, Michael Xie, Kenneth a. goldman, Jean Hu, Ming Hsieh, </w:t>
        <w:br/>
        <w:t>William Neukom, Judith Sim and ADMIRAL JAMES STAVRIDIS (RET).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31" w:name="T51"/>
      <w:bookmarkEnd w:id="31"/>
      <w:r>
        <w:rPr>
          <w:rFonts w:ascii="Times New Roman PS Std;serif" w:hAnsi="Times New Roman PS Std;serif"/>
          <w:b/>
          <w:i w:val="false"/>
          <w:caps w:val="false"/>
          <w:smallCaps w:val="false"/>
          <w:sz w:val="20"/>
        </w:rPr>
        <w:t>Information Regarding the Board of Directors and Director Nominees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names of the members of the Board of Directors and our proposed director nominees, their respective ages, their positions with Fortinet (as applicable) and other biographical information as of March 31, 2023, are set forth below.</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Messrs. Ken Xie and Michael Xie are brothers. There are no other family relationships among any of our directors or executive officers.</w:t>
      </w:r>
    </w:p>
    <w:tbl>
      <w:tblPr>
        <w:tblW w:w="10205" w:type="dxa"/>
        <w:jc w:val="left"/>
        <w:tblInd w:w="0" w:type="dxa"/>
        <w:tblCellMar>
          <w:top w:w="0" w:type="dxa"/>
          <w:left w:w="0" w:type="dxa"/>
          <w:bottom w:w="0" w:type="dxa"/>
          <w:right w:w="0" w:type="dxa"/>
        </w:tblCellMar>
      </w:tblPr>
      <w:tblGrid>
        <w:gridCol w:w="2996"/>
        <w:gridCol w:w="146"/>
        <w:gridCol w:w="466"/>
        <w:gridCol w:w="146"/>
        <w:gridCol w:w="6451"/>
      </w:tblGrid>
      <w:tr>
        <w:trPr/>
        <w:tc>
          <w:tcPr>
            <w:tcW w:w="2996"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Age</w:t>
            </w:r>
          </w:p>
        </w:tc>
        <w:tc>
          <w:tcPr>
            <w:tcW w:w="146" w:type="dxa"/>
            <w:tcBorders/>
            <w:shd w:fill="auto" w:val="clear"/>
            <w:vAlign w:val="bottom"/>
          </w:tcPr>
          <w:p>
            <w:pPr>
              <w:pStyle w:val="TableContents"/>
              <w:spacing w:before="0" w:after="283"/>
              <w:rPr/>
            </w:pPr>
            <w:r>
              <w:rPr/>
              <w:t> </w:t>
            </w:r>
          </w:p>
        </w:tc>
        <w:tc>
          <w:tcPr>
            <w:tcW w:w="645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Position</w:t>
            </w:r>
          </w:p>
        </w:tc>
      </w:tr>
      <w:tr>
        <w:trPr/>
        <w:tc>
          <w:tcPr>
            <w:tcW w:w="2996"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146" w:type="dxa"/>
            <w:tcBorders/>
            <w:shd w:fill="CCEEFF" w:val="clear"/>
          </w:tcPr>
          <w:p>
            <w:pPr>
              <w:pStyle w:val="TableContents"/>
              <w:spacing w:before="0" w:after="283"/>
              <w:rPr/>
            </w:pPr>
            <w:r>
              <w:rPr/>
              <w:t> </w:t>
            </w:r>
          </w:p>
        </w:tc>
        <w:tc>
          <w:tcPr>
            <w:tcW w:w="6451"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Chairman of the Board of Directors and Director Nominee</w:t>
            </w:r>
          </w:p>
        </w:tc>
      </w:tr>
      <w:tr>
        <w:trPr/>
        <w:tc>
          <w:tcPr>
            <w:tcW w:w="299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Xie(4)****</w:t>
            </w:r>
          </w:p>
        </w:tc>
        <w:tc>
          <w:tcPr>
            <w:tcW w:w="146" w:type="dxa"/>
            <w:tcBorders/>
            <w:shd w:fill="auto" w:val="clear"/>
          </w:tcPr>
          <w:p>
            <w:pPr>
              <w:pStyle w:val="TableContents"/>
              <w:spacing w:before="0" w:after="283"/>
              <w:rPr/>
            </w:pPr>
            <w:r>
              <w:rPr/>
              <w:t> </w:t>
            </w:r>
          </w:p>
        </w:tc>
        <w:tc>
          <w:tcPr>
            <w:tcW w:w="46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shd w:fill="auto" w:val="clear"/>
          </w:tcPr>
          <w:p>
            <w:pPr>
              <w:pStyle w:val="TableContents"/>
              <w:spacing w:before="0" w:after="283"/>
              <w:rPr/>
            </w:pPr>
            <w:r>
              <w:rPr/>
              <w:t> </w:t>
            </w:r>
          </w:p>
        </w:tc>
        <w:tc>
          <w:tcPr>
            <w:tcW w:w="645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Technology Officer, Director and Director Nominee</w:t>
            </w:r>
          </w:p>
        </w:tc>
      </w:tr>
      <w:tr>
        <w:trPr/>
        <w:tc>
          <w:tcPr>
            <w:tcW w:w="2996"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Kenneth A. Goldman(1)(2)</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shd w:fill="CCEEFF" w:val="clear"/>
          </w:tcPr>
          <w:p>
            <w:pPr>
              <w:pStyle w:val="TableContents"/>
              <w:spacing w:before="0" w:after="283"/>
              <w:rPr/>
            </w:pPr>
            <w:r>
              <w:rPr/>
              <w:t> </w:t>
            </w:r>
          </w:p>
        </w:tc>
        <w:tc>
          <w:tcPr>
            <w:tcW w:w="6451"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r>
        <w:trPr/>
        <w:tc>
          <w:tcPr>
            <w:tcW w:w="299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Ming Hsieh(2)(3)*</w:t>
            </w:r>
          </w:p>
        </w:tc>
        <w:tc>
          <w:tcPr>
            <w:tcW w:w="146" w:type="dxa"/>
            <w:tcBorders/>
            <w:shd w:fill="auto" w:val="clear"/>
          </w:tcPr>
          <w:p>
            <w:pPr>
              <w:pStyle w:val="TableContents"/>
              <w:spacing w:before="0" w:after="283"/>
              <w:rPr/>
            </w:pPr>
            <w:r>
              <w:rPr/>
              <w:t> </w:t>
            </w:r>
          </w:p>
        </w:tc>
        <w:tc>
          <w:tcPr>
            <w:tcW w:w="46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46" w:type="dxa"/>
            <w:tcBorders/>
            <w:shd w:fill="auto" w:val="clear"/>
          </w:tcPr>
          <w:p>
            <w:pPr>
              <w:pStyle w:val="TableContents"/>
              <w:spacing w:before="0" w:after="283"/>
              <w:rPr/>
            </w:pPr>
            <w:r>
              <w:rPr/>
              <w:t> </w:t>
            </w:r>
          </w:p>
        </w:tc>
        <w:tc>
          <w:tcPr>
            <w:tcW w:w="645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r>
        <w:trPr/>
        <w:tc>
          <w:tcPr>
            <w:tcW w:w="2996"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Hu(2)**</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146" w:type="dxa"/>
            <w:tcBorders/>
            <w:shd w:fill="CCEEFF" w:val="clear"/>
          </w:tcPr>
          <w:p>
            <w:pPr>
              <w:pStyle w:val="TableContents"/>
              <w:spacing w:before="0" w:after="283"/>
              <w:rPr/>
            </w:pPr>
            <w:r>
              <w:rPr/>
              <w:t> </w:t>
            </w:r>
          </w:p>
        </w:tc>
        <w:tc>
          <w:tcPr>
            <w:tcW w:w="6451"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r>
        <w:trPr/>
        <w:tc>
          <w:tcPr>
            <w:tcW w:w="299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H. Neukom(3)(4)</w:t>
            </w:r>
          </w:p>
        </w:tc>
        <w:tc>
          <w:tcPr>
            <w:tcW w:w="146" w:type="dxa"/>
            <w:tcBorders/>
            <w:shd w:fill="auto" w:val="clear"/>
          </w:tcPr>
          <w:p>
            <w:pPr>
              <w:pStyle w:val="TableContents"/>
              <w:spacing w:before="0" w:after="283"/>
              <w:rPr/>
            </w:pPr>
            <w:r>
              <w:rPr/>
              <w:t> </w:t>
            </w:r>
          </w:p>
        </w:tc>
        <w:tc>
          <w:tcPr>
            <w:tcW w:w="46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shd w:fill="auto" w:val="clear"/>
          </w:tcPr>
          <w:p>
            <w:pPr>
              <w:pStyle w:val="TableContents"/>
              <w:spacing w:before="0" w:after="283"/>
              <w:rPr/>
            </w:pPr>
            <w:r>
              <w:rPr/>
              <w:t> </w:t>
            </w:r>
          </w:p>
        </w:tc>
        <w:tc>
          <w:tcPr>
            <w:tcW w:w="645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Lead Independent Director and Director Nominee</w:t>
            </w:r>
          </w:p>
        </w:tc>
      </w:tr>
      <w:tr>
        <w:trPr/>
        <w:tc>
          <w:tcPr>
            <w:tcW w:w="2996"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Sim(1)(3)***</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shd w:fill="CCEEFF" w:val="clear"/>
          </w:tcPr>
          <w:p>
            <w:pPr>
              <w:pStyle w:val="TableContents"/>
              <w:spacing w:before="0" w:after="283"/>
              <w:rPr/>
            </w:pPr>
            <w:r>
              <w:rPr/>
              <w:t> </w:t>
            </w:r>
          </w:p>
        </w:tc>
        <w:tc>
          <w:tcPr>
            <w:tcW w:w="6451"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r>
        <w:trPr/>
        <w:tc>
          <w:tcPr>
            <w:tcW w:w="299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Admiral James Stavridis (Ret)(1)(4)</w:t>
            </w:r>
          </w:p>
        </w:tc>
        <w:tc>
          <w:tcPr>
            <w:tcW w:w="146" w:type="dxa"/>
            <w:tcBorders/>
            <w:shd w:fill="auto" w:val="clear"/>
          </w:tcPr>
          <w:p>
            <w:pPr>
              <w:pStyle w:val="TableContents"/>
              <w:spacing w:before="0" w:after="283"/>
              <w:rPr/>
            </w:pPr>
            <w:r>
              <w:rPr/>
              <w:t> </w:t>
            </w:r>
          </w:p>
        </w:tc>
        <w:tc>
          <w:tcPr>
            <w:tcW w:w="46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shd w:fill="auto" w:val="clear"/>
          </w:tcPr>
          <w:p>
            <w:pPr>
              <w:pStyle w:val="TableContents"/>
              <w:spacing w:before="0" w:after="283"/>
              <w:rPr/>
            </w:pPr>
            <w:r>
              <w:rPr/>
              <w:t> </w:t>
            </w:r>
          </w:p>
        </w:tc>
        <w:tc>
          <w:tcPr>
            <w:tcW w:w="645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Member of the Human Resources Committee.</w:t>
      </w:r>
    </w:p>
    <w:p>
      <w:pPr>
        <w:pStyle w:val="TextBody"/>
        <w:keepNext w:val="false"/>
        <w:pageBreakBefore w:val="false"/>
        <w:widowControl/>
        <w:pBdr/>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Member of the Audit Committee.</w:t>
      </w:r>
    </w:p>
    <w:p>
      <w:pPr>
        <w:pStyle w:val="TextBody"/>
        <w:keepNext w:val="false"/>
        <w:pageBreakBefore w:val="false"/>
        <w:widowControl/>
        <w:pBdr/>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Member of the Governance Committee.</w:t>
      </w:r>
    </w:p>
    <w:p>
      <w:pPr>
        <w:pStyle w:val="TextBody"/>
        <w:keepNext w:val="false"/>
        <w:pageBreakBefore w:val="false"/>
        <w:widowControl/>
        <w:pBdr/>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Member of the Social Responsibility Committee.</w:t>
      </w:r>
    </w:p>
    <w:p>
      <w:pPr>
        <w:pStyle w:val="TextBody"/>
        <w:keepNext w:val="false"/>
        <w:pageBreakBefore w:val="false"/>
        <w:widowControl/>
        <w:pBdr/>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Chairperson of the Governance Committee.</w:t>
      </w:r>
    </w:p>
    <w:p>
      <w:pPr>
        <w:pStyle w:val="TextBody"/>
        <w:keepNext w:val="false"/>
        <w:pageBreakBefore w:val="false"/>
        <w:widowControl/>
        <w:pBdr/>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Chairperson of the Audit Committee.</w:t>
      </w:r>
    </w:p>
    <w:p>
      <w:pPr>
        <w:pStyle w:val="TextBody"/>
        <w:keepNext w:val="false"/>
        <w:pageBreakBefore w:val="false"/>
        <w:widowControl/>
        <w:pBdr/>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Chairperson of the Human Resources Committee.</w:t>
      </w:r>
    </w:p>
    <w:p>
      <w:pPr>
        <w:pStyle w:val="TextBody"/>
        <w:keepNext w:val="false"/>
        <w:pageBreakBefore w:val="false"/>
        <w:widowControl/>
        <w:pBdr/>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Chairperson of the Social Responsibility Committee.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Ken Xie</w:t>
      </w:r>
      <w:r>
        <w:rPr>
          <w:rFonts w:ascii="Times New Roman PS Std;serif" w:hAnsi="Times New Roman PS Std;serif"/>
          <w:b w:val="false"/>
          <w:i w:val="false"/>
          <w:caps w:val="false"/>
          <w:smallCaps w:val="false"/>
          <w:sz w:val="20"/>
        </w:rPr>
        <w:t xml:space="preserve"> has served as our Chief Executive Officer and a member of the Board of Directors since he co-founded Fortinet in October 2000. He previously served as our President until November 2013. Prior to co-founding Fortinet, Mr. Ken Xie was the Founder, President and Chief Executive Officer of NetScreen Technologies, Inc., a provider of network security products, which was acquired by Juniper Networks, Inc. in April 2004. Additionally, Mr. Ken Xie was Chief Executive Officer of SIS, Inc. and is a member of the National Academy of Engineering. In addition to the Board of Directors, Mr. Ken Xie has served on the board of directors of TeleNav, Inc. since July 2012. Mr. Ken Xie received a B.S. and an M.S. in electrical engineering from Tsinghua University in China and an M.S. in electrical engineering from Stanford University.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Ken Xie has more than 25 years of technical and management experience in the networking and security industries, which includes his roles as a founder of Fortinet, NetScreen and SIS and as President and Chief Executive Officer of each of the foregoing companies. The Board of Directors also believes Mr. Ken Xie provides valuable perspective and experience as a co-founder of Fortinet and one of its largest stockholders.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Michael Xie</w:t>
      </w:r>
      <w:r>
        <w:rPr>
          <w:rFonts w:ascii="Times New Roman PS Std;serif" w:hAnsi="Times New Roman PS Std;serif"/>
          <w:b w:val="false"/>
          <w:i w:val="false"/>
          <w:caps w:val="false"/>
          <w:smallCaps w:val="false"/>
          <w:sz w:val="20"/>
        </w:rPr>
        <w:t xml:space="preserve"> has served as our President and Chief Technology Officer since November 2013 and as a member of the Board of Directors since February 2001. He previously served as our Vice President of Engineering and Chief Technology Officer after co-founding Fortinet in October 2000. Prior to co-founding Fortinet, he held positions as Vice President of Engineering for ServGate Technologies, Inc., a network security provider that was acquired by Amarium Technologies, Inc. in April 2006, Software Director and Architect for NetScreen and Senior Software Engineer for Milkyway Networks Corporation, a network security solutions provider. Mr. Michael Xie has an M.S. in electrical engineering from the University of Manitoba in Canada, as well as a B.S. and an M.S. in automobile engineering from Tsinghua University in China.</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Michael Xie has more than 20 years of technical and operational experience in the network security industry, which includes positions as the President and Chief Technology Officer of Fortinet, the Vice President of Engineering of ServGate and the Software Director and Architect of NetScreen. The Board of Directors believes that Mr. Michael Xie’s deep technical knowledge is invaluable in developing and improving Fortinet’s technology and network security products. The Board of Directors also believes Mr. Michael Xie provides valuable perspective and experience as a co-founder of Fortinet and one of its largest stockholders.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Kenneth A. Goldman </w:t>
      </w:r>
      <w:r>
        <w:rPr>
          <w:rFonts w:ascii="Times New Roman PS Std;serif" w:hAnsi="Times New Roman PS Std;serif"/>
          <w:b w:val="false"/>
          <w:i w:val="false"/>
          <w:caps w:val="false"/>
          <w:smallCaps w:val="false"/>
          <w:sz w:val="20"/>
        </w:rPr>
        <w:t>has served as a member of the Board of Directors since October 2020. Mr. Goldman has served as the President of Hillspire LLC, a family office management company, since September 2017. From October 2012 to June 2017, Mr. Goldman served as the Chief Financial Officer of Yahoo! Inc., a provider of internet content and services. Prior to this, Mr. Goldman was our Senior Vice President and Chief Financial Officer from September 2007 to October 2012. From January 2015 to December 2017, Mr. Goldman served as a member of the PCAOB, Standing Advisory Group. From December 1999 to December 2003, Mr. Goldman served on the Financial Accounting Standards Board’s primary advisory group. Mr. Goldman currently serves on the boards of directors of GoPro, Inc., RingCentral, Inc. and Zuora, Inc. Mr. Goldman is also on the board of directors of the Value Reporting Foundation (“VRF”), which is responsible for the financing, oversight, administration and appointment of the VRF Standard Board. Mr. Goldman holds a B.S. in Electrical Engineering from Cornell University and an M.B.A. from Harvard Business School.</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Goldman has developed expertise in finance, including accounting and financial reporting, as a Chief Financial Officer of Yahoo! Inc. and in other finance roles, and has career experience managing human resources and legal functions. Mr. Goldman also has over ten years of outside board experience at the aforementioned companies and numerous other public and private companies.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Ming Hsieh</w:t>
      </w:r>
      <w:r>
        <w:rPr>
          <w:rFonts w:ascii="Times New Roman PS Std;serif" w:hAnsi="Times New Roman PS Std;serif"/>
          <w:b w:val="false"/>
          <w:i w:val="false"/>
          <w:caps w:val="false"/>
          <w:smallCaps w:val="false"/>
          <w:sz w:val="20"/>
        </w:rPr>
        <w:t xml:space="preserve"> has served as a member of the Board of Directors since April 2013. Mr. Hsieh has served as the Chairman and Chief Executive Officer of Fulgent Therapeutics Inc., a cancer drug research and development company, since September 2012. From October 2010 to June 2012, Mr. Hsieh served as the President of 3M Cogent, Inc., a provider of global biometric identification solutions, following the acquisition of Cogent, Inc. by 3M Company in 2010. Prior to the acquisition, Mr. Hsieh served as the Chief Executive Officer, President and Chairman of the board of directors of Cogent since founding Cogent in 1990. Prior to that, Mr. Hsieh was a research and development engineer at International Rectifier Corporation, a manufacturer of semiconductors, from 1985 to 1987. Mr. Hsieh received a B.S.E.E. from the University of Southern California in 1983 and an M.S.E.E. from University of Southern California in 1984.</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Hsieh has leadership, operational and executive experience by serving as Chief Executive Officer, President and Chairman of the board of directors of Cogent.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Jean Hu</w:t>
      </w:r>
      <w:r>
        <w:rPr>
          <w:rFonts w:ascii="Times New Roman PS Std;serif" w:hAnsi="Times New Roman PS Std;serif"/>
          <w:b w:val="false"/>
          <w:i w:val="false"/>
          <w:caps w:val="false"/>
          <w:smallCaps w:val="false"/>
          <w:sz w:val="20"/>
        </w:rPr>
        <w:t xml:space="preserve"> has served as a member of the Board of Directors since October 2019. Since January 2023, Ms. Hu has served as Executive Vice President and Chief Financial Officer of Advance Micro Devices, Inc., a semiconductor company. Prior to AMD, Ms. Hu served as Executive Vice President and Chief Financial Officer of Marvell Technology Group Ltd., a semiconductor company, from August 2016 to January 2023. Ms. Hu served as Senior Vice President and Chief Financial Officer of Qlogic Corporation, a network server and storage networking company, from April 2011 to August 2016, and as acting Chief Executive Officer of Qlogic from May 2013 to February 2014 and from August 2015 to August 2016. From 2004 to 2011, Ms. Hu served in various senior positions at Conexant Systems, Inc., a semiconductor company, including as Chief Financial Officer and Senior Vice President, Business Development from December 2008 to April 2011 and as Treasurer from June 2009 until April 2011. Ms. Hu holds a B.S. in Chemical Engineering from Beijing University of Chemical Engineering and a Ph.D. in Economics from Claremont Graduate University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Hu has extensive experience in the management of technology companies from her positions at Marvell and Qlogic, and expertise in corporate financing, accounting and financial reporting.</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William H. Neukom</w:t>
      </w:r>
      <w:r>
        <w:rPr>
          <w:rFonts w:ascii="Times New Roman PS Std;serif" w:hAnsi="Times New Roman PS Std;serif"/>
          <w:b w:val="false"/>
          <w:i w:val="false"/>
          <w:caps w:val="false"/>
          <w:smallCaps w:val="false"/>
          <w:sz w:val="20"/>
        </w:rPr>
        <w:t xml:space="preserve"> has served as a member of the Board of Directors since January 2013 and has served as our Lead Independent Director since April 2018. Mr. Neukom is the Founder and Chief Executive Officer of the World Justice Project, an organization devoted to promoting the rule of law throughout the world. He is a retired partner in the Seattle office of the international law firm K&amp;L Gates LLP and is a lecturer at Stanford Law School, where he teaches a seminar on the rule of law. He is a member of the Dean’s Council at Stanford Law School and was its chair from 2012 to 2015. Mr. Neukom was the Chief Executive Officer of the San Francisco Giants major league baseball team from 2008 to 2011, and served as its Chairman Emeritus during 2012. He is a trustee emeritus of Dartmouth College, having served as chair of the board from 2004 to 2007, and was president of the American Bar Association from 2007 to 2008, and was awarded the ABA Medal in 2020. Mr. Neukom was previously the lead lawyer for Microsoft Corporation for nearly 25 years, managing its legal, government affairs and philanthropic activities. He retired from Microsoft as its Executive Vice President of Law and Corporate Affairs in 2002, when he returned to Preston, Gates &amp; Ellis LLP and served as the firm’s chairman from 2003 until its merger with Kirkpatrick &amp; Lockhart Nicholson Graham LLP in 2007. Mr. Neukom also serves on the board of several not-for-profit organizations. Mr. Neukom earned an A.B. from Dartmouth College and an LL.B. from Stanford University.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Neukom has business leadership, operational, legal and executive experience as a result of his service as Managing General Partner and Chief Executive Officer of San Francisco Baseball Associates, as President of the American Bar Association, as a partner at an international law firm and as the Executive Vice President of Law and Corporate Affairs for Microsoft. The Board of Directors believes that Mr. Neukom, with his experience with the technology industry and his expertise in legal, governance and compliance matters, brings a unique and valuable perspective to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Judith Sim</w:t>
      </w:r>
      <w:r>
        <w:rPr>
          <w:rFonts w:ascii="Times New Roman PS Std;serif" w:hAnsi="Times New Roman PS Std;serif"/>
          <w:b w:val="false"/>
          <w:i w:val="false"/>
          <w:caps w:val="false"/>
          <w:smallCaps w:val="false"/>
          <w:sz w:val="20"/>
        </w:rPr>
        <w:t> has served as a member of the Board of Directors since June 2015. Ms. Sim previously held various customer-related and marketing positions at Oracle Corporation from 1991 to April 2020, including as its Chief Marketing Officer from 2005 to April 2020. Ms. Sim received a B.S. in dietetics from the University of California at Davis.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Sim has leadership and executive experience from her position as head of marketing programs at Oracle, including experience in field marketing, corporate communications, global customer programs, advertising, campaigns, events and corporate branding.</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Admiral James Stavridis</w:t>
      </w:r>
      <w:r>
        <w:rPr>
          <w:rFonts w:ascii="Times New Roman PS Std;serif" w:hAnsi="Times New Roman PS Std;serif"/>
          <w:b w:val="false"/>
          <w:i w:val="false"/>
          <w:caps w:val="false"/>
          <w:smallCaps w:val="false"/>
          <w:sz w:val="20"/>
        </w:rPr>
        <w:t>, USN (Ret), PhD has served as a member of the Board of Directors since October 2021. Admiral Stavridis (Ret) spent 37 years in the U.S. Navy, rising to the rank of 4-star Admiral. Among Admiral Stavridis’ (Ret) many commands were four years as the 16th Supreme Allied Commander of NATO, leading the NATO Alliance in global operations and where his responsibilities included cybersecurity. He was the longest serving Combatant Commander in recent U.S. history. In the course of his Navy career, Admiral Stavridis (Ret) served as senior military assistant to the Secretary of the Navy and the Secretary of Defense. He led the Navy’s premier operational think tank for innovation, Deep Blue. Following his military career, Admiral Stavridis (Ret) served for five years as the 12th Dean of The Fletcher School of Law and Diplomacy at Tufts University. While Dean, he created a blended master’s degree in cyber and international relations at Tufts. He is a nationally recognized cybersecurity expert and routinely teaches on cyber challenges and offers insights via speaking appearances. He is currently Managing Director and Vice Chairman, Global Affairs of The Carlyle Group and is Chair of the Board of Trustees of the Rockefeller Foundation. Admiral Stavridis (Ret) attended the U.S. Naval Academy at Annapolis and earned a PhD in international relations from The Fletcher School at Tufts University.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Admiral Stavridis (Ret) has extensive government and leadership experience as a result of his military service. The Board of Directors believes that Admiral Stavridis (Ret), with his experience with NATO and his expertise governance matters, brings a unique and valuable perspective to the Board of Directors.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32" w:name="T50"/>
      <w:bookmarkEnd w:id="32"/>
      <w:r>
        <w:rPr>
          <w:rFonts w:ascii="Times New Roman PS Std;serif" w:hAnsi="Times New Roman PS Std;serif"/>
          <w:b/>
          <w:i w:val="false"/>
          <w:caps w:val="false"/>
          <w:smallCaps w:val="false"/>
          <w:sz w:val="20"/>
        </w:rPr>
        <w:t>Director Expertise and Experience</w:t>
      </w:r>
    </w:p>
    <w:p>
      <w:pPr>
        <w:pStyle w:val="TextBody"/>
        <w:keepNext w:val="false"/>
        <w:pageBreakBefore w:val="false"/>
        <w:widowControl/>
        <w:pBdr/>
        <w:spacing w:before="13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is comprised of a diverse mix of directors with complementary expertise and experience, as summarized in the table below. Our directors may also have limited expertise and experience in addition to what is reflected in the “Number of Directors” column below.</w:t>
      </w:r>
    </w:p>
    <w:tbl>
      <w:tblPr>
        <w:tblW w:w="13144" w:type="dxa"/>
        <w:jc w:val="left"/>
        <w:tblInd w:w="0" w:type="dxa"/>
        <w:tblCellMar>
          <w:top w:w="0" w:type="dxa"/>
          <w:left w:w="0" w:type="dxa"/>
          <w:bottom w:w="0" w:type="dxa"/>
          <w:right w:w="0" w:type="dxa"/>
        </w:tblCellMar>
      </w:tblPr>
      <w:tblGrid>
        <w:gridCol w:w="4516"/>
        <w:gridCol w:w="146"/>
        <w:gridCol w:w="466"/>
        <w:gridCol w:w="146"/>
        <w:gridCol w:w="826"/>
        <w:gridCol w:w="146"/>
        <w:gridCol w:w="1186"/>
        <w:gridCol w:w="146"/>
        <w:gridCol w:w="631"/>
        <w:gridCol w:w="146"/>
        <w:gridCol w:w="496"/>
        <w:gridCol w:w="146"/>
        <w:gridCol w:w="1111"/>
        <w:gridCol w:w="146"/>
        <w:gridCol w:w="661"/>
        <w:gridCol w:w="146"/>
        <w:gridCol w:w="931"/>
        <w:gridCol w:w="146"/>
        <w:gridCol w:w="1006"/>
      </w:tblGrid>
      <w:tr>
        <w:trPr/>
        <w:tc>
          <w:tcPr>
            <w:tcW w:w="4516"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Summary of Expertise, Experience or Attribute</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Ken </w:t>
              <w:br/>
              <w:t>Xie</w:t>
            </w:r>
          </w:p>
        </w:tc>
        <w:tc>
          <w:tcPr>
            <w:tcW w:w="14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Michael Xie</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Kenneth A. Goldman</w:t>
            </w:r>
          </w:p>
        </w:tc>
        <w:tc>
          <w:tcPr>
            <w:tcW w:w="146"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Ming Hsieh</w:t>
            </w:r>
          </w:p>
        </w:tc>
        <w:tc>
          <w:tcPr>
            <w:tcW w:w="146"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Jean Hu</w:t>
            </w:r>
          </w:p>
        </w:tc>
        <w:tc>
          <w:tcPr>
            <w:tcW w:w="146"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William H. Neukom</w:t>
            </w:r>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Judith Sim</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Admiral James Stavridis (Ret)</w:t>
            </w:r>
          </w:p>
        </w:tc>
        <w:tc>
          <w:tcPr>
            <w:tcW w:w="146" w:type="dxa"/>
            <w:tcBorders/>
            <w:shd w:fill="auto" w:val="clear"/>
            <w:vAlign w:val="bottom"/>
          </w:tcPr>
          <w:p>
            <w:pPr>
              <w:pStyle w:val="TableContents"/>
              <w:spacing w:before="0" w:after="283"/>
              <w:rPr/>
            </w:pPr>
            <w:r>
              <w:rPr/>
              <w:t> </w:t>
            </w:r>
          </w:p>
        </w:tc>
        <w:tc>
          <w:tcPr>
            <w:tcW w:w="100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Directors</w:t>
            </w:r>
          </w:p>
        </w:tc>
      </w:tr>
      <w:tr>
        <w:trPr/>
        <w:tc>
          <w:tcPr>
            <w:tcW w:w="451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Cybersecurity </w:t>
              <w:br/>
            </w:r>
            <w:r>
              <w:rPr>
                <w:rFonts w:ascii="Times New Roman PS Std;serif" w:hAnsi="Times New Roman PS Std;serif"/>
                <w:b w:val="false"/>
                <w:i w:val="false"/>
                <w:caps w:val="false"/>
                <w:smallCaps w:val="false"/>
                <w:sz w:val="16"/>
              </w:rPr>
              <w:t>Extensive knowledge of corporate and global issues related to cybersecurity challenges within private and public organizations.</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 of 8</w:t>
            </w:r>
          </w:p>
        </w:tc>
      </w:tr>
      <w:tr>
        <w:trPr/>
        <w:tc>
          <w:tcPr>
            <w:tcW w:w="451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Technology and Product Development </w:t>
              <w:br/>
            </w:r>
            <w:r>
              <w:rPr>
                <w:rFonts w:ascii="Times New Roman PS Std;serif" w:hAnsi="Times New Roman PS Std;serif"/>
                <w:b w:val="false"/>
                <w:i w:val="false"/>
                <w:caps w:val="false"/>
                <w:smallCaps w:val="false"/>
                <w:sz w:val="16"/>
              </w:rPr>
              <w:t>Significant background working in the technology industry, including government sectors, and in management of technology companies; experience in product development, including engineering and design.</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 of 8</w:t>
            </w:r>
          </w:p>
        </w:tc>
      </w:tr>
      <w:tr>
        <w:trPr/>
        <w:tc>
          <w:tcPr>
            <w:tcW w:w="451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Leadership </w:t>
              <w:br/>
            </w:r>
            <w:r>
              <w:rPr>
                <w:rFonts w:ascii="Times New Roman PS Std;serif" w:hAnsi="Times New Roman PS Std;serif"/>
                <w:b w:val="false"/>
                <w:i w:val="false"/>
                <w:caps w:val="false"/>
                <w:smallCaps w:val="false"/>
                <w:sz w:val="16"/>
              </w:rPr>
              <w:t>Extensive executive, director or management experience from leadership and governance roles in corporations, government or public organizations.</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 of 8</w:t>
            </w:r>
          </w:p>
        </w:tc>
      </w:tr>
      <w:tr>
        <w:trPr/>
        <w:tc>
          <w:tcPr>
            <w:tcW w:w="451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Public Service and Legal </w:t>
              <w:br/>
            </w:r>
            <w:r>
              <w:rPr>
                <w:rFonts w:ascii="Times New Roman PS Std;serif" w:hAnsi="Times New Roman PS Std;serif"/>
                <w:b w:val="false"/>
                <w:i w:val="false"/>
                <w:caps w:val="false"/>
                <w:smallCaps w:val="false"/>
                <w:sz w:val="16"/>
              </w:rPr>
              <w:t>Dedication to public service through leadership of government, non-governmental organizations and not-for-profit institutions; extensive experience in legal and compliance matters.</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 of 8</w:t>
            </w:r>
          </w:p>
        </w:tc>
      </w:tr>
      <w:tr>
        <w:trPr/>
        <w:tc>
          <w:tcPr>
            <w:tcW w:w="451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Finance </w:t>
              <w:br/>
            </w:r>
            <w:r>
              <w:rPr>
                <w:rFonts w:ascii="Times New Roman PS Std;serif" w:hAnsi="Times New Roman PS Std;serif"/>
                <w:b w:val="false"/>
                <w:i w:val="false"/>
                <w:caps w:val="false"/>
                <w:smallCaps w:val="false"/>
                <w:sz w:val="16"/>
              </w:rPr>
              <w:t>Leadership of a financial firm or management of the finance function of an enterprise, resulting in financial proficiency and expertise.</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 of 8</w:t>
            </w:r>
          </w:p>
        </w:tc>
      </w:tr>
      <w:tr>
        <w:trPr/>
        <w:tc>
          <w:tcPr>
            <w:tcW w:w="451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Sales and Marketing </w:t>
              <w:br/>
            </w:r>
            <w:r>
              <w:rPr>
                <w:rFonts w:ascii="Times New Roman PS Std;serif" w:hAnsi="Times New Roman PS Std;serif"/>
                <w:b w:val="false"/>
                <w:i w:val="false"/>
                <w:caps w:val="false"/>
                <w:smallCaps w:val="false"/>
                <w:sz w:val="16"/>
              </w:rPr>
              <w:t>Experience in sales or marketing, and leadership of corporate sales or marketing functions.</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 of 8</w:t>
            </w:r>
          </w:p>
        </w:tc>
      </w:tr>
    </w:tbl>
    <w:p>
      <w:pPr>
        <w:pStyle w:val="TextBody"/>
        <w:keepNext w:val="true"/>
        <w:pageBreakBefore w:val="false"/>
        <w:widowControl/>
        <w:pBdr/>
        <w:spacing w:before="200" w:after="283"/>
        <w:jc w:val="left"/>
        <w:rPr>
          <w:rFonts w:ascii="Times New Roman PS Std;serif" w:hAnsi="Times New Roman PS Std;serif"/>
          <w:b/>
          <w:i w:val="false"/>
          <w:caps w:val="false"/>
          <w:smallCaps w:val="false"/>
          <w:sz w:val="20"/>
        </w:rPr>
      </w:pPr>
      <w:bookmarkStart w:id="33" w:name="T49"/>
      <w:bookmarkEnd w:id="33"/>
      <w:r>
        <w:rPr>
          <w:rFonts w:ascii="Times New Roman PS Std;serif" w:hAnsi="Times New Roman PS Std;serif"/>
          <w:b/>
          <w:i w:val="false"/>
          <w:caps w:val="false"/>
          <w:smallCaps w:val="false"/>
          <w:sz w:val="20"/>
        </w:rPr>
        <w:t>Board Diversity Matrix</w:t>
      </w:r>
    </w:p>
    <w:p>
      <w:pPr>
        <w:pStyle w:val="TextBody"/>
        <w:keepNext w:val="false"/>
        <w:pageBreakBefore w:val="false"/>
        <w:widowControl/>
        <w:pBdr/>
        <w:spacing w:before="13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representation of gender, ethnic, geographic, cultural or other perspectives expands the Board of Directors’ understanding of the needs and viewpoints of our customers, partners, employees and other stakeholders. The following matrix discloses the gender and demographic backgrounds of our directors, as self-identified by its members in accordance with Nasdaq Listing Rule 5606.</w:t>
      </w:r>
    </w:p>
    <w:p>
      <w:pPr>
        <w:pStyle w:val="TextBody"/>
        <w:keepNext w:val="true"/>
        <w:pageBreakBefore w:val="false"/>
        <w:widowControl/>
        <w:pBdr/>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the 2023 Annual Meeting:</w:t>
      </w:r>
    </w:p>
    <w:tbl>
      <w:tblPr>
        <w:tblW w:w="10454" w:type="dxa"/>
        <w:jc w:val="left"/>
        <w:tblInd w:w="0" w:type="dxa"/>
        <w:tblCellMar>
          <w:top w:w="0" w:type="dxa"/>
          <w:left w:w="0" w:type="dxa"/>
          <w:bottom w:w="0" w:type="dxa"/>
          <w:right w:w="0" w:type="dxa"/>
        </w:tblCellMar>
      </w:tblPr>
      <w:tblGrid>
        <w:gridCol w:w="1826"/>
        <w:gridCol w:w="146"/>
        <w:gridCol w:w="466"/>
        <w:gridCol w:w="146"/>
        <w:gridCol w:w="826"/>
        <w:gridCol w:w="146"/>
        <w:gridCol w:w="1186"/>
        <w:gridCol w:w="146"/>
        <w:gridCol w:w="631"/>
        <w:gridCol w:w="146"/>
        <w:gridCol w:w="496"/>
        <w:gridCol w:w="146"/>
        <w:gridCol w:w="1111"/>
        <w:gridCol w:w="146"/>
        <w:gridCol w:w="661"/>
        <w:gridCol w:w="146"/>
        <w:gridCol w:w="931"/>
        <w:gridCol w:w="146"/>
        <w:gridCol w:w="1006"/>
      </w:tblGrid>
      <w:tr>
        <w:trPr/>
        <w:tc>
          <w:tcPr>
            <w:tcW w:w="182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Ken Xie</w:t>
            </w:r>
          </w:p>
        </w:tc>
        <w:tc>
          <w:tcPr>
            <w:tcW w:w="14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Michael Xie</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Kenneth A. Goldman</w:t>
            </w:r>
          </w:p>
        </w:tc>
        <w:tc>
          <w:tcPr>
            <w:tcW w:w="146"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Ming Hsieh</w:t>
            </w:r>
          </w:p>
        </w:tc>
        <w:tc>
          <w:tcPr>
            <w:tcW w:w="146"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Jean Hu</w:t>
            </w:r>
          </w:p>
        </w:tc>
        <w:tc>
          <w:tcPr>
            <w:tcW w:w="146"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William H. Neukom</w:t>
            </w:r>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Judith Sim</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Admiral James Stavridis (Ret)</w:t>
            </w:r>
          </w:p>
        </w:tc>
        <w:tc>
          <w:tcPr>
            <w:tcW w:w="146" w:type="dxa"/>
            <w:tcBorders/>
            <w:shd w:fill="auto" w:val="clear"/>
            <w:vAlign w:val="bottom"/>
          </w:tcPr>
          <w:p>
            <w:pPr>
              <w:pStyle w:val="TableContents"/>
              <w:spacing w:before="0" w:after="283"/>
              <w:rPr/>
            </w:pPr>
            <w:r>
              <w:rPr/>
              <w:t> </w:t>
            </w:r>
          </w:p>
        </w:tc>
        <w:tc>
          <w:tcPr>
            <w:tcW w:w="100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Directors</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Part I: Gender Identity</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spacing w:before="0" w:after="283"/>
              <w:rPr/>
            </w:pPr>
            <w:r>
              <w:rPr/>
              <w:t> </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Female</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 of 8</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Male</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 of 8</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Non-Binary</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Did Not Disclose Gender</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Part II: Demographic Background</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spacing w:before="0" w:after="283"/>
              <w:rPr/>
            </w:pPr>
            <w:r>
              <w:rPr/>
              <w:t> </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African American or Black</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Alaskan Native of Native American</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Asian</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 of 8</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Hispanic or Latinx</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Native Hawaiian or Pacific Islander</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White</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 of 8</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Two or more Races or Ethnicities</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LGBTQ+</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Military Veteran</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 of 8</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Did Not Disclose Demographic Background</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18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the 2022 Annual Meeting:</w:t>
      </w:r>
    </w:p>
    <w:tbl>
      <w:tblPr>
        <w:tblW w:w="11561" w:type="dxa"/>
        <w:jc w:val="left"/>
        <w:tblInd w:w="0" w:type="dxa"/>
        <w:tblCellMar>
          <w:top w:w="0" w:type="dxa"/>
          <w:left w:w="0" w:type="dxa"/>
          <w:bottom w:w="0" w:type="dxa"/>
          <w:right w:w="0" w:type="dxa"/>
        </w:tblCellMar>
      </w:tblPr>
      <w:tblGrid>
        <w:gridCol w:w="1826"/>
        <w:gridCol w:w="146"/>
        <w:gridCol w:w="466"/>
        <w:gridCol w:w="146"/>
        <w:gridCol w:w="826"/>
        <w:gridCol w:w="146"/>
        <w:gridCol w:w="961"/>
        <w:gridCol w:w="146"/>
        <w:gridCol w:w="1186"/>
        <w:gridCol w:w="146"/>
        <w:gridCol w:w="631"/>
        <w:gridCol w:w="146"/>
        <w:gridCol w:w="496"/>
        <w:gridCol w:w="146"/>
        <w:gridCol w:w="1111"/>
        <w:gridCol w:w="146"/>
        <w:gridCol w:w="661"/>
        <w:gridCol w:w="146"/>
        <w:gridCol w:w="931"/>
        <w:gridCol w:w="146"/>
        <w:gridCol w:w="1006"/>
      </w:tblGrid>
      <w:tr>
        <w:trPr/>
        <w:tc>
          <w:tcPr>
            <w:tcW w:w="182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Ken Xie</w:t>
            </w:r>
          </w:p>
        </w:tc>
        <w:tc>
          <w:tcPr>
            <w:tcW w:w="14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Michael Xie</w:t>
            </w:r>
          </w:p>
        </w:tc>
        <w:tc>
          <w:tcPr>
            <w:tcW w:w="146"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Kelly Ducourty</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Kenneth A. Goldman</w:t>
            </w:r>
          </w:p>
        </w:tc>
        <w:tc>
          <w:tcPr>
            <w:tcW w:w="146"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Ming Hsieh</w:t>
            </w:r>
          </w:p>
        </w:tc>
        <w:tc>
          <w:tcPr>
            <w:tcW w:w="146"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Jean Hu</w:t>
            </w:r>
          </w:p>
        </w:tc>
        <w:tc>
          <w:tcPr>
            <w:tcW w:w="146"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William H. Neukom</w:t>
            </w:r>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Judith Sim</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Admiral James Stavridis (Ret)</w:t>
            </w:r>
          </w:p>
        </w:tc>
        <w:tc>
          <w:tcPr>
            <w:tcW w:w="146" w:type="dxa"/>
            <w:tcBorders/>
            <w:shd w:fill="auto" w:val="clear"/>
            <w:vAlign w:val="bottom"/>
          </w:tcPr>
          <w:p>
            <w:pPr>
              <w:pStyle w:val="TableContents"/>
              <w:spacing w:before="0" w:after="283"/>
              <w:rPr/>
            </w:pPr>
            <w:r>
              <w:rPr/>
              <w:t> </w:t>
            </w:r>
          </w:p>
        </w:tc>
        <w:tc>
          <w:tcPr>
            <w:tcW w:w="100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Directors</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Part I: Gender Identity</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spacing w:before="0" w:after="283"/>
              <w:rPr/>
            </w:pPr>
            <w:r>
              <w:rPr/>
              <w:t> </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Female</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6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 of 9</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Male</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9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 of 9</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Non-Binary</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Did Not Disclose Gender</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Part II: Demographic Background</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spacing w:before="0" w:after="283"/>
              <w:rPr/>
            </w:pPr>
            <w:r>
              <w:rPr/>
              <w:t> </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African American or Black</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Alaskan Native of Native American</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Asian</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9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 of 9</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Hispanic or Latinx</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Native Hawaiian or Pacific Islander</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White</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6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 of 9</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Two or more Races or Ethnicities</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LGBTQ+</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Military Veteran</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 of 9</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Did Not Disclose Demographic Background</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bl>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34" w:name="T48"/>
      <w:bookmarkEnd w:id="34"/>
      <w:r>
        <w:rPr>
          <w:rFonts w:ascii="Times New Roman PS Std;serif" w:hAnsi="Times New Roman PS Std;serif"/>
          <w:b/>
          <w:i w:val="false"/>
          <w:caps w:val="false"/>
          <w:smallCaps w:val="false"/>
          <w:sz w:val="20"/>
        </w:rPr>
        <w:t>Director Tenure and Age Distribution</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believe that our current Board of Directors composition represents an effective balance with respect to director tenure and age. Recent director additions provide the Board of Directors with fresh perspectives and diverse experiences, while directors with longer tenure provide continuity and valuable insight into our business and strategy. The following tables provide information regarding the current tenure and age distribution of the Board of Directors (as of March 31, 2023).</w:t>
      </w:r>
    </w:p>
    <w:tbl>
      <w:tblPr>
        <w:tblW w:w="7882" w:type="dxa"/>
        <w:jc w:val="left"/>
        <w:tblInd w:w="0" w:type="dxa"/>
        <w:tblCellMar>
          <w:top w:w="0" w:type="dxa"/>
          <w:left w:w="0" w:type="dxa"/>
          <w:bottom w:w="0" w:type="dxa"/>
          <w:right w:w="0" w:type="dxa"/>
        </w:tblCellMar>
      </w:tblPr>
      <w:tblGrid>
        <w:gridCol w:w="1996"/>
        <w:gridCol w:w="146"/>
        <w:gridCol w:w="1996"/>
        <w:gridCol w:w="146"/>
        <w:gridCol w:w="1411"/>
        <w:gridCol w:w="146"/>
        <w:gridCol w:w="2041"/>
      </w:tblGrid>
      <w:tr>
        <w:trPr/>
        <w:tc>
          <w:tcPr>
            <w:tcW w:w="1996" w:type="dxa"/>
            <w:tcBorders/>
            <w:shd w:fill="auto" w:val="clear"/>
            <w:vAlign w:val="bottom"/>
          </w:tcPr>
          <w:p>
            <w:pPr>
              <w:pStyle w:val="TableContents"/>
              <w:keepNext w:val="false"/>
              <w:widowControl/>
              <w:pBdr/>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Tenure</w:t>
            </w:r>
          </w:p>
        </w:tc>
        <w:tc>
          <w:tcPr>
            <w:tcW w:w="146" w:type="dxa"/>
            <w:tcBorders/>
            <w:shd w:fill="auto" w:val="clear"/>
            <w:vAlign w:val="bottom"/>
          </w:tcPr>
          <w:p>
            <w:pPr>
              <w:pStyle w:val="TableContents"/>
              <w:spacing w:before="0" w:after="283"/>
              <w:rPr/>
            </w:pPr>
            <w:r>
              <w:rPr/>
              <w:t> </w:t>
            </w:r>
          </w:p>
        </w:tc>
        <w:tc>
          <w:tcPr>
            <w:tcW w:w="199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Directors</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Age</w:t>
            </w:r>
          </w:p>
        </w:tc>
        <w:tc>
          <w:tcPr>
            <w:tcW w:w="146"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Directors</w:t>
            </w:r>
          </w:p>
        </w:tc>
      </w:tr>
      <w:tr>
        <w:trPr/>
        <w:tc>
          <w:tcPr>
            <w:tcW w:w="199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 than 10 years</w:t>
            </w:r>
          </w:p>
        </w:tc>
        <w:tc>
          <w:tcPr>
            <w:tcW w:w="146" w:type="dxa"/>
            <w:tcBorders/>
            <w:shd w:fill="CCEEFF" w:val="clear"/>
          </w:tcPr>
          <w:p>
            <w:pPr>
              <w:pStyle w:val="TableContents"/>
              <w:spacing w:before="0" w:after="283"/>
              <w:rPr/>
            </w:pPr>
            <w:r>
              <w:rPr/>
              <w:t> </w:t>
            </w:r>
          </w:p>
        </w:tc>
        <w:tc>
          <w:tcPr>
            <w:tcW w:w="199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tcPr>
          <w:p>
            <w:pPr>
              <w:pStyle w:val="TableContents"/>
              <w:spacing w:before="0" w:after="283"/>
              <w:rPr/>
            </w:pPr>
            <w:r>
              <w:rPr/>
              <w:t> </w:t>
            </w:r>
          </w:p>
        </w:tc>
        <w:tc>
          <w:tcPr>
            <w:tcW w:w="141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 years</w:t>
            </w:r>
          </w:p>
        </w:tc>
        <w:tc>
          <w:tcPr>
            <w:tcW w:w="146" w:type="dxa"/>
            <w:tcBorders/>
            <w:shd w:fill="CCEEFF" w:val="clear"/>
          </w:tcPr>
          <w:p>
            <w:pPr>
              <w:pStyle w:val="TableContents"/>
              <w:spacing w:before="0" w:after="283"/>
              <w:rPr/>
            </w:pPr>
            <w:r>
              <w:rPr/>
              <w:t> </w:t>
            </w:r>
          </w:p>
        </w:tc>
        <w:tc>
          <w:tcPr>
            <w:tcW w:w="204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199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 10 years</w:t>
            </w:r>
          </w:p>
        </w:tc>
        <w:tc>
          <w:tcPr>
            <w:tcW w:w="146" w:type="dxa"/>
            <w:tcBorders/>
            <w:shd w:fill="auto" w:val="clear"/>
          </w:tcPr>
          <w:p>
            <w:pPr>
              <w:pStyle w:val="TableContents"/>
              <w:spacing w:before="0" w:after="283"/>
              <w:rPr/>
            </w:pPr>
            <w:r>
              <w:rPr/>
              <w:t> </w:t>
            </w:r>
          </w:p>
        </w:tc>
        <w:tc>
          <w:tcPr>
            <w:tcW w:w="199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shd w:fill="auto" w:val="clear"/>
          </w:tcPr>
          <w:p>
            <w:pPr>
              <w:pStyle w:val="TableContents"/>
              <w:spacing w:before="0" w:after="283"/>
              <w:rPr/>
            </w:pPr>
            <w:r>
              <w:rPr/>
              <w:t> </w:t>
            </w:r>
          </w:p>
        </w:tc>
        <w:tc>
          <w:tcPr>
            <w:tcW w:w="1411"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 – 70 years</w:t>
            </w:r>
          </w:p>
        </w:tc>
        <w:tc>
          <w:tcPr>
            <w:tcW w:w="146" w:type="dxa"/>
            <w:tcBorders/>
            <w:shd w:fill="auto" w:val="clear"/>
          </w:tcPr>
          <w:p>
            <w:pPr>
              <w:pStyle w:val="TableContents"/>
              <w:spacing w:before="0" w:after="283"/>
              <w:rPr/>
            </w:pPr>
            <w:r>
              <w:rPr/>
              <w:t> </w:t>
            </w:r>
          </w:p>
        </w:tc>
        <w:tc>
          <w:tcPr>
            <w:tcW w:w="2041"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199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 – 5 years</w:t>
            </w:r>
          </w:p>
        </w:tc>
        <w:tc>
          <w:tcPr>
            <w:tcW w:w="146" w:type="dxa"/>
            <w:tcBorders/>
            <w:shd w:fill="CCEEFF" w:val="clear"/>
          </w:tcPr>
          <w:p>
            <w:pPr>
              <w:pStyle w:val="TableContents"/>
              <w:spacing w:before="0" w:after="283"/>
              <w:rPr/>
            </w:pPr>
            <w:r>
              <w:rPr/>
              <w:t> </w:t>
            </w:r>
          </w:p>
        </w:tc>
        <w:tc>
          <w:tcPr>
            <w:tcW w:w="199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tcPr>
          <w:p>
            <w:pPr>
              <w:pStyle w:val="TableContents"/>
              <w:spacing w:before="0" w:after="283"/>
              <w:rPr/>
            </w:pPr>
            <w:r>
              <w:rPr/>
              <w:t> </w:t>
            </w:r>
          </w:p>
        </w:tc>
        <w:tc>
          <w:tcPr>
            <w:tcW w:w="141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 – 60 years</w:t>
            </w:r>
          </w:p>
        </w:tc>
        <w:tc>
          <w:tcPr>
            <w:tcW w:w="146" w:type="dxa"/>
            <w:tcBorders/>
            <w:shd w:fill="CCEEFF" w:val="clear"/>
          </w:tcPr>
          <w:p>
            <w:pPr>
              <w:pStyle w:val="TableContents"/>
              <w:spacing w:before="0" w:after="283"/>
              <w:rPr/>
            </w:pPr>
            <w:r>
              <w:rPr/>
              <w:t> </w:t>
            </w:r>
          </w:p>
        </w:tc>
        <w:tc>
          <w:tcPr>
            <w:tcW w:w="204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bl>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35" w:name="T47"/>
      <w:bookmarkEnd w:id="35"/>
      <w:r>
        <w:rPr>
          <w:rFonts w:ascii="Times New Roman PS Std;serif" w:hAnsi="Times New Roman PS Std;serif"/>
          <w:b/>
          <w:i w:val="false"/>
          <w:caps w:val="false"/>
          <w:smallCaps w:val="false"/>
          <w:sz w:val="20"/>
        </w:rPr>
        <w:t>Board Evaluations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is committed to a robust self-evaluation process designed for continuous improvement. To achieve this, the Board of Directors conducts an annual self-evaluation for itself and its committees. As part of this process, each member of the Board of Directors completes a survey conducted by a third-party consulting firm to provide feedback and/or individually meets with the consulting firm to discuss, the processes, structure, composition and effectiveness of the Board of the Directors. The evaluation process is designed to help the Board of Directors assess the performance of the Board of Directors and its committees, their own individual performance and the individual performances of fellow directors. The third-party consulting firm also collects feedback on the Board of Directors as a whole and each individual director from key members of management. The feedback received from the Board of Directors and management is shared first with the Governance Committee, and then made available to the individual directors and the full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evaluation process is used: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the Board of Directors and the Governance Committee to assess the current composition of the Board of Directors and its committees and make recommendations for the qualifications, expertise and characteristics we should seek in identifying potential new directors;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the Board of Directors and the Governance Committee to identify the strengths and areas of opportunity of each member of the Board of Directors, the Board as a whole and each committee;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the Board of Directors to provide insight into how the Board as a whole, each committee and each member of the Board of Directors can be most valuable;</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improve agenda topics of the Board of Directors and its committees so that information they receive enables them to effectively address the issues they consider most critical;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the Governance Committee as part of its annual review of each director’s performance when considering whether to recommend the nomination of the director for re-election to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w:t>
      </w:r>
      <w:r>
        <w:rPr>
          <w:rFonts w:ascii="Times New Roman PS Std;serif" w:hAnsi="Times New Roman PS Std;serif"/>
          <w:b w:val="false"/>
          <w:i/>
          <w:caps w:val="false"/>
          <w:smallCaps w:val="false"/>
          <w:sz w:val="20"/>
        </w:rPr>
        <w:t>Corporate Governance</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Executive Compensation — Compensation of Directors</w:t>
      </w:r>
      <w:r>
        <w:rPr>
          <w:rFonts w:ascii="Times New Roman PS Std;serif" w:hAnsi="Times New Roman PS Std;serif"/>
          <w:b w:val="false"/>
          <w:i w:val="false"/>
          <w:caps w:val="false"/>
          <w:smallCaps w:val="false"/>
          <w:sz w:val="20"/>
        </w:rPr>
        <w:t>” for additional information regarding the Board of Directors.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6" w:name="T99128"/>
      <w:bookmarkEnd w:id="36"/>
      <w:r>
        <w:rPr>
          <w:rFonts w:ascii="Times New Roman PS Std;serif" w:hAnsi="Times New Roman PS Std;serif"/>
          <w:b/>
          <w:i w:val="false"/>
          <w:caps w:val="false"/>
          <w:smallCaps w:val="false"/>
          <w:sz w:val="20"/>
        </w:rPr>
        <w:t>PROPOSAL TWO</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RATIFICATION OF APPOINTMENT OF</w:t>
        <w:br/>
        <w:t>INDEPENDENT REGISTERED PUBLIC ACCOUNTING FIRM</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37" w:name="T46"/>
      <w:bookmarkEnd w:id="37"/>
      <w:r>
        <w:rPr>
          <w:rFonts w:ascii="Times New Roman PS Std;serif" w:hAnsi="Times New Roman PS Std;serif"/>
          <w:b/>
          <w:i w:val="false"/>
          <w:caps w:val="false"/>
          <w:smallCaps w:val="false"/>
          <w:sz w:val="20"/>
        </w:rPr>
        <w:t>General</w:t>
      </w:r>
    </w:p>
    <w:p>
      <w:pPr>
        <w:pStyle w:val="TextBody"/>
        <w:keepNext w:val="false"/>
        <w:pageBreakBefore w:val="false"/>
        <w:widowControl/>
        <w:pBdr/>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of the Board of Directors (the “Audit Committee”) has selected Deloitte &amp; Touche LLP as Fortinet’s independent registered public accounting firm to audit the financial statements of Fortinet for the fiscal year ending December 31, 2023, which will include an audit of the effectiveness of Fortinet’s internal control over financial reporting. A representative of Deloitte &amp; Touche LLP is expected to be present at the 2023 Annual Meeting, will have the opportunity to make a statement if such representative desires to do so and is expected to be available to respond to appropriate questions.</w:t>
      </w:r>
    </w:p>
    <w:p>
      <w:pPr>
        <w:pStyle w:val="TextBody"/>
        <w:keepNext w:val="false"/>
        <w:pageBreakBefore w:val="false"/>
        <w:widowControl/>
        <w:pBdr/>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appointment is not ratified, the Audit Committee will consider whether it should select other independent auditors. Even if the appointment is ratified, the Audit Committee, in its discretion, may direct the appointment of a different independent registered public accounting firm as Fortinet’s independent auditors at any time during the year if the Audit Committee determines that such a change would be in Fortinet’s and its stockholders’ best interests.</w:t>
      </w:r>
    </w:p>
    <w:p>
      <w:pPr>
        <w:pStyle w:val="TextBody"/>
        <w:keepNext w:val="true"/>
        <w:pageBreakBefore w:val="false"/>
        <w:widowControl/>
        <w:pBdr/>
        <w:spacing w:before="1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“FOR” THE RATIFICATION OF THE APPOINTMENT OF DELOITTE &amp; TOUCHE LLP AS FORTINET’S INDEPENDENT REGISTERED PUBLIC ACCOUNTING FIRM FOR THE FISCAL YEAR ENDING DECEMBER 31, 2023.</w:t>
      </w:r>
    </w:p>
    <w:p>
      <w:pPr>
        <w:pStyle w:val="TextBody"/>
        <w:keepNext w:val="true"/>
        <w:pageBreakBefore w:val="false"/>
        <w:widowControl/>
        <w:pBdr/>
        <w:spacing w:before="180" w:after="283"/>
        <w:jc w:val="left"/>
        <w:rPr>
          <w:rFonts w:ascii="Times New Roman PS Std;serif" w:hAnsi="Times New Roman PS Std;serif"/>
          <w:b/>
          <w:i w:val="false"/>
          <w:caps w:val="false"/>
          <w:smallCaps w:val="false"/>
          <w:sz w:val="20"/>
        </w:rPr>
      </w:pPr>
      <w:bookmarkStart w:id="38" w:name="T45"/>
      <w:bookmarkEnd w:id="38"/>
      <w:r>
        <w:rPr>
          <w:rFonts w:ascii="Times New Roman PS Std;serif" w:hAnsi="Times New Roman PS Std;serif"/>
          <w:b/>
          <w:i w:val="false"/>
          <w:caps w:val="false"/>
          <w:smallCaps w:val="false"/>
          <w:sz w:val="20"/>
        </w:rPr>
        <w:t>Principal Accounting Fees and Services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fees billed for professional audit services and other services rendered to Fortinet by Deloitte &amp; Touche LLP for the years ended December 31, 2022 and December 31, 2021.</w:t>
      </w:r>
    </w:p>
    <w:tbl>
      <w:tblPr>
        <w:tblW w:w="5157" w:type="dxa"/>
        <w:jc w:val="left"/>
        <w:tblInd w:w="0" w:type="dxa"/>
        <w:tblCellMar>
          <w:top w:w="0" w:type="dxa"/>
          <w:left w:w="0" w:type="dxa"/>
          <w:bottom w:w="0" w:type="dxa"/>
          <w:right w:w="0" w:type="dxa"/>
        </w:tblCellMar>
      </w:tblPr>
      <w:tblGrid>
        <w:gridCol w:w="2236"/>
        <w:gridCol w:w="146"/>
        <w:gridCol w:w="226"/>
        <w:gridCol w:w="1066"/>
        <w:gridCol w:w="146"/>
        <w:gridCol w:w="226"/>
        <w:gridCol w:w="1111"/>
      </w:tblGrid>
      <w:tr>
        <w:trPr/>
        <w:tc>
          <w:tcPr>
            <w:tcW w:w="223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2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2022</w:t>
            </w:r>
          </w:p>
        </w:tc>
        <w:tc>
          <w:tcPr>
            <w:tcW w:w="146" w:type="dxa"/>
            <w:tcBorders/>
            <w:shd w:fill="auto" w:val="clear"/>
            <w:vAlign w:val="bottom"/>
          </w:tcPr>
          <w:p>
            <w:pPr>
              <w:pStyle w:val="TableContents"/>
              <w:spacing w:before="0" w:after="283"/>
              <w:rPr/>
            </w:pPr>
            <w:r>
              <w:rPr/>
              <w:t> </w:t>
            </w:r>
          </w:p>
        </w:tc>
        <w:tc>
          <w:tcPr>
            <w:tcW w:w="13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2021</w:t>
            </w:r>
          </w:p>
        </w:tc>
      </w:tr>
      <w:tr>
        <w:trPr/>
        <w:tc>
          <w:tcPr>
            <w:tcW w:w="22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Fees(1)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4,717,260</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3,109,169</w:t>
            </w:r>
          </w:p>
        </w:tc>
      </w:tr>
      <w:tr>
        <w:trPr/>
        <w:tc>
          <w:tcPr>
            <w:tcW w:w="22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Audit-Related Fees(2)</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969,300</w:t>
            </w:r>
          </w:p>
        </w:tc>
      </w:tr>
      <w:tr>
        <w:trPr/>
        <w:tc>
          <w:tcPr>
            <w:tcW w:w="22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Fees(3)</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602,286</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619,244</w:t>
            </w:r>
          </w:p>
        </w:tc>
      </w:tr>
      <w:tr>
        <w:trPr/>
        <w:tc>
          <w:tcPr>
            <w:tcW w:w="22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Fees(4)</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1,895</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223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5,321,441</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4,697,713</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Audit Fees consist of fees for professional services provided in connection with the audit of our annual consolidated financial statements, audit of our internal control over financial reporting, the review of our quarterly consolidated financial statements and audit services that are normally provided by the independent registered public accounting firm in connection with statutory and regulatory filings for those fiscal years.</w:t>
      </w:r>
    </w:p>
    <w:p>
      <w:pPr>
        <w:pStyle w:val="TextBody"/>
        <w:keepNext w:val="false"/>
        <w:pageBreakBefore w:val="false"/>
        <w:widowControl/>
        <w:pBdr/>
        <w:spacing w:before="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Audit-Related Fees consist of fees for assurance and related services that are reasonably related to the performance of the audit or review of our consolidated financial statements and which are not reported under Audit Fees above. In 2021, Audit-Related Fees related primarily to debt offering, business combination and equity investment services.</w:t>
      </w:r>
    </w:p>
    <w:p>
      <w:pPr>
        <w:pStyle w:val="TextBody"/>
        <w:keepNext w:val="false"/>
        <w:pageBreakBefore w:val="false"/>
        <w:widowControl/>
        <w:pBdr/>
        <w:spacing w:before="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Tax Fees consist of fees for services related to federal and state income tax compliance, transfer pricing review, reports related to research and development credits, country-by-country reporting, the Foreign Derived Intangible Income and routine tax consulting.</w:t>
      </w:r>
    </w:p>
    <w:p>
      <w:pPr>
        <w:pStyle w:val="TextBody"/>
        <w:keepNext w:val="false"/>
        <w:pageBreakBefore w:val="false"/>
        <w:widowControl/>
        <w:pBdr/>
        <w:spacing w:before="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All Other Fees consist of products and services provided by Deloitte &amp; Touche LLP that are not included in the service categories reported above.</w:t>
      </w:r>
    </w:p>
    <w:p>
      <w:pPr>
        <w:pStyle w:val="TextBody"/>
        <w:keepNext w:val="true"/>
        <w:pageBreakBefore w:val="false"/>
        <w:widowControl/>
        <w:pBdr/>
        <w:spacing w:before="180" w:after="283"/>
        <w:jc w:val="left"/>
        <w:rPr>
          <w:rFonts w:ascii="Times New Roman PS Std;serif" w:hAnsi="Times New Roman PS Std;serif"/>
          <w:b/>
          <w:i w:val="false"/>
          <w:caps w:val="false"/>
          <w:smallCaps w:val="false"/>
          <w:sz w:val="20"/>
        </w:rPr>
      </w:pPr>
      <w:bookmarkStart w:id="39" w:name="T44"/>
      <w:bookmarkEnd w:id="39"/>
      <w:r>
        <w:rPr>
          <w:rFonts w:ascii="Times New Roman PS Std;serif" w:hAnsi="Times New Roman PS Std;serif"/>
          <w:b/>
          <w:i w:val="false"/>
          <w:caps w:val="false"/>
          <w:smallCaps w:val="false"/>
          <w:sz w:val="20"/>
        </w:rPr>
        <w:t>Approval of Audit and Non-Audit Services</w:t>
      </w:r>
    </w:p>
    <w:p>
      <w:pPr>
        <w:pStyle w:val="TextBody"/>
        <w:keepNext w:val="false"/>
        <w:pageBreakBefore w:val="false"/>
        <w:widowControl/>
        <w:pBdr/>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its charter, the Audit Committee is required to (i) review and approve, in advance, the scope and plans for all audits and audit fees and (ii) approve, in advance, all non-audit services to be performed by our independent auditor that are not otherwise prohibited by law and any associated fees.</w:t>
      </w:r>
    </w:p>
    <w:p>
      <w:pPr>
        <w:pStyle w:val="TextBody"/>
        <w:keepNext w:val="false"/>
        <w:pageBreakBefore w:val="false"/>
        <w:widowControl/>
        <w:pBdr/>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Deloitte &amp; Touche LLP services and fees in fiscal 2022 and fiscal 2021 were approved by the Audit Committee.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40" w:name="T99129"/>
      <w:bookmarkEnd w:id="40"/>
      <w:r>
        <w:rPr>
          <w:rFonts w:ascii="Times New Roman PS Std;serif" w:hAnsi="Times New Roman PS Std;serif"/>
          <w:b/>
          <w:i w:val="false"/>
          <w:caps w:val="false"/>
          <w:smallCaps w:val="false"/>
          <w:sz w:val="20"/>
        </w:rPr>
        <w:t>PROPOSAL THREE</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ADVISORY VOTE TO APPROVE NAMED EXECUTIVE OFFICER COMPENSATION</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Section 14A of the Exchange Act and the corresponding rules of the SEC, Fortinet is seeking stockholder approval, on an advisory and non-binding basis, of the compensation of our named executive officers as disclosed in accordance with the SEC’s rules in the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section of this Proxy Statement.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compensation philosophy, policies and practices described in this Proxy Statement.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say-on-pay vote is advisory, and therefore not binding on Fortinet, the Human Resources Committee of the Board of Directors (the “Human Resources Committee”) or the Board of Directors. Following the 2023 Annual Meeting, the next such non-binding advisory vote to approve our named executive officers’ compensation as a whole is scheduled to occur at the 2024 Annual Meeting.</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and the Human Resources Committee value the opinions of our stockholders and the say-on-pay vote provides information to us regarding stockholder sentiment about our executive compensation philosophy, policies and practices, which the Human Resources Committee will be able to consider when determining executive compensation for the remainder of the current fiscal year and beyond. To the extent there is any significant vote against the compensation of our named executive officers as disclosed in this Proxy Statement, we will consider our stockholders’ concerns, and the Human Resources Committee will evaluate whether any actions are necessary to address those concerns. We believe that the information we have provided in the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section of this Proxy Statement, and in particular the information discussed in “</w:t>
      </w:r>
      <w:r>
        <w:rPr>
          <w:rFonts w:ascii="Times New Roman PS Std;serif" w:hAnsi="Times New Roman PS Std;serif"/>
          <w:b w:val="false"/>
          <w:i/>
          <w:caps w:val="false"/>
          <w:smallCaps w:val="false"/>
          <w:sz w:val="20"/>
        </w:rPr>
        <w:t>Executive Compensation — Compensation Discussion and Analysis,</w:t>
      </w:r>
      <w:r>
        <w:rPr>
          <w:rFonts w:ascii="Times New Roman PS Std;serif" w:hAnsi="Times New Roman PS Std;serif"/>
          <w:b w:val="false"/>
          <w:i w:val="false"/>
          <w:caps w:val="false"/>
          <w:smallCaps w:val="false"/>
          <w:sz w:val="20"/>
        </w:rPr>
        <w:t>” demonstrates that our executive compensation program was designed appropriately and is working to ensure our executive officers’ interests are aligned with our stockholders’ interests. Accordingly, we ask our stockholders to vote “FOR” the following resolution at the 2023 Annual Meeting:</w:t>
      </w:r>
    </w:p>
    <w:p>
      <w:pPr>
        <w:pStyle w:val="TextBody"/>
        <w:keepNext w:val="false"/>
        <w:pageBreakBefore w:val="false"/>
        <w:widowControl/>
        <w:pBdr/>
        <w:spacing w:before="160" w:after="283"/>
        <w:ind w:left="0" w:right="0" w:firstLine="4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that Fortinet’s stockholders approve, on an advisory basis, the compensation of the named executive officers, as disclosed in Fortinet’s Proxy Statement for the 2023 Annual Meeting pursuant to the Item 402 of Regulation S-K, including the Compensation Discussion and Analysis, the compensation tables and narrative discussion and the other related disclosure.”</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“FOR” THIS PROPOSAL.</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41" w:name="T99130"/>
      <w:bookmarkEnd w:id="41"/>
      <w:r>
        <w:rPr>
          <w:rFonts w:ascii="Times New Roman PS Std;serif" w:hAnsi="Times New Roman PS Std;serif"/>
          <w:b/>
          <w:i w:val="false"/>
          <w:caps w:val="false"/>
          <w:smallCaps w:val="false"/>
          <w:sz w:val="20"/>
        </w:rPr>
        <w:t>PROPOSAL FOUR</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ADVISORY VOTE ON THE FREQUENCY OF FUTURE ADVISORY VOTES</w:t>
        <w:br/>
        <w:t>TO APPROVE NAMED EXECUTIVE OFFICER COMPENSATION</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Section 14A of the Exchange Act and the rules of the SEC, we are providing our stockholders with an opportunity to make a non-binding, advisory vote on the frequency of future advisory votes to approve the compensation of our named executive officers. This non-binding advisory vote must be submitted to stockholders at least once every six years, and we most recently submitted this vote to our stockholders in 2017.</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may indicate whether they would prefer a non-binding vote on named executive officer compensation to occur once every “ONE YEAR,” TWO YEARS” or “THREE YEARS.” Stockholders may also “ABSTAIN” from voting. The frequency that is selected by the greatest number of shares of our common stock that are present in person or represented by proxy at the 2023 Annual Meeting and entitled to vote will be considered preference of our stockholders. However, because this vote is advisory and non-binding, the Huma Resources Committee or the Board of Directors may decide that it is in the best interests of our stockholders and Fortinet to hold future advisory votes to approve the compensation of our named executive officers more or less frequently than the frequency approved by our stockholders.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careful consideration, the Board of Directors recommends that future non-binding advisory votes on the compensation of our named executive officers be held every year.</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UNANIMOUSLY RECOMMENDS A VOTE OF</w:t>
        <w:br/>
        <w:t>EVERY “ONE YEAR” ON THIS PROPOSAL.</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42" w:name="T99131"/>
      <w:bookmarkEnd w:id="42"/>
      <w:r>
        <w:rPr>
          <w:rFonts w:ascii="Times New Roman PS Std;serif" w:hAnsi="Times New Roman PS Std;serif"/>
          <w:b/>
          <w:i w:val="false"/>
          <w:caps w:val="false"/>
          <w:smallCaps w:val="false"/>
          <w:sz w:val="20"/>
        </w:rPr>
        <w:t>PROPOSAL FIVE</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ADOPTION OF AN AMENDMENT TO THE CURRENT CERTIFICATE IN ORDER TO REMOVE</w:t>
        <w:br/>
        <w:t>THE SUPERMAJORITY VOTING REQUIREMENT AND MAKE CERTAIN OTHER CHANGES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Proposal</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Presently, the affirmative vote of the holders of at least 66 2/3% of the voting power of all then outstanding shares of our capital stock entitled to vote generally in the election of directors is required to amend, alter or repeal the Current Certificate, or to adopt any provision inconsistent with the purpose and intent of Article V, Article VI, Article VIII or Article X (including, without limitation, any such Article as renumbered as a result of any amendment, alteration, change, repeal or adoption of any other Article) of the Current Certificate, in addition to any other vote that may be required by law or any preferred stock then outstanding.</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response to feedback from our stockholders at the 2022 Annual Meeting on removing the supermajority voting requirements in our Current Certificate and Current Bylaws, we are asking our stockholders to adopt the Majority Voting Amendment in order to reduce the voting threshold for amending, altering or repealing the Current Certificate from 66 2/3% to a simple majority.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Majority Voting Amendment also removes from the Current Certificate language relating to the 2022 Stock Split.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adopt the Majority Voting Amendment (and if the Board of Directors does not abandon it after it is adopted by the stockholders), the threshold to adopt, amend or repeal our certificate of incorporation would be lowered to a majority of all then-outstanding shares of our capital stock entitled to vote generally in the election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its approval of the Majority Voting Amendment, the Board of Directors has also approved the Restated Bylaws, which shall become effective contingent upon and subject to the effectiveness of the filing of the Majority Voting Amendment with the Delaware Secretary of State after its adoption by our stockholders. The Restated Bylaws would similarly lower the vote threshold for the adoption, amendment and repeal of the Current Bylaws from 66 2/3% to a simple majority vote. The Restated Bylaws do not require stockholder approval.</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Majority Voting Amendment is not adopted by our stockholders or is abandoned by the Board of Directors, then the Majority Voting Amendment and the Restated Bylaws will not become effective and the supermajority requirements in the Current Certificate and Current Bylaws will remain in place.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description of the Majority Voting Amendment as set forth above is qualified in its entirety by reference to the text of the Majority Voting Amendment, which is attached to this Proxy Statement as Appendix A.</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approved and adopted the Majority Voting Amendment, declared it to be advisable and in the best interests of Fortinet and its stockholders and recommended that the stockholders adopt the Majority Voting Amendment.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Reducing the requisite vote threshold to a simple majority vote can benefit stockholders by: promoting stockholder participation, as more stockholders may feel empowered to participate in the decision-making process; facilitating faster decision-making as a lower voting threshold can make it easier to reach the required number of votes, thereby reducing the time and cost associated with the process; and increasing flexibility in our operations and governance. Further, the Board of Directors believes it is important to be responsive and accountable to stockholders and committed to strong corporate governance.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our stockholders adopt the Majority Voting Amendment, the Board of Directors has authorized our officers to file the Majority Voting Amendment with the Delaware Secretary of State, and it would become effective upon such filing. The Board of Directors intends to make that filing if and as soon as practicable after the Majority Voting Amendment is adopted. However, even if our stockholders adopt the Majority Voting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 the Board of Directors may abandon the Majority Voting Amendment without further stockholder action prior to the effectiveness of the filing of the Majority Voting Amendment and, if abandoned, the Majority Voting Amendment will not become effective. If the Board of Directors abandons the Majority Voting Amendment, it will publicly disclose that fact and the reason for its determination.</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Requirement to Approve Proposal</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at least 66 2/3% of the voting power of all of the shares of our common stock outstanding as of the Record Date is required to adopt the Majority Voting Amendment.</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w:t>
        <w:br/>
        <w:t>“FOR” THE ADOPTION OF THE MAJORITY VOTING AMENDMENT.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43" w:name="T99132"/>
      <w:bookmarkEnd w:id="43"/>
      <w:r>
        <w:rPr>
          <w:rFonts w:ascii="Times New Roman PS Std;serif" w:hAnsi="Times New Roman PS Std;serif"/>
          <w:b/>
          <w:i w:val="false"/>
          <w:caps w:val="false"/>
          <w:smallCaps w:val="false"/>
          <w:sz w:val="20"/>
        </w:rPr>
        <w:t>PROPOSAL SIX</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ADOPTION OF AN AMENDMENT TO THE CURRENT CERTIFICATE</w:t>
        <w:br/>
        <w:t>IN ORDER TO PERMIT THE EXCULPATION OF OFFICERS FROM</w:t>
        <w:br/>
        <w:t>PERSONAL LIABILITY FOR CERTAIN BREACHES OF THE DUTY OF CARE</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Proposal</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102(b)(7) of the Delaware General Corporation Law was amended effective August 1, 2022 to permit a Delaware corporation’s certificate of incorporation to include a provision that limits or eliminates (i.e., exculpates) the monetary liability of certain officers for breaches of the fiduciary duty of care as officers in certain actions. This exculpation would not protect officers from liability for breach of the duty of loyalty, acts or omissions not in good faith or that involve intentional misconduct or a knowing violation of law, or any transaction in which the officer derived an improper personal benefit. Nor would this exculpation shield such officers from liability for claims brought by or in the right of the corporation, such as derivative claims.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IX of the Current Certificate provides for the elimination of personal liability of our directors for monetary damages for breaches of the duty of care as directors. We are asking our stockholders to adopt the Officer Exculpation Amendment in order to permit the exculpation for our officers by us from monetary damages for breaches of the duty of care as officers in certain actions, as described above, similar to our existing ability to exculpate our directors. The Officer Exculpation Amendment would not be retroactive and would not apply to any act or omission occurring prior to the effectiveness of the amendment.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Officer Exculpation Amendment is not adopted or is abandoned by the Board of Directors, then the Officer Exculpation Amendment will not become effective and Fortinet’s officers will continue to potentially face personal liability for all breaches of the duty of care in all actions.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description of the Officer Exculpation Amendment as set forth above is qualified in its entirety by reference to the text of the Officer Exculpation Amendment, which is attached to this proxy statement as Appendix B.</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approved and adopted the Officer Exculpation Amendment, declared it to be advisable and in the best interests of Fortinet and its stockholders and recommended that the stockholders adopt the Officer Exculpation Amendment.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believes that providing protection to officers to the fullest extent permitted by law is necessary to attract and retain highly qualified senior leadership, especially since we expect competitor companies to adopt similar exculpation clauses. The nature of the role of officers often requires them to make decisions on crucial matters often in time-sensitive situations, which can create risk of investigations, claims or proceedings seeking to impose liability on the basis of hindsight, especially in the current litigious environment and regardless of merit. Limiting concern about personal risk would empower both directors and officers to best exercise their business judgment in furtherance of stockholder interests and can benefit stockholders by encouraging appropriate risk taking that could result in greater innovation and growth. Exculpation could also reduce legal costs for Fortinet by discouraging lawsuits over matters covered by exculpation. This protection has long been afforded to directors, and the Board of Directors believes that extending similar exculpation to its officers is fair and in the best interests of Fortinet and its stockholders.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adopt the Officer Exculpation Amendment, the Board of Directors has authorized our officers to file the Officer Exculpation Amendment with the Delaware Secretary of State, and it would become effective upon such filing. The Board of Directors intends to make that filing if and as soon as practicable after the Officer Exculpation Amendment is adopted. However, even if our stockholders adopt the Officer Exculpation Amendment, the Board of Directors may abandon the Officer Exculpation Amendment without further stockholder action prior to the effectiveness of the filing of the Officer Exculpation Amendment and, if abandoned, the Officer Exculpation Amendment will not become effective. If the Board of Directors abandons the Officer Exculpation Amendment, it will publicly disclose that fact and the reason for its determination.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Requirement to Approve Proposal</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at least 66 2/3% of the voting power of all of the shares of our common stock outstanding as of the Record Date is required to adopt the Officer Exculpation Amendment.</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w:t>
        <w:br/>
        <w:t xml:space="preserve">“FOR” THE ADOPTION OF THE </w:t>
      </w:r>
      <w:r>
        <w:rPr>
          <w:rFonts w:ascii="Times New Roman PS Std;serif" w:hAnsi="Times New Roman PS Std;serif"/>
          <w:b/>
          <w:i w:val="false"/>
          <w:caps/>
          <w:sz w:val="20"/>
        </w:rPr>
        <w:t>Officer Exculpation Amendment</w:t>
      </w:r>
      <w:r>
        <w:rPr>
          <w:rFonts w:ascii="Times New Roman PS Std;serif" w:hAnsi="Times New Roman PS Std;serif"/>
          <w:b/>
          <w:i w:val="false"/>
          <w:caps w:val="false"/>
          <w:smallCaps w:val="false"/>
          <w:sz w:val="20"/>
        </w:rPr>
        <w: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44" w:name="T99133"/>
      <w:bookmarkEnd w:id="44"/>
      <w:r>
        <w:rPr>
          <w:rFonts w:ascii="Times New Roman PS Std;serif" w:hAnsi="Times New Roman PS Std;serif"/>
          <w:b/>
          <w:i w:val="false"/>
          <w:caps w:val="false"/>
          <w:smallCaps w:val="false"/>
          <w:sz w:val="20"/>
        </w:rPr>
        <w:t>CORPORATE SOCIAL RESPONSIBILITY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our corporate vision — a digital world you can always trust — is essential to achieving just and sustainable societies, and that it is our responsibility to deliver on that vision by innovating sustainable security technologies, diversifying cybersecurity talent and promoting responsible business across our value chain. These responsibilities drive our CSR practices.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commitment to CSR starts at the highest level with the Social Responsibility Committee, which the Board of Directors established on its own initiative in 2021 to ensure proper focus on, and provide proper oversight of, our CSR strategy, initiatives and execution. Our senior leadership sponsors and helps oversee the integration of our CSR priorities broadly throughout our business operations, and our Global Head of Sustainability manages a team and chairs an internal cross-functional employee CSR Committee to define our CSR strategy and lead execution. We believe having oversight at the level of a committee of the Board of Directors reinforces the importance of CSR practices in our business and helps steer our CSR performance.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objective is to promote long-term value for our stakeholders, including customers, partners, suppliers, employees, stockholders and communities. Our sustainability strategy, which is based on a formal materiality assessment conducted in 2021 with outside experts, is informed as follows:</w:t>
      </w:r>
    </w:p>
    <w:tbl>
      <w:tblPr>
        <w:tblW w:w="11752" w:type="dxa"/>
        <w:jc w:val="left"/>
        <w:tblInd w:w="0" w:type="dxa"/>
        <w:tblCellMar>
          <w:top w:w="0" w:type="dxa"/>
          <w:left w:w="0" w:type="dxa"/>
          <w:bottom w:w="0" w:type="dxa"/>
          <w:right w:w="0" w:type="dxa"/>
        </w:tblCellMar>
      </w:tblPr>
      <w:tblGrid>
        <w:gridCol w:w="2941"/>
        <w:gridCol w:w="146"/>
        <w:gridCol w:w="2401"/>
        <w:gridCol w:w="146"/>
        <w:gridCol w:w="3181"/>
        <w:gridCol w:w="146"/>
        <w:gridCol w:w="2791"/>
      </w:tblGrid>
      <w:tr>
        <w:trPr/>
        <w:tc>
          <w:tcPr>
            <w:tcW w:w="2941"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Innovating for a Safe Internet</w:t>
            </w:r>
          </w:p>
        </w:tc>
        <w:tc>
          <w:tcPr>
            <w:tcW w:w="146" w:type="dxa"/>
            <w:tcBorders/>
            <w:shd w:fill="auto" w:val="clear"/>
            <w:vAlign w:val="bottom"/>
          </w:tcPr>
          <w:p>
            <w:pPr>
              <w:pStyle w:val="TableContents"/>
              <w:spacing w:before="0" w:after="283"/>
              <w:rPr/>
            </w:pPr>
            <w:r>
              <w:rPr/>
              <w:t> </w:t>
            </w:r>
          </w:p>
        </w:tc>
        <w:tc>
          <w:tcPr>
            <w:tcW w:w="24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Growing an </w:t>
              <w:br/>
              <w:t xml:space="preserve">Inclusive </w:t>
              <w:br/>
              <w:t>Cybersecurity Workforce</w:t>
            </w:r>
          </w:p>
        </w:tc>
        <w:tc>
          <w:tcPr>
            <w:tcW w:w="146" w:type="dxa"/>
            <w:tcBorders/>
            <w:shd w:fill="auto" w:val="clear"/>
            <w:vAlign w:val="bottom"/>
          </w:tcPr>
          <w:p>
            <w:pPr>
              <w:pStyle w:val="TableContents"/>
              <w:spacing w:before="0" w:after="283"/>
              <w:rPr/>
            </w:pPr>
            <w:r>
              <w:rPr/>
              <w:t> </w:t>
            </w:r>
          </w:p>
        </w:tc>
        <w:tc>
          <w:tcPr>
            <w:tcW w:w="318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Promoting Responsible Business</w:t>
            </w:r>
          </w:p>
        </w:tc>
        <w:tc>
          <w:tcPr>
            <w:tcW w:w="146" w:type="dxa"/>
            <w:tcBorders/>
            <w:shd w:fill="auto" w:val="clear"/>
            <w:vAlign w:val="bottom"/>
          </w:tcPr>
          <w:p>
            <w:pPr>
              <w:pStyle w:val="TableContents"/>
              <w:spacing w:before="0" w:after="283"/>
              <w:rPr/>
            </w:pPr>
            <w:r>
              <w:rPr/>
              <w:t> </w:t>
            </w:r>
          </w:p>
        </w:tc>
        <w:tc>
          <w:tcPr>
            <w:tcW w:w="279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Respecting the Environment</w:t>
            </w:r>
          </w:p>
        </w:tc>
      </w:tr>
      <w:tr>
        <w:trPr/>
        <w:tc>
          <w:tcPr>
            <w:tcW w:w="2941" w:type="dxa"/>
            <w:tcBorders/>
            <w:shd w:fill="D2E4F2" w:val="clea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ensuring the digital security and privacy of individuals and organizations enables digital progress, and we strive to create value through security innovation, expertise, research and cooperation.</w:t>
            </w:r>
          </w:p>
        </w:tc>
        <w:tc>
          <w:tcPr>
            <w:tcW w:w="146" w:type="dxa"/>
            <w:tcBorders/>
            <w:shd w:fill="D2E4F2" w:val="clear"/>
          </w:tcPr>
          <w:p>
            <w:pPr>
              <w:pStyle w:val="TableContents"/>
              <w:spacing w:before="0" w:after="283"/>
              <w:rPr/>
            </w:pPr>
            <w:r>
              <w:rPr/>
              <w:t> </w:t>
            </w:r>
          </w:p>
        </w:tc>
        <w:tc>
          <w:tcPr>
            <w:tcW w:w="2401" w:type="dxa"/>
            <w:tcBorders/>
            <w:shd w:fill="D2E4F2"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building an inclusive, equitable and diverse workforce within our organization and across the industry to help empower individuals to reach their full potential.</w:t>
            </w:r>
          </w:p>
        </w:tc>
        <w:tc>
          <w:tcPr>
            <w:tcW w:w="146" w:type="dxa"/>
            <w:tcBorders/>
            <w:shd w:fill="D2E4F2" w:val="clear"/>
          </w:tcPr>
          <w:p>
            <w:pPr>
              <w:pStyle w:val="TableContents"/>
              <w:spacing w:before="0" w:after="283"/>
              <w:rPr/>
            </w:pPr>
            <w:r>
              <w:rPr/>
              <w:t> </w:t>
            </w:r>
          </w:p>
        </w:tc>
        <w:tc>
          <w:tcPr>
            <w:tcW w:w="3181" w:type="dxa"/>
            <w:tcBorders/>
            <w:shd w:fill="D2E4F2"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doing business ethically and in compliance with all laws. Our corporate governance practices aim to ensure accountability to meet our responsibilities across our entire value chain.</w:t>
            </w:r>
          </w:p>
        </w:tc>
        <w:tc>
          <w:tcPr>
            <w:tcW w:w="146" w:type="dxa"/>
            <w:tcBorders/>
            <w:shd w:fill="D2E4F2" w:val="clear"/>
          </w:tcPr>
          <w:p>
            <w:pPr>
              <w:pStyle w:val="TableContents"/>
              <w:spacing w:before="0" w:after="283"/>
              <w:rPr/>
            </w:pPr>
            <w:r>
              <w:rPr/>
              <w:t> </w:t>
            </w:r>
          </w:p>
        </w:tc>
        <w:tc>
          <w:tcPr>
            <w:tcW w:w="2791" w:type="dxa"/>
            <w:tcBorders/>
            <w:shd w:fill="D2E4F2"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focused on addressing the climate change impacts and minimizing the environmental footprint of our solutions, operations and our broader value chain.</w:t>
            </w:r>
          </w:p>
        </w:tc>
      </w:tr>
      <w:tr>
        <w:trPr/>
        <w:tc>
          <w:tcPr>
            <w:tcW w:w="2941" w:type="dxa"/>
            <w:tcBorders/>
            <w:shd w:fill="auto" w:val="clear"/>
          </w:tcPr>
          <w:p>
            <w:pPr>
              <w:pStyle w:val="TableContents"/>
              <w:keepNext w:val="false"/>
              <w:widowControl/>
              <w:pBdr/>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Priority issues: </w:t>
            </w:r>
            <w:r>
              <w:rPr>
                <w:rFonts w:ascii="Times New Roman PS Std;serif" w:hAnsi="Times New Roman PS Std;serif"/>
                <w:b/>
                <w:i w:val="false"/>
                <w:caps w:val="false"/>
                <w:smallCaps w:val="false"/>
                <w:sz w:val="20"/>
              </w:rPr>
              <w:t>Cyber Risks to Society; Information Security &amp; Privacy</w:t>
            </w:r>
          </w:p>
        </w:tc>
        <w:tc>
          <w:tcPr>
            <w:tcW w:w="146" w:type="dxa"/>
            <w:tcBorders/>
            <w:shd w:fill="auto" w:val="clear"/>
          </w:tcPr>
          <w:p>
            <w:pPr>
              <w:pStyle w:val="TableContents"/>
              <w:spacing w:before="0" w:after="283"/>
              <w:rPr/>
            </w:pPr>
            <w:r>
              <w:rPr/>
              <w:t> </w:t>
            </w:r>
          </w:p>
        </w:tc>
        <w:tc>
          <w:tcPr>
            <w:tcW w:w="2401"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Priority issues: </w:t>
            </w:r>
            <w:r>
              <w:rPr>
                <w:rFonts w:ascii="Times New Roman PS Std;serif" w:hAnsi="Times New Roman PS Std;serif"/>
                <w:b/>
                <w:i w:val="false"/>
                <w:caps w:val="false"/>
                <w:smallCaps w:val="false"/>
                <w:sz w:val="20"/>
              </w:rPr>
              <w:t>Diversity, Equity &amp; Inclusion; Cybersecurity Skills Gap</w:t>
            </w:r>
          </w:p>
        </w:tc>
        <w:tc>
          <w:tcPr>
            <w:tcW w:w="146" w:type="dxa"/>
            <w:tcBorders/>
            <w:shd w:fill="auto" w:val="clear"/>
          </w:tcPr>
          <w:p>
            <w:pPr>
              <w:pStyle w:val="TableContents"/>
              <w:spacing w:before="0" w:after="283"/>
              <w:rPr/>
            </w:pPr>
            <w:r>
              <w:rPr/>
              <w:t> </w:t>
            </w:r>
          </w:p>
        </w:tc>
        <w:tc>
          <w:tcPr>
            <w:tcW w:w="3181"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Priority issues: </w:t>
            </w:r>
            <w:r>
              <w:rPr>
                <w:rFonts w:ascii="Times New Roman PS Std;serif" w:hAnsi="Times New Roman PS Std;serif"/>
                <w:b/>
                <w:i w:val="false"/>
                <w:caps w:val="false"/>
                <w:smallCaps w:val="false"/>
                <w:sz w:val="20"/>
              </w:rPr>
              <w:t>Business Ethics; Responsible Product Use</w:t>
            </w:r>
          </w:p>
        </w:tc>
        <w:tc>
          <w:tcPr>
            <w:tcW w:w="146" w:type="dxa"/>
            <w:tcBorders/>
            <w:shd w:fill="auto" w:val="clear"/>
          </w:tcPr>
          <w:p>
            <w:pPr>
              <w:pStyle w:val="TableContents"/>
              <w:spacing w:before="0" w:after="283"/>
              <w:rPr/>
            </w:pPr>
            <w:r>
              <w:rPr/>
              <w:t> </w:t>
            </w:r>
          </w:p>
        </w:tc>
        <w:tc>
          <w:tcPr>
            <w:tcW w:w="2791"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Priority issues: </w:t>
            </w:r>
            <w:r>
              <w:rPr>
                <w:rFonts w:ascii="Times New Roman PS Std;serif" w:hAnsi="Times New Roman PS Std;serif"/>
                <w:b/>
                <w:i w:val="false"/>
                <w:caps w:val="false"/>
                <w:smallCaps w:val="false"/>
                <w:sz w:val="20"/>
              </w:rPr>
              <w:t>Product Environmental Impacts; Climate Change</w:t>
            </w:r>
          </w:p>
        </w:tc>
      </w:tr>
    </w:tbl>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each of our defined CSR priorities we have developed roadmaps and engaged relevant business units in the implementation process. We are focused on continuously improving our sustainability efforts and further aligning with global reporting frameworks. In 2022, we published our first sustainability report, continued to improve disclosure on our public website, and actively participated in sustainability assessments from rating agencies. The progress made on our sustainability journey allowed us to consistently improve our scores and to be added to the 2022 Dow Jones Sustainability World and North American Indices.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2023, we published our second sustainability report, which presents a balanced account of our 2022 sustainability performance and progress across our most material priority areas. The report references Global Reporting Initiative standards, Sustainability Accounting Standards Board standards, the TCFD framework and United Nations Sustainable Development Goals.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engage with key internal and external stakeholders to help refine our CSR practices. Below are specific areas that we know are of particular importance to many of our stockholders based on the feedback received.</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45" w:name="T43"/>
      <w:bookmarkEnd w:id="45"/>
      <w:r>
        <w:rPr>
          <w:rFonts w:ascii="Times New Roman PS Std;serif" w:hAnsi="Times New Roman PS Std;serif"/>
          <w:b/>
          <w:i w:val="false"/>
          <w:caps w:val="false"/>
          <w:smallCaps w:val="false"/>
          <w:sz w:val="20"/>
        </w:rPr>
        <w:t>Environment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recognize that environmental considerations such as climate change, resource scarcity and the energy crisis are top priorities for the future of our planet. We are committed to helping address climate change impacts and minimizing the environmental footprint of our solutions, operations and our broader value chain. A significant part of our core business mission is to consolidate security functionalities and networking functionalities in a way that is more energy efficient. We continue to combine innovation with environmental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sustainability to reduce the use of energy, cooling and space required for our solutions, thereby helping our customers minimize power consumption and greenhouse gas emissions. We also ensure that our products comply with global product environmental compliance directives and regulations.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engaged with a consultancy to conduct the inventory and measure our Scope 3 emissions and, to further engage on our path to net zero in alignment with the Paris Agreement we formally signed on to the Science-Based Target Initiative commitment in September 2022. We implemented an Environmental Management Systems platform to track our energy, water and waste impact, and engaged on the ISO14001 certification process for our company-owned warehouse in Union City, California.</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began aligning our climate strategy and disclosures to the TCFD framework and submitted our Carbon Disclosure Project report.</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46" w:name="T42"/>
      <w:bookmarkEnd w:id="46"/>
      <w:r>
        <w:rPr>
          <w:rFonts w:ascii="Times New Roman PS Std;serif" w:hAnsi="Times New Roman PS Std;serif"/>
          <w:b/>
          <w:i w:val="false"/>
          <w:caps w:val="false"/>
          <w:smallCaps w:val="false"/>
          <w:sz w:val="20"/>
        </w:rPr>
        <w:t>Social</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building an inclusive, equitable and diverse workforce within our organization and across the security industry to help empower individuals to reach their full potential. We continue to focus on skilling, upskilling and reskilling individuals to reach our goal of training one million people in cybersecurity by 2026. At the 2022 White House National Cyber Workforce and Education Summit, we announced the expansion of our existing free training offerings, focusing on schools. We introduced an enhanced enterprise-grade Security Awareness and Training service to help Information Technology (“IT”), security, and compliance leaders build a cyber-aware culture within their organizations. We continued to expand partnerships with educational institutions and now have over 500 Authorized Academic Partners. Our Education Outreach Program focuses on creating cyber career pathways for underrepresented populations, including women, veterans and disadvantaged individuals. In total, we trained over 210,000 people through our various initiatives in 2022.</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Internally, we have continued to expand programs and trainings designed to ensure Diversity, Equity and Inclusion (“DEI”) in the workplace, from talent acquisition, to onboarding and leadership development. We have also engaged with the broader Fortinet workforce to encourage employees to foster a culture of diversity and inclusion, through the creation of Employee Resource Groups.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improved our organizational governance around DEI, starting at the highest level with the Human Resources Committee, which has oversight of DEI-related matters. Part of the reason the Board of Directors changed the name of this committee from the “Compensation” Committee to the “Human Resources” Committee is based on Human Resources Committee’s responsibility extends beyond compensation, including responsibility to oversee DEI-related matters. At the corporate level, we have formed a global DEI Organizing Committee and DEI Council to provide a shared direction and commitment to recruiting and valuing a diverse workforce, fostering a culture of teamwork and openness and building a more inclusive workplace.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increased transparency and disclosure through the reporting of multiple 2022 diversity metrics on our workforce relative to gender, ethnicity and age, and published our EEO-1 report.</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47" w:name="T41"/>
      <w:bookmarkEnd w:id="47"/>
      <w:r>
        <w:rPr>
          <w:rFonts w:ascii="Times New Roman PS Std;serif" w:hAnsi="Times New Roman PS Std;serif"/>
          <w:b/>
          <w:i w:val="false"/>
          <w:caps w:val="false"/>
          <w:smallCaps w:val="false"/>
          <w:sz w:val="20"/>
        </w:rPr>
        <w:t>Governance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focused on good governance and ethical practices throughout our business. The Board of Directors frequently reviews our governance practices to ensure that they are appropriate and reflect the maturity of our company. For example, to promote good governance and accountability at the highest level, the Board of Directors, on its own initiative, changed the term of service structure for directors from staggered three-year terms to one-year terms for every director. The Board has supported the approval of a majority voting proposal as discussed in this Proxy Statement.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promote ethical business practices, we have adopted and regularly review policies that set out a Business Code of Conduct for all employees, partners, suppliers and vendors, and have trainings and controls in place. In 2022, we expanded the human rights language in our compliance and business ethics training and updated our supplier and partner codes of conduct to reference our environmental and human rights policies.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our engagement with stockholders and our commitment to ESG, we regularly evaluate our corporate governance structure and practices, and have implemented the following measures, among others: majority voting standard for uncontested elections of directors, allowing stockholders to call special meetings of our stockholders, declassification of the Board of Directors, proxy access, and stock ownership guidelines with respect to our non-employee directors. As noted above, based on feedback from our stockholders, the Board of Directors supports the approval of a majority voting proposal as discussed in this Proxy Statement.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more information regarding Fortinet’s CSR approach and ESG initiatives, please visit our website at </w:t>
      </w:r>
      <w:r>
        <w:rPr>
          <w:rFonts w:ascii="Times New Roman PS Std;serif" w:hAnsi="Times New Roman PS Std;serif"/>
          <w:b w:val="false"/>
          <w:i/>
          <w:caps w:val="false"/>
          <w:smallCaps w:val="false"/>
          <w:sz w:val="20"/>
        </w:rPr>
        <w:t xml:space="preserve">https://www.fortinet.com/csr </w:t>
      </w:r>
      <w:r>
        <w:rPr>
          <w:rFonts w:ascii="Times New Roman PS Std;serif" w:hAnsi="Times New Roman PS Std;serif"/>
          <w:b w:val="false"/>
          <w:i w:val="false"/>
          <w:caps w:val="false"/>
          <w:smallCaps w:val="false"/>
          <w:sz w:val="20"/>
        </w:rPr>
        <w:t xml:space="preserve">or read our 2022 Sustainability report: </w:t>
      </w:r>
      <w:r>
        <w:rPr>
          <w:rFonts w:ascii="Times New Roman PS Std;serif" w:hAnsi="Times New Roman PS Std;serif"/>
          <w:b w:val="false"/>
          <w:i/>
          <w:caps w:val="false"/>
          <w:smallCaps w:val="false"/>
          <w:sz w:val="20"/>
        </w:rPr>
        <w:t>https://www.fortinet.com/content/dam/fortinet/assets/reports/fortinet-2022-sustainability-report.pdf</w:t>
      </w:r>
      <w:r>
        <w:rPr>
          <w:rFonts w:ascii="Times New Roman PS Std;serif" w:hAnsi="Times New Roman PS Std;serif"/>
          <w:b w:val="false"/>
          <w:i w:val="false"/>
          <w:caps w:val="false"/>
          <w:smallCaps w:val="false"/>
          <w:sz w:val="20"/>
        </w:rPr>
        <w:t>. The information contained in our 2022 Sustainability Report is not intended to be incorporated into this Proxy Statement.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48" w:name="T7"/>
      <w:bookmarkEnd w:id="48"/>
      <w:r>
        <w:rPr>
          <w:rFonts w:ascii="Times New Roman PS Std;serif" w:hAnsi="Times New Roman PS Std;serif"/>
          <w:b/>
          <w:i w:val="false"/>
          <w:caps w:val="false"/>
          <w:smallCaps w:val="false"/>
          <w:sz w:val="20"/>
        </w:rPr>
        <w:t>CORPORATE GOVERNANCE</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49" w:name="T40"/>
      <w:bookmarkEnd w:id="49"/>
      <w:r>
        <w:rPr>
          <w:rFonts w:ascii="Times New Roman PS Std;serif" w:hAnsi="Times New Roman PS Std;serif"/>
          <w:b/>
          <w:i w:val="false"/>
          <w:caps w:val="false"/>
          <w:smallCaps w:val="false"/>
          <w:sz w:val="20"/>
        </w:rPr>
        <w:t>Corporate Governance Guidelines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adopted Corporate Governance Guidelines to establish the corporate governance policies which provide a structure within which the Board of Directors and management can effectively pursue Fortinet’s objectives for the benefit of our stockholders. The Corporate Governance Guidelines are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50" w:name="T39"/>
      <w:bookmarkEnd w:id="50"/>
      <w:r>
        <w:rPr>
          <w:rFonts w:ascii="Times New Roman PS Std;serif" w:hAnsi="Times New Roman PS Std;serif"/>
          <w:b/>
          <w:i w:val="false"/>
          <w:caps w:val="false"/>
          <w:smallCaps w:val="false"/>
          <w:sz w:val="20"/>
        </w:rPr>
        <w:t>Code of Business Conduct and Ethics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sets high standards for Fortinet’s employees, officers and directors. Fortinet is committed to establishing an operating framework that exercises appropriate oversight of responsibilities at all levels throughout Fortinet and managing its affairs consistently with high principles of business ethics. Accordingly, Fortinet has adopted a Code of Business Conduct and Ethics, which is applicable to our and our subsidiaries’ directors, officers and employees.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Code of Business Conduct and Ethics is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 Fortinet will disclose on its website any amendments to, or waivers of, the Code of Business Conduct and Ethics that are required to be disclosed by the rules of the SEC or Nasdaq.</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51" w:name="T38"/>
      <w:bookmarkEnd w:id="51"/>
      <w:r>
        <w:rPr>
          <w:rFonts w:ascii="Times New Roman PS Std;serif" w:hAnsi="Times New Roman PS Std;serif"/>
          <w:b/>
          <w:i w:val="false"/>
          <w:caps w:val="false"/>
          <w:smallCaps w:val="false"/>
          <w:sz w:val="20"/>
        </w:rPr>
        <w:t>Human Capital Management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employees are the foundation of our innovation and cybersecurity leadership for the benefit of our customers. We understand there is a shortage of highly skilled employees for security companies like ours, and we believe that our success and competitive advantage depends largely on our ability to continue to attract and retain highly skilled employees with diverse backgrounds and experiences. We believe we offer fair, competitive compensation and benefits, and we encourage a culture of fairness and meritocracy. Our compensation programs for our employees include base pay, incentive compensation, opportunities for equity ownership where local statutes allow and employee benefits that promote well-being across different aspects of our employees’ lives, which may include health and welfare insurance, retirement benefits and paid time off.</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global company, much of our success is rooted in the diversity of our teams and our commitment to DEI. Such commitment starts at the top, with a highly skilled and diverse board of directors. As of December 31, 2022, women represented 25% of the members of the Board of Directors, and approximately 50% of the members of the Board of Directors was from underrepresented communities. We value diversity at all levels and continue to focus on enhancing our DEI initiatives across our workforce.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committed to community engagement and social responsibility with regards to our employees and beyond, and the Board of Directors has active oversight of such initiatives. Examples of our initiatives focused on our employees include our company matching program for employee charitable contributions and the free security training programs we offer to help with career development for our employees, in addition to the general public.</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culture is defined by our commitment to ethics and integrity. We reinforce our ethical “tone at the top” through clear policies including our Code of Business Conduct and Ethics, regular compliance training for our employees, quarterly meetings of our cross-functional Ethics Committee, clear messaging from our executives, enforcement of company policies and oversight by the Board of Directors. In addition, our Chief Executive Officer regularly communicates the importance of Fortinet’s core values of openness, teamwork and innovation.</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providing our employees a safe and healthy work environment. We sponsor a global wellness program designed to enhance physical, financial and mental wellbeing for all our employees around the world. Throughout the year, we encourage healthy behaviors through communications, educational sessions, wellness challenges and other incentives.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52" w:name="T37"/>
      <w:bookmarkEnd w:id="52"/>
      <w:r>
        <w:rPr>
          <w:rFonts w:ascii="Times New Roman PS Std;serif" w:hAnsi="Times New Roman PS Std;serif"/>
          <w:b/>
          <w:i w:val="false"/>
          <w:caps w:val="false"/>
          <w:smallCaps w:val="false"/>
          <w:sz w:val="20"/>
        </w:rPr>
        <w:t>Majority Voting Standard for Director Elections and Director Resignation Policy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Bylaws provide for a majority voting standard for uncontested elections of directors and require that stockholder director nominations include a written statement as to whether the nominee intends to tender an irrevocable resignation upon such nominee’s election or re-election. The majority voting standard provides that, in uncontested director elections, a director nominee will be elected only if the number of votes cast FOR the nominee exceeds the number of votes cast AGAINST the nominee. In addition, our Corporate Governance Guidelines address, among other provisions, the “holdover” director situation under the Delaware General Corporation Law (pursuant to which a director remains on the board of directors until such director’s successor is elected and qualified), by requiring each incumbent nominee to submit an irrevocable contingent resignation letter prior to the annual meeting of stockholders in which such election is to take place. Such resignation becomes effective only upon (i) such nominee’s failure to receive the requisite number of votes for re-election at any future meeting at which such person would face re-election and (ii) the Board of Directors’ acceptance of such resignation. If the nominee does not receive the requisite number of votes for re-election, the Governance Committee will make a recommendation to the Board of Directors as to whether to accept or reject the resignation, or whether other action should be taken. The Board of Directors will act on the Governance Committee’s recommendation and publicly disclose its decision and the rationale behind it within 90 days from the date of the certification of the election results.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53" w:name="T36"/>
      <w:bookmarkEnd w:id="53"/>
      <w:r>
        <w:rPr>
          <w:rFonts w:ascii="Times New Roman PS Std;serif" w:hAnsi="Times New Roman PS Std;serif"/>
          <w:b/>
          <w:i w:val="false"/>
          <w:caps w:val="false"/>
          <w:smallCaps w:val="false"/>
          <w:sz w:val="20"/>
        </w:rPr>
        <w:t>Director Independence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determined that, with the exception of Messrs. Ken Xie and Michael Xie, who are employees of Fortinet, all of the current members of the Board of Directors and nominees for director are “independent directors” as that term is defined in Nasdaq’s listing standards.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54" w:name="T35"/>
      <w:bookmarkEnd w:id="54"/>
      <w:r>
        <w:rPr>
          <w:rFonts w:ascii="Times New Roman PS Std;serif" w:hAnsi="Times New Roman PS Std;serif"/>
          <w:b/>
          <w:i w:val="false"/>
          <w:caps w:val="false"/>
          <w:smallCaps w:val="false"/>
          <w:sz w:val="20"/>
        </w:rPr>
        <w:t>Board Meetings and Committees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fiscal 2022, the Board of Directors held five meetings and acted by unanimous written consent one time. Each director attended at least 75% of the aggregate of all meetings of the Board of Directors and all meetings held by all committees of the Board of Directors on which such director served during the past fiscal year. The Board of Directors has four standing committees: the Audit Committee, the Human Resources Committee, the Governance Committee and the Social Responsibility Committee.</w:t>
      </w:r>
    </w:p>
    <w:p>
      <w:pPr>
        <w:pStyle w:val="TextBody"/>
        <w:keepNext w:val="true"/>
        <w:pageBreakBefore w:val="false"/>
        <w:widowControl/>
        <w:pBdr/>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Audit Committee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is currently comprised of Messrs. Goldman and Hsieh and Ms. Hu, each of whom is “independent” as such term is defined for audit committee members by the listing standards of Nasdaq and the rules of the SEC. Ms. Hu is the Chairperson of the Audit Committee. The Board of Directors has determined that each of Ms. Hu and Mr. Goldman is an “audit committee financial expert,” as defined in the rules of the SEC.</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is responsible for, among other things: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selecting and hiring our independent auditors, and approving the audit and non-audit services to be performed by our independent auditors;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qualifications, performance and independence of our independent auditors;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the integrity of our financial statements and our compliance with legal and regulatory requirements;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adequacy and effectiveness of our internal control policies and procedures;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discussing the scope and results of the audit with the independent auditors and reviewing with management and the independent auditors our interim and year-end operating results;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preparing the Audit Committee Report that the SEC requires in our annual proxy statement;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overseeing related-person transactions;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managing cybersecurity and other information technology risks, controls and procedures.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Audit Committee held nine meetings and acted by unanimous written consent one time during fiscal 2022. The Audit Committee has adopted a written charter approved by the Board of Directors, which is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Report is included in this Proxy Statement on page 67.</w:t>
      </w:r>
    </w:p>
    <w:p>
      <w:pPr>
        <w:pStyle w:val="TextBody"/>
        <w:keepNext w:val="true"/>
        <w:pageBreakBefore w:val="false"/>
        <w:widowControl/>
        <w:pBdr/>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Human Resources Committee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is currently comprised of Ms. Sim, Mr. Goldman and Admiral Stavridis (Ret), each of whom qualifies as an independent director under the listing standards of Nasdaq. Ms. Sim is currently the Chairperson of the Human Resources Committee.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is responsible for, among other things: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oversight of our organization and human resources activities, including culture and ethics matters and diversity, equity and inclusion initiatives;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oversight of our employee and executive compensation policies, plans and benefits programs, and overall compensation philosophy;</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for our executive officers: their annual base salary, annual incentive bonus, equity compensation and other benefits, compensation or arrangements;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recommending compensation goals and objectives, and bonus and stock compensation criteria for our executive officers;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preparing the Human Resources Committee Report that the SEC requires to be included in our annual proxy statement;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administering our equity compensation plans.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w:t>
      </w:r>
      <w:r>
        <w:rPr>
          <w:rFonts w:ascii="Times New Roman PS Std;serif" w:hAnsi="Times New Roman PS Std;serif"/>
          <w:b w:val="false"/>
          <w:i/>
          <w:caps w:val="false"/>
          <w:smallCaps w:val="false"/>
          <w:sz w:val="20"/>
        </w:rPr>
        <w:t>Executive Compensation — Compensation Discussion and Analysis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Executive Compensation — Compensation of Directors</w:t>
      </w:r>
      <w:r>
        <w:rPr>
          <w:rFonts w:ascii="Times New Roman PS Std;serif" w:hAnsi="Times New Roman PS Std;serif"/>
          <w:b w:val="false"/>
          <w:i w:val="false"/>
          <w:caps w:val="false"/>
          <w:smallCaps w:val="false"/>
          <w:sz w:val="20"/>
        </w:rPr>
        <w:t>” for a description of Fortinet’s processes and procedures for the consideration and determination of executive officer and director compensation.</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Human Resources Committee held four meetings and acted by unanimous written consent one time during fiscal 2022. The Human Resources Committee has adopted a written charter approved by the Board of Directors, which is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Report is included in this Proxy Statement on page 48.</w:t>
      </w:r>
    </w:p>
    <w:p>
      <w:pPr>
        <w:pStyle w:val="TextBody"/>
        <w:keepNext w:val="true"/>
        <w:pageBreakBefore w:val="false"/>
        <w:widowControl/>
        <w:pBdr/>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Governance Committee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Governance Committee is currently comprised of Messrs. Hsieh and Neukom and Ms. Sim, each of whom qualifies as an independent director under the listing standards of Nasdaq. Mr. Hsieh is the Chairperson of the Governance Committee.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Governance Committee is responsible for, among other things: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advising the Board of Directors and our officers on corporate governance matters;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evaluation of the Board of Directors;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developments in corporate governance practices and developing and recommending corporate governance guidelines and other policies;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assisting the Board of Directors in identifying prospective director nominees and recommending nominees for each annual meeting of stockholders to the Board of Directors;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recommending members for each committee of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Governance Committee will consider recommendations of candidates for the Board of Directors submitted by stockholders of Fortinet; see “</w:t>
      </w:r>
      <w:r>
        <w:rPr>
          <w:rFonts w:ascii="Times New Roman PS Std;serif" w:hAnsi="Times New Roman PS Std;serif"/>
          <w:b w:val="false"/>
          <w:i/>
          <w:caps w:val="false"/>
          <w:smallCaps w:val="false"/>
          <w:sz w:val="20"/>
        </w:rPr>
        <w:t>Process for Recommending Candidates for Election to the Board of Directors</w:t>
      </w:r>
      <w:r>
        <w:rPr>
          <w:rFonts w:ascii="Times New Roman PS Std;serif" w:hAnsi="Times New Roman PS Std;serif"/>
          <w:b w:val="false"/>
          <w:i w:val="false"/>
          <w:caps w:val="false"/>
          <w:smallCaps w:val="false"/>
          <w:sz w:val="20"/>
        </w:rPr>
        <w:t>” below.</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Governance Committee held seven meetings and acted by unanimous written consent one time during fiscal 2022. The Governance Committee has adopted a written charter approved by the Board of Directors, which is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w:t>
      </w:r>
    </w:p>
    <w:p>
      <w:pPr>
        <w:pStyle w:val="TextBody"/>
        <w:keepNext w:val="true"/>
        <w:pageBreakBefore w:val="false"/>
        <w:widowControl/>
        <w:pBdr/>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Social Responsibility Committee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considers Fortinet’s social responsibilities to be a high priority, and as such formed the Social Responsibility Committee in January 2021. The Social Responsibility Committee is currently comprised of Messrs. Michael Xie and Neukom and Admiral Stavridis (Ret). Mr. Michael Xie is the Chairperson of the Social Responsibility Committee.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Social Responsibility Committee is responsible for, among other things: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recommending to the Board of Directors and overseeing programs relating to social responsibility and sustainability, including ESG matters;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assessing with management performance, risks, controls and procedures relating to social responsibility and sustainability;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our charitable giving policies.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Social Responsibility Committee held four meetings during fiscal 2022. The Social Responsibility Committee has adopted a written charter approved by the Board of Directors, which is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55" w:name="T34"/>
      <w:bookmarkEnd w:id="55"/>
      <w:r>
        <w:rPr>
          <w:rFonts w:ascii="Times New Roman PS Std;serif" w:hAnsi="Times New Roman PS Std;serif"/>
          <w:b/>
          <w:i w:val="false"/>
          <w:caps w:val="false"/>
          <w:smallCaps w:val="false"/>
          <w:sz w:val="20"/>
        </w:rPr>
        <w:t>Human Resources Committee Interlocks and Insider Participation</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Sim, Admiral Stavridis (Ret) and Mr. Goldman served as members of the Human Resources Committee during fiscal 2022, as did Kelly Ducourty, whose term as a director ended with the 2022 Annual Meeting. None of the members of the Human Resources Committee during fiscal 2022 is or has in the past served as an officer or employee of our company. None of our executive officers currently serves, or in the past year has served, as a member of the board of directors or compensation committee of any entity that has one or more executive officers serving on the Board of Directors or the Human Resources Committee during fiscal 2022.</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56" w:name="T33"/>
      <w:bookmarkEnd w:id="56"/>
      <w:r>
        <w:rPr>
          <w:rFonts w:ascii="Times New Roman PS Std;serif" w:hAnsi="Times New Roman PS Std;serif"/>
          <w:b/>
          <w:i w:val="false"/>
          <w:caps w:val="false"/>
          <w:smallCaps w:val="false"/>
          <w:sz w:val="20"/>
        </w:rPr>
        <w:t>Anti-Hedging and Anti-Pledging Policy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insider trading policy prohibits our directors, officers, employees and agents (such as consultants and independent contractors) from engaging in any form of hedging or similar transactions with respect to our securities, including those involving options, puts, calls or other derivative securities. Our directors, officers, employees and agents are also prohibited from pledging our securities as collateral for loans and from holding our securities in margin accounts.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57" w:name="T32"/>
      <w:bookmarkEnd w:id="57"/>
      <w:r>
        <w:rPr>
          <w:rFonts w:ascii="Times New Roman PS Std;serif" w:hAnsi="Times New Roman PS Std;serif"/>
          <w:b/>
          <w:i w:val="false"/>
          <w:caps w:val="false"/>
          <w:smallCaps w:val="false"/>
          <w:sz w:val="20"/>
        </w:rPr>
        <w:t>Board Leadership Structure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Corporate Governance Guidelines provide the Board of Directors with flexibility to select the appropriate leadership structure depending on what the Board of Directors determines is in Fortinet’s best interests at a given time. As a result, the Board of Directors does not have a policy on whether or not the roles of the Chairman of the Board of Directors and Chief Executive Officer should be separate and, as described below, such roles are not currently separate. In making leadership structure determinations, the Board of Directors considers many factors, including the specific needs of the business and what is in the best interests of our stockholders. A copy of our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Corporate Governance Guidelines is available on our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 Any changes to the leadership structure of the Board of Directors, if made, will be promptly disclosed on the Investor Relations portion of our website and in our proxy materials. The Board of Directors, in its sole discretion, may seek input from our stockholders on the leadership structure of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Ken Xie currently serves as our Chairman and Chief Executive Officer. Given that Mr. Ken Xie is our co-founder, the Board of Directors does not consider Mr. Ken Xie to be “independent” and, therefore, the Board of Directors, including the independent directors, believe it is in the best interest to designate a Lead Independent Director. The Board of Directors, including the independent directors, has designated Mr. Neukom as our current Lead Independent Director. In addition to the duties of all members of the Board of Directors, Mr. Neukom’s principal responsibilities as our Lead Independent Director are to: preside over executive sessions of the Board of Directors; review and comment on the agenda for meetings of the Board of Directors in consultation with the Chairman and Chief Executive Officer and other members of the Board of Directors; act as principal liaison between the independent directors and the Chairman and Chief Executive Officer on sensitive issues; raise issues with management on behalf of the independent directors when appropriate; and assess the quality, quantity and timeliness of the flow of information from management that is necessary for the independent directors to effectively and responsibly perform their duties. Mr. Neukom is, and other members of the Board of Directors are, also authorized to represent the Board of Directors in communications with stockholders and other stakeholders and members of the Board of Directors have periodically engaged in communications with stockholders and other stakeholders. Mr. Neukom, along with other members of the Board of Directors, in discharging their risk oversight responsibility (as further described below) actively review and provide feedback on risk management to the management team and the design of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believes that the current leadership structure provides an appropriate balance between strong leadership from our Chairman and Chief Executive Officer and oversight by independent directors. In particular, this structure capitalizes on the expertise and experience of Messrs. Ken Xie and Neukom, as it permits Mr. Xie to serve as a bridge between the Board of Directors and management, helping both to act with a common purpose and providing critical leadership for carrying out our strategy and confronting challenges, while Mr. Neukom ensures independence of the Board of Directors from management and as Lead Independent Director can call and chair meetings of the independent directors separate and apart from the Chairman. The Board of Directors also believes that there may be other advantages to having a Lead Independent Director for matters such as communications and relations between the Board of Directors, the Chief Executive Officer and the other members of our senior management, and in assisting the Board of Directors in reaching consensus on particular strategies and policies. Messrs. Ken Xie and Michael Xie, as the only two management directors, do not participate in sessions of non-management directors, and non-management directors meet regularly in executive session without management.</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58" w:name="T31"/>
      <w:bookmarkEnd w:id="58"/>
      <w:r>
        <w:rPr>
          <w:rFonts w:ascii="Times New Roman PS Std;serif" w:hAnsi="Times New Roman PS Std;serif"/>
          <w:b/>
          <w:i w:val="false"/>
          <w:caps w:val="false"/>
          <w:smallCaps w:val="false"/>
          <w:sz w:val="20"/>
        </w:rPr>
        <w:t>Board of Directors’ Role in Risk Oversight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oversees an enterprise-wide approach to risk management, designed to support the achievement of organizational objectives, including strategic objectives, to improve long-term organizational performance and to enhance stockholder value. A fundamental part of risk management is not only understanding the most significant risks that Fortinet faces and what steps management is taking to manage and mitigate those risks but also understanding what level of risk is appropriate for Fortinet. The involvement of the full Board of Directors in reviewing Fortinet’s business is an integral aspect of its assessment of management’s tolerance for risk and also its determination of what constitutes an appropriate level of risk for Fortinet. The Board of Directors and its committees engage, as appropriate, external advisors and experts to assist in anticipating future threats and trends and assessing our risk environment.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an annual basis, under oversight of the Audit Committee, management, with the assistance of external advisors, conducts an enterprise risk assessment to assess key enterprise risks over different time horizons (short-term (current to six months), mid-term (six to twelve months) and long-term (more than twelve months)). Following such assessment, key risk areas are shared with the Audit Committee and management assigns owners to each risk who are tasked with reviewing and assessing the contributing factors, evaluating management’s existing risk mitigation capabilities, identifying risk mitigation enhancement considerations and potential future state activities and assessing resources needed to implement desired mitigation enhancements. Risk mitigation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efforts are then reported by management to the Audit Committee or the Board of Directors throughout the year. Moreover, our Chief Legal Officer, who reports into our Chief Executive Officer, leads quarterly meetings of our cross-functional Ethics Committee and periodically updates our Human Resources Committee regarding the activities of the Ethics Committee.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Though the Board of Directors has the ultimate oversight responsibility for the risk management process, various committees of the Board of Directors also have responsibility for risk management. Our Audit Committee reviews financial and other risk exposures, our internal controls over financial reporting, our disclosure controls and procedures, and our legal and regulatory compliance. Our Audit Committee also is responsible for oversight of risks related to data privacy and cybersecurity. Our Human Resources Committee evaluates our major compensation-related risk exposures and the steps management has taken to monitor or mitigate such exposures. In setting compensation, the Human Resources Committee strives to create incentives that encourage a reasonable level of risk-taking consistent with Fortinet’s business strategy and to encourage a focus on building long-term value at Fortinet. Our Human Resources Committee also oversees other areas of risk related to human resources, such as culture and ethics matters and DEI initiatives. Our Governance Committee has oversight on risks related to corporate governance matters, and oversees the evaluation of the performance of the Board of Directors. Our Social Responsibility Committee oversees risks related to our sustainability and corporate social responsibility and ESG approach, including long-term trends and impacts that may affect our business and main stakeholders. The Board of Directors also directly oversees certain strategic risks to Fortinet and other risk areas not delegated to one of its committees.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risk oversight responsibility of the Board of Directors and its committees is supported by our management reporting processes. At periodic meetings of the Board of Directors and its committees and in other meetings and discussions, management reports to and seeks guidance from the Board of Directors and its committees with respect to the most significant risks that could affect our business, such as cybersecurity risks, legal risks and financial, tax and audit related risks. In addition, management provides the Audit Committee periodic reports on Fortinet’s compliance programs and efforts, investment policy and practices. Our management reporting processes, including the enterprise risk assessment, are designed to provide the Board of Directors with visibility into the identification, assessment, and management of critical risks and into certain of management’s risk mitigation strategies. These areas of focus include competitive, economic, operational, financial (accounting, credit, investment, liquidity, compensation-related risk, and tax), human capital, legal, regulatory, cybersecurity and data privacy and reputational risks. The Board of Directors reviews strategic and operational risk in the context of discussions, question-and-answer sessions, and reports from the management team at each regular meeting of the Board of Directors, and evaluates the risks inherent in significant transactions. Each director is invited to attend committee meetings, and the committees periodically provide the full Board of Directors reports on significant committee activities.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59" w:name="T30"/>
      <w:bookmarkEnd w:id="59"/>
      <w:r>
        <w:rPr>
          <w:rFonts w:ascii="Times New Roman PS Std;serif" w:hAnsi="Times New Roman PS Std;serif"/>
          <w:b/>
          <w:i w:val="false"/>
          <w:caps w:val="false"/>
          <w:smallCaps w:val="false"/>
          <w:sz w:val="20"/>
        </w:rPr>
        <w:t>Cybersecurity Risk Oversight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Securing sensitive information from our customers, employees, vendors and other third parties is of critical important to us, as is ensuring proper security related to the products we sell. We implement organizational, administrative and technical procedures such as security measures prescribed by the National Institute of Standards and Technology (“NIST”); security measures aligned with the ISO/IEC 27000 series of standards; security requirements pursuant to the Sarbanes-Oxley Act of 2002; security standards pursuant to SSAE 18/ISAE 3402; measures pursuant to data protection and privacy laws and regulations such as the European Union’s General Data Protection Regulation and the California Privacy Rights Act; and other generally recognized industry standards designed to safeguard the confidentiality, integrity and availability of our infrastructure and data.</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manage a coordinated program across our engineering, manufacturing and technical services teams, together with our suppliers and channel partners, designed to ensure the proper security of our products from design through manufacture and shipment. For example, to align with industry standards such as NIST 800-53, NIST 800-160, NIST 800-218, US EO 14028 and UK TSB, we apply best practices for secure development via our Secure Product Development Lifecycle Policy which details the security at all stages of the product lifecycle from design to implementation and operation.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Trusted Supplier Program is designed to ensure manufacturing partners undergo a selection and qualification process that adheres to NIST 800-161,and we implement technical and organizational measures designed to prevent the use of rogue components that could compromise product functionality and integrity.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information security policies are designed to protect the confidentiality, integrity and availability of our systems and our customers’ data stored in our network. We conduct management reviews of our security policies at least annually or more frequently as appropriate, to ensure their suitability and effectiveness. We assign responsibility to dedicated employees to manage, coordinate, develop, implement and maintain an organization-wide information security management system.</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leverage the NIST Cybersecurity Framework and we have implemented a strategy to manage risks to organizational operations and assets, individuals and other organizations associated with the operation and use of systems. Risk assessments are periodically conducted to identify threats and vulnerabilities, and then determine the likelihood and impact for each risk using a qualitative risk assessment methodology. Risks are identified from various sources, including vulnerability scans, penetration tests, vendors risk assessments, product and services audits, internal compliance assessments and threat-hunting operations. We monitor our infrastructure and applications to identify evolving cyber threats, scan for vulnerabilities and mitigate risks. Our security incident response procedures help enable the effective and orderly management of, and response to, any identified security incidents, including escalation and internal- and external-notification steps, allowing the incident response team to respond in a timely manner and enlist appropriate personnel and third-party experts. We have a process to promptly assess and assign severity levels to any identified security incidents in order to prioritize their importance and promptly direct resources to those issues of potentially greater impact. The notification plan establishes steps to alert external stakeholders as appropriate, including law enforcement, regulatory bodies, customers and other business partners, to provide sufficient information to address their incident response and notification requirements.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promptly updated regarding any significant security events, and the Audit Committee regularly reviews updates from our information security and product security leaders about cyber threat response preparedness, product security processes, security controls and procedures, security program maturity milestones, risk and approaches to risk mitigation and the current and emerging threat landscape. All of our directors have some expertise in cybersecurity matters from their service on the Board of Directors and often all directors receive management’s cybersecurity updates to the Audit Committee as part of their regular attendance at Audit Committee meetings. We also maintain information security risk insurance coverage.</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60" w:name="T29"/>
      <w:bookmarkEnd w:id="60"/>
      <w:r>
        <w:rPr>
          <w:rFonts w:ascii="Times New Roman PS Std;serif" w:hAnsi="Times New Roman PS Std;serif"/>
          <w:b/>
          <w:i w:val="false"/>
          <w:caps w:val="false"/>
          <w:smallCaps w:val="false"/>
          <w:sz w:val="20"/>
        </w:rPr>
        <w:t>Management Succession Planning</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recognizes that one of its most important duties is its oversight of succession planning for our Chief Executive Officer. The Board of Directors has delegated primary oversight responsibility for succession planning for our Chief Executive Officer to the Governance Committee, the Chairman of the Board of Directors and our Lead Independent Director. Our Chief Executive Officer is responsible for identifying, evaluating and selecting potential successors for our Chief Executive Officer’s direct reports. The Board of Directors regularly evaluates succession planning to ensure that we are well-positioned to continue to execute on our corporate strategy.</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61" w:name="T28"/>
      <w:bookmarkEnd w:id="61"/>
      <w:r>
        <w:rPr>
          <w:rFonts w:ascii="Times New Roman PS Std;serif" w:hAnsi="Times New Roman PS Std;serif"/>
          <w:b/>
          <w:i w:val="false"/>
          <w:caps w:val="false"/>
          <w:smallCaps w:val="false"/>
          <w:sz w:val="20"/>
        </w:rPr>
        <w:t>Oversight of Corporate Strategy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actively oversees management’s establishment and execution of corporate strategy, including major business and organizational initiatives, annual budget and long-term strategic plans, capital allocation priorities, potential corporate development opportunities and risk management. At its regularly scheduled meetings and throughout the year, the Board of Directors receives information and formal updates from our management and actively engages with the senior leadership team with respect to our corporate strategy. Our directors’ diverse skill set and experience enhances the Board of Directors’ ability to support management in the evaluation and execution of our corporate strategy. The independent members of the Board of Directors also hold regularly scheduled executive sessions, during which corporate strategy is discussed.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62" w:name="T27"/>
      <w:bookmarkEnd w:id="62"/>
      <w:r>
        <w:rPr>
          <w:rFonts w:ascii="Times New Roman PS Std;serif" w:hAnsi="Times New Roman PS Std;serif"/>
          <w:b/>
          <w:i w:val="false"/>
          <w:caps w:val="false"/>
          <w:smallCaps w:val="false"/>
          <w:sz w:val="20"/>
        </w:rPr>
        <w:t>Process for Recommending Candidates for Election to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Governance Committee is responsible for, among other things, determining the criteria for membership to the Board of Directors and recommending candidates for election to the Board of Directors. It is the policy of the Governance Committee to consider recommendations for candidates to the Board of Directors from stockholders. Stockholder nominations for candidates to the Board of Directors must be made pursuant to the terms of our bylaws as in effect at the time of a nomination. There are no differences in the manner by which the Governance Committee evaluates nominees for director based on whether the nominee is recommended by a stockholder or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Governance Committee’s criteria and process for evaluating and identifying the candidates that it recommends to the full Board of Directors for selection as director nominees are as follows: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Governance Committee evaluates the current composition and organization of the Board of Directors.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Governance Committee reviews on at least an annual basis the desired qualifications and characteristics for membership on the Board of Directors.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Governance Committee evaluates the performance of individual members of the Board of Directors eligible for re-election and selects, or recommends for the selection of the Board of Directors, the director nominees for election to the Board of Directors by our stockholders at the annual meeting of stockholders.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its evaluation of director candidates, including the members of the Board of Directors eligible for re-election, the Governance Committee seeks to achieve a balance of knowledge, experience and capability on the Board of Directors and considers: (i) the current composition and organization of the Board of Directors and the needs of the Board of Directors and its committees; (ii) such factors as character, judgment, diversity, expertise, business experience, length of service, independence, other commitments and the like; and (iii) such other factors as the Governance Committee may consider appropriate. The Governance Committee considers diversity of skills, experience, gender and race, among other factors, in evaluating candidates for the Board of Directors.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While the Governance Committee has not established specific minimum qualifications for director candidates, the Governance Committee believes that candidates and nominees must reflect a Board of Directors that is comprised of directors who: (a) are predominantly independent; (b) are of high integrity; (c) have broad, business-related knowledge and experience at the policy-making level in business or technology, including their understanding of the networking security industry and Fortinet’s business in particular; (d) have qualifications that will increase overall effectiveness of the Board of Directors; and (e) meet other requirements as may be required by applicable rules, such as financial literacy or financial expertise with respect to Audit Committee members.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 regard to candidates who are properly recommended by stockholders or by other means, the Governance Committee will review the qualifications of any such candidate, which review may, in the Governance Committee’s discretion, include interviewing references for the candidate, direct interviews with the candidate, or other actions that the Governance Committee deems necessary or proper.</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evaluating and identifying candidates, the Governance Committee has the authority to retain and terminate any third-party search firm that is used to identify director candidates and has the authority to approve the fees and retention terms of any search firm.</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Governance Committee will apply these same principles when evaluating candidates for the Board of Directors who may be elected initially by the full Board of Directors to fill vacancies or add additional directors prior to the annual meeting of stockholders at which directors are elected.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After completing its review and evaluation of director candidates, the Governance Committee recommends to the full Board of Directors the director nominees.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63" w:name="T26"/>
      <w:bookmarkEnd w:id="63"/>
      <w:r>
        <w:rPr>
          <w:rFonts w:ascii="Times New Roman PS Std;serif" w:hAnsi="Times New Roman PS Std;serif"/>
          <w:b/>
          <w:i w:val="false"/>
          <w:caps w:val="false"/>
          <w:smallCaps w:val="false"/>
          <w:sz w:val="20"/>
        </w:rPr>
        <w:t>Proxy Access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Bylaws provide a method for stockholders to place their nominees for director on our proxy ballot. Under our Current Bylaws, a stockholder, or a group of up to 20 stockholders, owning at least 3% of our outstanding common stock continuously throughout the three-year period (i) through the date of the nomination notice or (ii) following date we implemented proxy access in our Current Bylaws, whichever is later, is entitled to nominate and include in our proxy materials director nominees constituting up to the lesser of two individuals or 20% of the number of members of the Board of Directors, subject to reduction in certain circumstances, and subject to the stockholders and the nominees satisfying the requirements specified in our Current Bylaws. Our obligation to include director nominees in its annual meeting proxy materials is also subject to certain exceptions as set forth in our Current Bylaws. Written notice of the nomination(s) must be submitted to our Corporate Secretary at our principal executive office no earlier than the 120th day, and no later than the 90th day, prior to the one-year anniversary of the preceding year’s annual meeting, subject to certain exceptions as set forth in our Current Bylaws.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64" w:name="T25"/>
      <w:bookmarkEnd w:id="64"/>
      <w:r>
        <w:rPr>
          <w:rFonts w:ascii="Times New Roman PS Std;serif" w:hAnsi="Times New Roman PS Std;serif"/>
          <w:b/>
          <w:i w:val="false"/>
          <w:caps w:val="false"/>
          <w:smallCaps w:val="false"/>
          <w:sz w:val="20"/>
        </w:rPr>
        <w:t>Attendance at Annual Meetings of Stockholders by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Fortinet does not have a formal policy regarding attendance by members of the Board of Directors at Fortinet’s annual meeting of stockholders, Fortinet welcomes, but does not require, directors to attend. Ken Xie was the only director who attended the 2022 Annual Meeting.</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65" w:name="T24"/>
      <w:bookmarkEnd w:id="65"/>
      <w:r>
        <w:rPr>
          <w:rFonts w:ascii="Times New Roman PS Std;serif" w:hAnsi="Times New Roman PS Std;serif"/>
          <w:b/>
          <w:i w:val="false"/>
          <w:caps w:val="false"/>
          <w:smallCaps w:val="false"/>
          <w:sz w:val="20"/>
        </w:rPr>
        <w:t>Contacting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wish to communicate with the members of the Board of Directors may do so by sending a letter to Fortinet’s Corporate Secretary, c/o Fortinet, Inc., 899 Kifer Road, Sunnyvale, California 94086, or by fax to (408) 235-7737. The Corporate Secretary reviews all incoming stockholder communications (except for mass mailings, product complaints or inquiries, job inquiries, business solicitations and patently offensive or otherwise inappropriate material) and, if appropriate, routes such communications to the appropriate member(s) of the Board of Directors, or if none is specified, to the Lead Independent Director.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66" w:name="T6"/>
      <w:bookmarkEnd w:id="66"/>
      <w:r>
        <w:rPr>
          <w:rFonts w:ascii="Times New Roman PS Std;serif" w:hAnsi="Times New Roman PS Std;serif"/>
          <w:b/>
          <w:i w:val="false"/>
          <w:caps w:val="false"/>
          <w:smallCaps w:val="false"/>
          <w:sz w:val="20"/>
        </w:rPr>
        <w:t>EXECUTIVE OFFICERS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names of our executive officers, their ages, their positions with Fortinet and other biographical information, as set forth below, are as of March 31, 2023. Messrs. Ken Xie and Michael Xie are brothers. There are no other family relationships among any of our directors or executive officers.</w:t>
      </w:r>
    </w:p>
    <w:tbl>
      <w:tblPr>
        <w:tblW w:w="10205" w:type="dxa"/>
        <w:jc w:val="left"/>
        <w:tblInd w:w="0" w:type="dxa"/>
        <w:tblCellMar>
          <w:top w:w="0" w:type="dxa"/>
          <w:left w:w="0" w:type="dxa"/>
          <w:bottom w:w="0" w:type="dxa"/>
          <w:right w:w="0" w:type="dxa"/>
        </w:tblCellMar>
      </w:tblPr>
      <w:tblGrid>
        <w:gridCol w:w="1394"/>
        <w:gridCol w:w="146"/>
        <w:gridCol w:w="466"/>
        <w:gridCol w:w="146"/>
        <w:gridCol w:w="8053"/>
      </w:tblGrid>
      <w:tr>
        <w:trPr/>
        <w:tc>
          <w:tcPr>
            <w:tcW w:w="1394"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Age</w:t>
            </w:r>
          </w:p>
        </w:tc>
        <w:tc>
          <w:tcPr>
            <w:tcW w:w="146" w:type="dxa"/>
            <w:tcBorders/>
            <w:shd w:fill="auto" w:val="clear"/>
            <w:vAlign w:val="bottom"/>
          </w:tcPr>
          <w:p>
            <w:pPr>
              <w:pStyle w:val="TableContents"/>
              <w:spacing w:before="0" w:after="283"/>
              <w:rPr/>
            </w:pPr>
            <w:r>
              <w:rPr/>
              <w:t> </w:t>
            </w:r>
          </w:p>
        </w:tc>
        <w:tc>
          <w:tcPr>
            <w:tcW w:w="8053"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Position</w:t>
            </w:r>
          </w:p>
        </w:tc>
      </w:tr>
      <w:tr>
        <w:trPr/>
        <w:tc>
          <w:tcPr>
            <w:tcW w:w="1394"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146" w:type="dxa"/>
            <w:tcBorders/>
            <w:shd w:fill="CCEEFF" w:val="clear"/>
          </w:tcPr>
          <w:p>
            <w:pPr>
              <w:pStyle w:val="TableContents"/>
              <w:spacing w:before="0" w:after="283"/>
              <w:rPr/>
            </w:pPr>
            <w:r>
              <w:rPr/>
              <w:t> </w:t>
            </w:r>
          </w:p>
        </w:tc>
        <w:tc>
          <w:tcPr>
            <w:tcW w:w="8053"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Chairman of the Board of Directors</w:t>
            </w:r>
          </w:p>
        </w:tc>
      </w:tr>
      <w:tr>
        <w:trPr/>
        <w:tc>
          <w:tcPr>
            <w:tcW w:w="1394"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Xie</w:t>
            </w:r>
          </w:p>
        </w:tc>
        <w:tc>
          <w:tcPr>
            <w:tcW w:w="146" w:type="dxa"/>
            <w:tcBorders/>
            <w:shd w:fill="auto" w:val="clear"/>
          </w:tcPr>
          <w:p>
            <w:pPr>
              <w:pStyle w:val="TableContents"/>
              <w:spacing w:before="0" w:after="283"/>
              <w:rPr/>
            </w:pPr>
            <w:r>
              <w:rPr/>
              <w:t> </w:t>
            </w:r>
          </w:p>
        </w:tc>
        <w:tc>
          <w:tcPr>
            <w:tcW w:w="46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shd w:fill="auto" w:val="clear"/>
          </w:tcPr>
          <w:p>
            <w:pPr>
              <w:pStyle w:val="TableContents"/>
              <w:spacing w:before="0" w:after="283"/>
              <w:rPr/>
            </w:pPr>
            <w:r>
              <w:rPr/>
              <w:t> </w:t>
            </w:r>
          </w:p>
        </w:tc>
        <w:tc>
          <w:tcPr>
            <w:tcW w:w="8053"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Technology Officer and Director</w:t>
            </w:r>
          </w:p>
        </w:tc>
      </w:tr>
      <w:tr>
        <w:trPr/>
        <w:tc>
          <w:tcPr>
            <w:tcW w:w="1394"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Keith Jensen</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46" w:type="dxa"/>
            <w:tcBorders/>
            <w:shd w:fill="CCEEFF" w:val="clear"/>
          </w:tcPr>
          <w:p>
            <w:pPr>
              <w:pStyle w:val="TableContents"/>
              <w:spacing w:before="0" w:after="283"/>
              <w:rPr/>
            </w:pPr>
            <w:r>
              <w:rPr/>
              <w:t> </w:t>
            </w:r>
          </w:p>
        </w:tc>
        <w:tc>
          <w:tcPr>
            <w:tcW w:w="8053"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1394"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Patrice Perche</w:t>
            </w:r>
          </w:p>
        </w:tc>
        <w:tc>
          <w:tcPr>
            <w:tcW w:w="146" w:type="dxa"/>
            <w:tcBorders/>
            <w:shd w:fill="auto" w:val="clear"/>
          </w:tcPr>
          <w:p>
            <w:pPr>
              <w:pStyle w:val="TableContents"/>
              <w:spacing w:before="0" w:after="283"/>
              <w:rPr/>
            </w:pPr>
            <w:r>
              <w:rPr/>
              <w:t> </w:t>
            </w:r>
          </w:p>
        </w:tc>
        <w:tc>
          <w:tcPr>
            <w:tcW w:w="46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auto" w:val="clear"/>
          </w:tcPr>
          <w:p>
            <w:pPr>
              <w:pStyle w:val="TableContents"/>
              <w:spacing w:before="0" w:after="283"/>
              <w:rPr/>
            </w:pPr>
            <w:r>
              <w:rPr/>
              <w:t> </w:t>
            </w:r>
          </w:p>
        </w:tc>
        <w:tc>
          <w:tcPr>
            <w:tcW w:w="8053"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Revenue Officer and Executive Vice President of Support</w:t>
            </w:r>
          </w:p>
        </w:tc>
      </w:tr>
      <w:tr>
        <w:trPr/>
        <w:tc>
          <w:tcPr>
            <w:tcW w:w="1394"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Whittle</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shd w:fill="CCEEFF" w:val="clear"/>
          </w:tcPr>
          <w:p>
            <w:pPr>
              <w:pStyle w:val="TableContents"/>
              <w:spacing w:before="0" w:after="283"/>
              <w:rPr/>
            </w:pPr>
            <w:r>
              <w:rPr/>
              <w:t> </w:t>
            </w:r>
          </w:p>
        </w:tc>
        <w:tc>
          <w:tcPr>
            <w:tcW w:w="8053"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Executive Vice President of Corporate Development, Chief Legal Officer and Corporate Secretary</w:t>
            </w:r>
          </w:p>
        </w:tc>
      </w:tr>
    </w:tbl>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Ken Xie.    </w:t>
      </w:r>
      <w:r>
        <w:rPr>
          <w:rFonts w:ascii="Times New Roman PS Std;serif" w:hAnsi="Times New Roman PS Std;serif"/>
          <w:b w:val="false"/>
          <w:i/>
          <w:caps w:val="false"/>
          <w:smallCaps w:val="false"/>
          <w:sz w:val="20"/>
        </w:rPr>
        <w:t>For a brief biography of Mr. Ken Xie, please see “Proposal One — Election of Directors — Information Regarding the Board of Directors and Director Nominees.”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Michael Xie.    </w:t>
      </w:r>
      <w:r>
        <w:rPr>
          <w:rFonts w:ascii="Times New Roman PS Std;serif" w:hAnsi="Times New Roman PS Std;serif"/>
          <w:b w:val="false"/>
          <w:i/>
          <w:caps w:val="false"/>
          <w:smallCaps w:val="false"/>
          <w:sz w:val="20"/>
        </w:rPr>
        <w:t>For a brief biography of Mr. Michael Xie, please see “Proposal One — Election of Directors — Information Regarding the Board of Directors and Director Nominees.”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Keith Jensen </w:t>
      </w:r>
      <w:r>
        <w:rPr>
          <w:rFonts w:ascii="Times New Roman PS Std;serif" w:hAnsi="Times New Roman PS Std;serif"/>
          <w:b w:val="false"/>
          <w:i w:val="false"/>
          <w:caps w:val="false"/>
          <w:smallCaps w:val="false"/>
          <w:sz w:val="20"/>
        </w:rPr>
        <w:t>has served as our Chief Financial Officer since May 2018 and has served as our Chief Accounting Officer since July 2015. From February 2018 to May 2018, Mr. Jensen served as our Interim Chief Financial Officer. Mr. Jensen served as our Vice President of Finance and Corporate Controller from May 2014 to July 2015. From November 2012 to May 2014, Mr. Jensen served in various positions at DataDirect Networks, Inc., a data storage provider, including as its Chief Accounting Officer and Chief Administrative Officer. From February 2006 to November 2012, Mr. Jensen served in various positions at Sybase, Inc. (which was acquired by SAP America, Inc. in July 2010), an enterprise software and services company, including as Sybase’s Chief Financial Officer and Chief Accounting Officer. Prior to Sybase, from October 1999 to January 2006, Mr. Jensen served as Chief Financial Officer of Dorado Network Systems Corporation, a provider of software solutions to financial service companies. Mr. Jensen also previously held several positions with Coopers &amp; Lybrand, including audit manager. Mr. Jensen holds a B.S. in Business from California State University, Sacramento.</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Patrice Perche</w:t>
      </w:r>
      <w:r>
        <w:rPr>
          <w:rFonts w:ascii="Times New Roman PS Std;serif" w:hAnsi="Times New Roman PS Std;serif"/>
          <w:b w:val="false"/>
          <w:i w:val="false"/>
          <w:caps w:val="false"/>
          <w:smallCaps w:val="false"/>
          <w:sz w:val="20"/>
        </w:rPr>
        <w:t xml:space="preserve"> has served as our Chief Revenue Officer and Executive Vice President of Support since January 2021. From January 2016 to January 2021, Mr. Perche served as our Senior Executive Vice President, Worldwide Sales and Support. Mr. Perche served as our Vice President International Sales and Support from October 2009 to January 2016. Mr. Perche served as our Vice President EMEA and Southern Asia from July 2008 to October 2009. Mr. Perche served as our Vice President SEMEA and India from January 2005 to July 2008. Mr. Perche has more than 20 years of experience in the IT security industry. Mr. Perche is responsible for managing our international sales and support operations worldwide. Prior to joining us, Mr. Perche was co-founder and CEO of Risc Group, a French-based company focusing on IT Security with pan-European operations. Mr. Perche graduated from Insa Lyon and holds a master’s degree in computer engineering.</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John Whittle</w:t>
      </w:r>
      <w:r>
        <w:rPr>
          <w:rFonts w:ascii="Times New Roman PS Std;serif" w:hAnsi="Times New Roman PS Std;serif"/>
          <w:b w:val="false"/>
          <w:i w:val="false"/>
          <w:caps w:val="false"/>
          <w:smallCaps w:val="false"/>
          <w:sz w:val="20"/>
        </w:rPr>
        <w:t xml:space="preserve"> has served as our Chief Legal Officer since April 2022, Corporate Secretary since January 2007 and Executive Vice President of Corporate Development since January 2019. Mr. Whittle served as our General Counsel from October 2006 to April 2022 and as Vice President of Corporate Development from October 2010 until January 2019. From March 2006 to October 2006, Mr. Whittle was Vice President and General Counsel for Ingres Corporation, an open-source database company formed by a divestiture from Computer Associates. Prior to working at Ingres, from January 2000 to March 2005, Mr. Whittle was Vice President and General Counsel for Corio, Inc., an enterprise application services provider. Mr. Whittle worked from March 2005 to March 2006 with International Business Machines Corporation following its acquisition of Corio. Prior to joining Corio, Mr. Whittle was an attorney at the law firm of Wilson Sonsini Goodrich &amp; Rosati, P.C. from 1996 to 2000, representing technology companies in general corporate matters, mergers and acquisitions and initial and follow-on public offerings. Mr. Whittle holds a B.A. in history from the University of Virginia and a J.D. from Cornell University Law School.</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67" w:name="T5"/>
      <w:bookmarkEnd w:id="67"/>
      <w:r>
        <w:rPr>
          <w:rFonts w:ascii="Times New Roman PS Std;serif" w:hAnsi="Times New Roman PS Std;serif"/>
          <w:b/>
          <w:i w:val="false"/>
          <w:caps w:val="false"/>
          <w:smallCaps w:val="false"/>
          <w:sz w:val="20"/>
        </w:rPr>
        <w:t>EXECUTIVE COMPENSATION</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All share and per share amounts presented in this Proxy Statement have been retroactively adjusted where applicable to reflect the five-for-one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forward stock split of our common stock effective June 22, 2022 (the “2022 Stock Split”).</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68" w:name="T23"/>
      <w:bookmarkEnd w:id="68"/>
      <w:r>
        <w:rPr>
          <w:rFonts w:ascii="Times New Roman PS Std;serif" w:hAnsi="Times New Roman PS Std;serif"/>
          <w:b/>
          <w:i w:val="false"/>
          <w:caps w:val="false"/>
          <w:smallCaps w:val="false"/>
          <w:sz w:val="20"/>
        </w:rPr>
        <w:t>Compensation Discussion and Analysis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compensation discussion and analysis provides information about the 2022 compensation arrangements for each individual who served as one of our executive officers during 2022, who were as follows: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Ken Xie, our Chief Executive Officer;</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Michael Xie, our President and Chief Technology Officer;</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Keith Jensen, our Chief Financial Officer;</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Patrice Perche, our Chief Revenue Officer and Executive Vice President of Support;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John Whittle, our Executive Vice President of Corporate Development, Chief Legal Officer and Corporate Secretary.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refer to these individuals as “named executive officers” in this Proxy Statement. Because we had no other executive officers during 2022, each one of our executive officers was a named executive officer in 2022.</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compensation discussion and analysis should be read together with the compensation tables and related disclosures that follow it.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Overview</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compete with many other technology companies in seeking to attract and retain highly skilled top talent. We also seek to keep our employees highly motivated. To meet these challenges, we designed our executive compensation program to attract, retain and motivate our named executive officers to enhance stockholder value by:</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offering base pay and total compensation opportunities that are competitive compared with market and peer company data for the technology industry;</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linking compensation to our operating, financial and stock price performance by making elements of each named executive officer’s compensation dependent on our overall company performance and the creation of stockholder value;</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emphasizing equity pay and long-term incentives in order to incentivize contributions towards our growth and the creation of long-term value for our stockholders;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ensuring fairness among our executive team by recognizing the contributions each named executive officer makes to our success.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our compensation program is designed to align our named executive officers’ compensation with our operating, financial and stock price performance, you should consider our executive compensation decisions in the context of these areas of our performance during 2022. Specifically:</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Total revenue for 2022 was $4.42 billion, an increase of approximately 32% compared to $3.34 billion for 2021;</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Total gross profit was $3.33 billion in 2022, an increase of 30% compared to $2.56 billion in 2021.</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Role of the Human Resources Committee in Executive Compensation Decisions</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of the Board of Directors has overall responsibility for approving the compensation of our named executive officers. The Human Resources Committee also oversees our diversity, equity and inclusion initiatives and reviews with management the compensation disclosures required by the SEC. Members of the Human Resources Committee are appointed by the Board of Directors. See “</w:t>
      </w:r>
      <w:r>
        <w:rPr>
          <w:rFonts w:ascii="Times New Roman PS Std;serif" w:hAnsi="Times New Roman PS Std;serif"/>
          <w:b w:val="false"/>
          <w:i/>
          <w:caps w:val="false"/>
          <w:smallCaps w:val="false"/>
          <w:sz w:val="20"/>
        </w:rPr>
        <w:t>Corporate Governance — Board Meetings and Committees — Human Resources Committee</w:t>
      </w:r>
      <w:r>
        <w:rPr>
          <w:rFonts w:ascii="Times New Roman PS Std;serif" w:hAnsi="Times New Roman PS Std;serif"/>
          <w:b w:val="false"/>
          <w:i w:val="false"/>
          <w:caps w:val="false"/>
          <w:smallCaps w:val="false"/>
          <w:sz w:val="20"/>
        </w:rPr>
        <w:t>” for more detail about the responsibilities and procedures of the Human Resources Committee.</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Role of Compensation Consultant</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relies on its independent compensation consultant to provide advice on matters relating to the compensation of our named executive officers and non-employee directors. For 2022, the Human Resources Committee engaged Compensia, Inc. (“Compensia”) in this capacity. A representative of Compensia generally attends meetings of the Human Resources Committee. In addition, Compensia provided competitive market assessments our executive and non-employee director compensation programs, reviewed the Compensation Discussion and Analysis section of this Proxy Statement and provided support on other matters as requested by the Human Resources Committee.</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2022, the Human Resources Committee also engaged Compensia to provide and to report on the results of a competitive assessment of the compensation of our named executive officers, which is based on analysis of market and peer company compensation data. This assessment is one factor considered by the Human Resources Committee as discussed in more detail below under “— </w:t>
      </w:r>
      <w:r>
        <w:rPr>
          <w:rFonts w:ascii="Times New Roman PS Std;serif" w:hAnsi="Times New Roman PS Std;serif"/>
          <w:b w:val="false"/>
          <w:i/>
          <w:caps w:val="false"/>
          <w:smallCaps w:val="false"/>
          <w:sz w:val="20"/>
        </w:rPr>
        <w:t>Determining the Amount of Elements of Executives’ Compensation in 2022</w:t>
      </w:r>
      <w:r>
        <w:rPr>
          <w:rFonts w:ascii="Times New Roman PS Std;serif" w:hAnsi="Times New Roman PS Std;serif"/>
          <w:b w:val="false"/>
          <w:i w:val="false"/>
          <w:caps w:val="false"/>
          <w:smallCaps w:val="false"/>
          <w:sz w:val="20"/>
        </w:rPr>
        <w:t>.” Compensia reports directly to the Human Resources Committee and provided no services to us other than the consulting services to the Human Resources Committee. Based on consideration of the various factors set forth in the rules of the SEC and Nasdaq listing standards, the Human Resources Committee does not believe that its relationship with Compensia and the work of Compensia on behalf of the Human Resources Committee has raised any conflict of interest.</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Role of Executives in Executive Compensation Decisions</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generally seeks input from our Chief Executive Officer, Mr. Ken Xie, when discussing the performance of and compensation levels for our named executive officers other than for himself and Mr. Michael Xie. Neither Mr. Ken Xie nor any of our other named executive officers participates in deliberations relating to their own compensation, and Messrs. Ken Xie and Michael Xie do not participate in deliberations related to each other’s compensation.</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Advisory Vote on Named Executive Officer Compensation</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stockholders will have the opportunity again at this year’s 2023 Annual Meeting to vote on our named executive officer compensation through the stockholder advisory vote (commonly known as a “say-on-pay” vote) included as Proposal Three in this Proxy Statement. Over 91% of the stockholder votes cast have been cast in favor of our named executive officer compensation at each of our past five annual meetings of stockholders. The Human Resources Committee considers input from our stockholders and the outcome of our annual say-on-pay votes when making future executive compensation decisions and, to the extent there is any significant vote against the named executive officer compensation as disclosed in this Proxy Statement, the Human Resources Committee will seek to understand and consider our stockholders’ concerns and will evaluate whether any actions are appropriate to address those concerns. Since the 2022 stockholder vote on executive compensation occurred after the Human Resources Committee had established all of the compensation elements for 2022, the Human Resources Committee could only take into consideration the 2022 stockholder vote in establishing executive compensation for 2023. We encourage you to review this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section, together with the compensation tables that follow, prior to casting your advisory vote on the “say-on-pay” proposal.</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69" w:name="T22"/>
      <w:bookmarkEnd w:id="69"/>
      <w:r>
        <w:rPr>
          <w:rFonts w:ascii="Times New Roman PS Std;serif" w:hAnsi="Times New Roman PS Std;serif"/>
          <w:b/>
          <w:i w:val="false"/>
          <w:caps w:val="false"/>
          <w:smallCaps w:val="false"/>
          <w:sz w:val="20"/>
        </w:rPr>
        <w:t>Elements of Our Compensation Program</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four key elements of our compensation program for our named executive officers are base pay, variable pay, equity-based awards and our benefits programs. As a total package, we design our compensation program to enable us to attract and retain talent who we believe will enhance Fortinet’s long-term value. The individual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4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elements of Fortinet’s compensation program are designed to satisfy this larger goal in specific ways as described below. For a detailed discussion of the amounts awarded to our named executive officers during 2022, see “— </w:t>
      </w:r>
      <w:r>
        <w:rPr>
          <w:rFonts w:ascii="Times New Roman PS Std;serif" w:hAnsi="Times New Roman PS Std;serif"/>
          <w:b w:val="false"/>
          <w:i/>
          <w:caps w:val="false"/>
          <w:smallCaps w:val="false"/>
          <w:sz w:val="20"/>
        </w:rPr>
        <w:t>Determining the Amount of Elements of Executives’ Compensation in 2022</w:t>
      </w:r>
      <w:r>
        <w:rPr>
          <w:rFonts w:ascii="Times New Roman PS Std;serif" w:hAnsi="Times New Roman PS Std;serif"/>
          <w:b w:val="false"/>
          <w:i w:val="false"/>
          <w:caps w:val="false"/>
          <w:smallCaps w:val="false"/>
          <w:sz w:val="20"/>
        </w:rPr>
        <w:t>” below.</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Base Pay</w:t>
      </w:r>
      <w:r>
        <w:rPr>
          <w:rFonts w:ascii="Times New Roman PS Std;serif" w:hAnsi="Times New Roman PS Std;serif"/>
          <w:b w:val="false"/>
          <w:i w:val="false"/>
          <w:caps w:val="false"/>
          <w:smallCaps w:val="false"/>
          <w:sz w:val="20"/>
        </w:rPr>
        <w:t>.    We establish base pay that is both reasonable and competitive in relation to the competitive market of similar companies in the technology industry. The Human Resources Committee monitors competitive base pay levels at least annually and makes adjustments to base pay as appropriate. In general, a named executive officer’s base pay level should reflect that individual’s overall sustained performance and contribution over time. The Human Resources Committee sets base pay to provide the ongoing reward for each named executive officer’s work and contribution and to be competitive in attracting or retaining the executive. Any increases in base pay are provided generally on an annual basis.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Variable Pay</w:t>
      </w:r>
      <w:r>
        <w:rPr>
          <w:rFonts w:ascii="Times New Roman PS Std;serif" w:hAnsi="Times New Roman PS Std;serif"/>
          <w:b w:val="false"/>
          <w:i w:val="false"/>
          <w:caps w:val="false"/>
          <w:smallCaps w:val="false"/>
          <w:sz w:val="20"/>
        </w:rPr>
        <w:t>.    Rewarding performance through cash variable pay is an important element of named executive officer compensation. We design our variable pay program to be both reasonable and competitive in relation to the market. Our senior management incentive bonus program is designed to motivate our named executive officers to achieve business goals and to align payouts with actual results. The variable pay incentives are based on a formulaic assessment of our financial performance and an assessment of each individual’s performance. A factor in this evaluation is our executive “peer review” process, in which our broader executive team reviews the performance of the other members of the team, including certain of the named executive officers, on a quarterly basis, and their confidential feedback is reviewed by the Human Resources Committee when considering individual variable pay incentives. We believe the executive peer review motivates executive officers to work together in a productive fashion. The Human Resources Committee has the discretion to increase or decrease a payout under our variable pay program at any time in the event that it determines that circumstances warrant adjustment. In 2022, the payout was 96.3% as a percentage of target for our named executive officers.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Equity-Based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Awards</w:t>
      </w:r>
      <w:r>
        <w:rPr>
          <w:rFonts w:ascii="Times New Roman PS Std;serif" w:hAnsi="Times New Roman PS Std;serif"/>
          <w:b w:val="false"/>
          <w:i w:val="false"/>
          <w:caps w:val="false"/>
          <w:smallCaps w:val="false"/>
          <w:sz w:val="20"/>
        </w:rPr>
        <w:t>.    The Human Resources Committee designs our equity-based awards to be both reasonable and competitive in relation to the market.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more detail below, we design our equity-based awards to help retain talent over a period of time and to provide our named executive officers with a long-term reward that aligns their interests with those of our stockholders. The Human Resources Committee considers a number of factors when determining the size of equity awards, including competitive market data, named executive officer performance, the proposed award’s retention value, the value of unvested equity awards already held by the named executive officer and a review of the named executive officer’s overall compensation package, which takes into account our approach to base pay and variable pay. Initial equity awards granted upon hire are generally designed to attract experienced executives with established records of success and help retain them over the long term. Subsequent equity awards are designed to help retain and incentivize our named executive officers.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approved awards of stock options and restricted stock units (“RSUs”) to our named executive officers in January 2022, which were effective in February 2022. The RSUs represent a right to receive shares of our common stock upon vesting over time. The Human Resources Committee determined to grant stock options and RSUs based on an evaluation of the objectives of our compensation program and taking into consideration market practice among companies in our compensation peer group. The Human Resources Committee grants stock options and RSUs in order to: create a stronger and more visible link between executive pay and Fortinet’s stock price performance; further align our executives’ interests with those of our stockholders; to better incentivize and retain our senior executives; and maintain a long-term incentive program that is competitive with practices at peer companies. The Human Resources Committee considers stock options a strong pay-for-performance vehicle as the value of a stock option is limited to the excess of then-current stock price over the exercise price of the option. Stock options also support a long-term perspective as the grants to our named executive officers in fiscal 2022 vest over four years and can be exercised for up to seven years after grant.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Beginning in late 2022, our Human Resources Committee initiated a review of our approach to executive long-term incentives. This review considered a broad range of factors, including input from our stockholders, analysis of competitive practice among companies in our peer group, input from our Chief Executive Officer and discussions with Compensia. Following this review and taking into consideration our desired compensation objectives and pay-for-performance philosophy, the Human Resources Committee approved long-term incentive awards in February 2023 for our name executive officers, that consisted of 50% PSUs and 50% time-vesting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RSUs. The Human Resources Committee determined that a mix of time-based RSUs and PSUs was best aligned with the interests of our stockholders by creating an appropriate balance between our goals of business execution, long-term share price growth and named executive officer retention. The PSUs are measured based on the percentile ranking of our total stockholder return among companies included in the S&amp;P 500 Index. The PSUs include four performance periods of one, two, three and four years; the first three performance periods are each weighted 20% while the four-year performance period is weighted 40%. The Human Resources Committee believes that the introduction of multi-year PSUs with a relative stockholder return performance measurement supports our compensation objectives, including a strong pay-for-performance culture and focus on long-term stockholder value creation, and drives alignment with our stockholders.</w:t>
      </w:r>
    </w:p>
    <w:p>
      <w:pPr>
        <w:pStyle w:val="TextBody"/>
        <w:keepNext w:val="false"/>
        <w:pageBreakBefore w:val="false"/>
        <w:widowControl/>
        <w:pBdr/>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on the vesting schedules for the awards of stock options and RSUs made to our named executive officers in 2022 can be found below in “— </w:t>
      </w:r>
      <w:r>
        <w:rPr>
          <w:rFonts w:ascii="Times New Roman PS Std;serif" w:hAnsi="Times New Roman PS Std;serif"/>
          <w:b w:val="false"/>
          <w:i/>
          <w:caps w:val="false"/>
          <w:smallCaps w:val="false"/>
          <w:sz w:val="20"/>
        </w:rPr>
        <w:t>Determining the Amount of Elements of Executives’ Compensation in 2022 — Equity-Based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Awards</w:t>
      </w:r>
      <w:r>
        <w:rPr>
          <w:rFonts w:ascii="Times New Roman PS Std;serif" w:hAnsi="Times New Roman PS Std;serif"/>
          <w:b w:val="false"/>
          <w:i w:val="false"/>
          <w:caps w:val="false"/>
          <w:smallCaps w:val="false"/>
          <w:sz w:val="20"/>
        </w:rPr>
        <w:t>.” See “— </w:t>
      </w:r>
      <w:r>
        <w:rPr>
          <w:rFonts w:ascii="Times New Roman PS Std;serif" w:hAnsi="Times New Roman PS Std;serif"/>
          <w:b w:val="false"/>
          <w:i/>
          <w:caps w:val="false"/>
          <w:smallCaps w:val="false"/>
          <w:sz w:val="20"/>
        </w:rPr>
        <w:t>Outstanding Equity Awards at 2022 Fiscal Year-End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Table</w:t>
      </w:r>
      <w:r>
        <w:rPr>
          <w:rFonts w:ascii="Times New Roman PS Std;serif" w:hAnsi="Times New Roman PS Std;serif"/>
          <w:b w:val="false"/>
          <w:i w:val="false"/>
          <w:caps w:val="false"/>
          <w:smallCaps w:val="false"/>
          <w:sz w:val="20"/>
        </w:rPr>
        <w:t>” for additional information regarding the outstanding and unvested equity awards held by each named executive officer as of the end of fiscal 2022.</w:t>
      </w:r>
    </w:p>
    <w:p>
      <w:pPr>
        <w:pStyle w:val="TextBody"/>
        <w:keepNext w:val="false"/>
        <w:pageBreakBefore w:val="false"/>
        <w:widowControl/>
        <w:pBdr/>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Benefits Programs</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    Our named executive officers generally receive the same benefits as those provided to our other employees in their respective countries and do not receive any additional perquisites, including, where applicable: health and welfare benefits, including participation in our 401(k) retirement plan; group health insurance plans; and life, disability and accidental death insurance plans. We design our employee benefits programs to be both cost-effective and competitive in relation to the market as well as compliant with applicable laws and practices. We adjust our benefits programs as needed based upon regular monitoring of applicable laws and practices and the overall market.</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70" w:name="T21"/>
      <w:bookmarkEnd w:id="70"/>
      <w:r>
        <w:rPr>
          <w:rFonts w:ascii="Times New Roman PS Std;serif" w:hAnsi="Times New Roman PS Std;serif"/>
          <w:b/>
          <w:i w:val="false"/>
          <w:caps w:val="false"/>
          <w:smallCaps w:val="false"/>
          <w:sz w:val="20"/>
        </w:rPr>
        <w:t>Determining the Amount of Elements of Executives’ Compensation in 2022</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Peer Group.    </w:t>
      </w:r>
      <w:r>
        <w:rPr>
          <w:rFonts w:ascii="Times New Roman PS Std;serif" w:hAnsi="Times New Roman PS Std;serif"/>
          <w:b w:val="false"/>
          <w:i w:val="false"/>
          <w:caps w:val="false"/>
          <w:smallCaps w:val="false"/>
          <w:sz w:val="20"/>
        </w:rPr>
        <w:t>In October 2021, with assistance from Compensia, the Human Resources Committee developed and approved a compensation peer group as a source of competitive market data for evaluating the compensation of our executive officers and to support pay decisions for 2022.</w:t>
      </w:r>
    </w:p>
    <w:p>
      <w:pPr>
        <w:pStyle w:val="TextBody"/>
        <w:keepNext w:val="false"/>
        <w:pageBreakBefore w:val="false"/>
        <w:widowControl/>
        <w:pBdr/>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peer group was comprised of security competitors, network infrastructure technology companies and other software companies focusing on data management, internet infrastructure and enterprise application software. In selecting peers, the Human Resources Committee also generally sought to include companies with annual revenue ranging from approximately $531.0 million to $5.9 billion and a market capitalization generally ranging from $16.0 billion to $65.8 billion as of September 30, 2021. The peer group approved in October 2021 included the 18 technology companies listed below:</w:t>
      </w:r>
    </w:p>
    <w:tbl>
      <w:tblPr>
        <w:tblW w:w="7040" w:type="dxa"/>
        <w:jc w:val="left"/>
        <w:tblInd w:w="0" w:type="dxa"/>
        <w:tblCellMar>
          <w:top w:w="0" w:type="dxa"/>
          <w:left w:w="0" w:type="dxa"/>
          <w:bottom w:w="0" w:type="dxa"/>
          <w:right w:w="0" w:type="dxa"/>
        </w:tblCellMar>
      </w:tblPr>
      <w:tblGrid>
        <w:gridCol w:w="161"/>
        <w:gridCol w:w="146"/>
        <w:gridCol w:w="3541"/>
        <w:gridCol w:w="146"/>
        <w:gridCol w:w="3046"/>
      </w:tblGrid>
      <w:tr>
        <w:trPr/>
        <w:tc>
          <w:tcPr>
            <w:tcW w:w="161"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pPr>
            <w:r>
              <w:rPr/>
              <w:t> </w:t>
            </w:r>
          </w:p>
        </w:tc>
        <w:tc>
          <w:tcPr>
            <w:tcW w:w="354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Akamai Technologies</w:t>
            </w:r>
          </w:p>
        </w:tc>
        <w:tc>
          <w:tcPr>
            <w:tcW w:w="146" w:type="dxa"/>
            <w:tcBorders/>
            <w:shd w:fill="auto" w:val="clear"/>
          </w:tcPr>
          <w:p>
            <w:pPr>
              <w:pStyle w:val="TableContents"/>
              <w:spacing w:before="0" w:after="283"/>
              <w:rPr/>
            </w:pPr>
            <w:r>
              <w:rPr/>
              <w:t> </w:t>
            </w:r>
          </w:p>
        </w:tc>
        <w:tc>
          <w:tcPr>
            <w:tcW w:w="30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NetApp</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54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Arista Networks</w:t>
            </w:r>
          </w:p>
        </w:tc>
        <w:tc>
          <w:tcPr>
            <w:tcW w:w="146" w:type="dxa"/>
            <w:tcBorders/>
            <w:shd w:fill="auto" w:val="clear"/>
          </w:tcPr>
          <w:p>
            <w:pPr>
              <w:pStyle w:val="TableContents"/>
              <w:spacing w:before="0" w:after="283"/>
              <w:rPr/>
            </w:pPr>
            <w:r>
              <w:rPr/>
              <w:t> </w:t>
            </w:r>
          </w:p>
        </w:tc>
        <w:tc>
          <w:tcPr>
            <w:tcW w:w="30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Okta</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54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Autodesk</w:t>
            </w:r>
          </w:p>
        </w:tc>
        <w:tc>
          <w:tcPr>
            <w:tcW w:w="146" w:type="dxa"/>
            <w:tcBorders/>
            <w:shd w:fill="auto" w:val="clear"/>
          </w:tcPr>
          <w:p>
            <w:pPr>
              <w:pStyle w:val="TableContents"/>
              <w:spacing w:before="0" w:after="283"/>
              <w:rPr/>
            </w:pPr>
            <w:r>
              <w:rPr/>
              <w:t> </w:t>
            </w:r>
          </w:p>
        </w:tc>
        <w:tc>
          <w:tcPr>
            <w:tcW w:w="30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Palo Alto Networks</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54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Cadence Design Systems</w:t>
            </w:r>
          </w:p>
        </w:tc>
        <w:tc>
          <w:tcPr>
            <w:tcW w:w="146" w:type="dxa"/>
            <w:tcBorders/>
            <w:shd w:fill="auto" w:val="clear"/>
          </w:tcPr>
          <w:p>
            <w:pPr>
              <w:pStyle w:val="TableContents"/>
              <w:spacing w:before="0" w:after="283"/>
              <w:rPr/>
            </w:pPr>
            <w:r>
              <w:rPr/>
              <w:t> </w:t>
            </w:r>
          </w:p>
        </w:tc>
        <w:tc>
          <w:tcPr>
            <w:tcW w:w="30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Splunk</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54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Point Software Technologies</w:t>
            </w:r>
          </w:p>
        </w:tc>
        <w:tc>
          <w:tcPr>
            <w:tcW w:w="146" w:type="dxa"/>
            <w:tcBorders/>
            <w:shd w:fill="auto" w:val="clear"/>
          </w:tcPr>
          <w:p>
            <w:pPr>
              <w:pStyle w:val="TableContents"/>
              <w:spacing w:before="0" w:after="283"/>
              <w:rPr/>
            </w:pPr>
            <w:r>
              <w:rPr/>
              <w:t> </w:t>
            </w:r>
          </w:p>
        </w:tc>
        <w:tc>
          <w:tcPr>
            <w:tcW w:w="30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Synopsys</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54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Cloudflare</w:t>
            </w:r>
          </w:p>
        </w:tc>
        <w:tc>
          <w:tcPr>
            <w:tcW w:w="146" w:type="dxa"/>
            <w:tcBorders/>
            <w:shd w:fill="auto" w:val="clear"/>
          </w:tcPr>
          <w:p>
            <w:pPr>
              <w:pStyle w:val="TableContents"/>
              <w:spacing w:before="0" w:after="283"/>
              <w:rPr/>
            </w:pPr>
            <w:r>
              <w:rPr/>
              <w:t> </w:t>
            </w:r>
          </w:p>
        </w:tc>
        <w:tc>
          <w:tcPr>
            <w:tcW w:w="30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Twilio</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54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CrowdStrike Holdings</w:t>
            </w:r>
          </w:p>
        </w:tc>
        <w:tc>
          <w:tcPr>
            <w:tcW w:w="146" w:type="dxa"/>
            <w:tcBorders/>
            <w:shd w:fill="auto" w:val="clear"/>
          </w:tcPr>
          <w:p>
            <w:pPr>
              <w:pStyle w:val="TableContents"/>
              <w:spacing w:before="0" w:after="283"/>
              <w:rPr/>
            </w:pPr>
            <w:r>
              <w:rPr/>
              <w:t> </w:t>
            </w:r>
          </w:p>
        </w:tc>
        <w:tc>
          <w:tcPr>
            <w:tcW w:w="30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Workday</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54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DocuSign</w:t>
            </w:r>
          </w:p>
        </w:tc>
        <w:tc>
          <w:tcPr>
            <w:tcW w:w="146" w:type="dxa"/>
            <w:tcBorders/>
            <w:shd w:fill="auto" w:val="clear"/>
          </w:tcPr>
          <w:p>
            <w:pPr>
              <w:pStyle w:val="TableContents"/>
              <w:spacing w:before="0" w:after="283"/>
              <w:rPr/>
            </w:pPr>
            <w:r>
              <w:rPr/>
              <w:t> </w:t>
            </w:r>
          </w:p>
        </w:tc>
        <w:tc>
          <w:tcPr>
            <w:tcW w:w="30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Zoom Video Communications</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54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Marvell Technology</w:t>
            </w:r>
          </w:p>
        </w:tc>
        <w:tc>
          <w:tcPr>
            <w:tcW w:w="146" w:type="dxa"/>
            <w:tcBorders/>
            <w:shd w:fill="auto" w:val="clear"/>
          </w:tcPr>
          <w:p>
            <w:pPr>
              <w:pStyle w:val="TableContents"/>
              <w:spacing w:before="0" w:after="283"/>
              <w:rPr/>
            </w:pPr>
            <w:r>
              <w:rPr/>
              <w:t> </w:t>
            </w:r>
          </w:p>
        </w:tc>
        <w:tc>
          <w:tcPr>
            <w:tcW w:w="30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Zscaler</w:t>
            </w:r>
          </w:p>
        </w:tc>
      </w:tr>
    </w:tbl>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2022, the Human Resources Committee removed ANSYS, Citrix Systems and VeriSign from the peer group and added Autodesk, Cloudflare, DocuSign, Marvell Technology and Zoom Video Communications to the peer group.</w:t>
      </w:r>
    </w:p>
    <w:p>
      <w:pPr>
        <w:pStyle w:val="TextBody"/>
        <w:keepNext w:val="false"/>
        <w:pageBreakBefore w:val="false"/>
        <w:widowControl/>
        <w:pBdr/>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Base Pay</w:t>
      </w:r>
      <w:r>
        <w:rPr>
          <w:rFonts w:ascii="Times New Roman PS Std;serif" w:hAnsi="Times New Roman PS Std;serif"/>
          <w:b w:val="false"/>
          <w:i w:val="false"/>
          <w:caps w:val="false"/>
          <w:smallCaps w:val="false"/>
          <w:sz w:val="20"/>
        </w:rPr>
        <w:t>.    As part of our annual performance review process and review of named executive officers’ compensation, early each year the Human Resources Committee assesses the performance of the named executive officers, considering factors such as company performance, department performance and individual performance, including the named executive officer’s expertise, position, past contributions to Fortinet and potential future contributions to Fortinet. Largely as a result of this assessment and taking into account reasonable annual base pay increase practices and Compensia’s data and analysis, the Human Resources Committee considered whether and how much to adjust the base pay of the named executive officers.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Taking into consideration performance and reasonable merit increases, in January 2022, the Human Resources Committee kept the annual base pay of Mr. Ken Xie at $797,000, of Mr. Michael Xie at $445,000 and of Mr. Perche at $495,268. The Human Resources Committee approved increases in the annual base salary of Mr. Jensen by 3.3% to $506,000 and of Mr. Whittle by 9% to $482,000; these changes were approved to maintain a competitive positioning with the 50th percentile of market data.</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Equity-Based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Awards</w:t>
      </w:r>
      <w:r>
        <w:rPr>
          <w:rFonts w:ascii="Times New Roman PS Std;serif" w:hAnsi="Times New Roman PS Std;serif"/>
          <w:b w:val="false"/>
          <w:i w:val="false"/>
          <w:caps w:val="false"/>
          <w:smallCaps w:val="false"/>
          <w:sz w:val="20"/>
        </w:rPr>
        <w:t>.    In granting stock options and RSUs to our named executive officers in 2022, the Human Resources Committee exercised its judgment and considered, among other things, the role and contribution of the named executive officer, the value of unvested stock options and RSUs already held by the executive and Compensia’s data and analysis.</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January 2022, the Human Resources Committee approved awards of stock options exercisable for up to 288,795 shares for Mr. Ken Xie, 97,440 shares for Mr. Michael Xie, 90,735 shares for Mr. Jensen, 90,735 shares for Mr. Perche and 56,700 shares for Mr. Whittle. Each of these stock options was granted in accordance with Fortinet’s Equity Award Grant Policy discussed in “— </w:t>
      </w:r>
      <w:r>
        <w:rPr>
          <w:rFonts w:ascii="Times New Roman PS Std;serif" w:hAnsi="Times New Roman PS Std;serif"/>
          <w:b w:val="false"/>
          <w:i/>
          <w:caps w:val="false"/>
          <w:smallCaps w:val="false"/>
          <w:sz w:val="20"/>
        </w:rPr>
        <w:t>Timing of Equity Awards</w:t>
      </w:r>
      <w:r>
        <w:rPr>
          <w:rFonts w:ascii="Times New Roman PS Std;serif" w:hAnsi="Times New Roman PS Std;serif"/>
          <w:b w:val="false"/>
          <w:i w:val="false"/>
          <w:caps w:val="false"/>
          <w:smallCaps w:val="false"/>
          <w:sz w:val="20"/>
        </w:rPr>
        <w:t>” below, and vests over four years, with 25% vesting one year from February 17, 2023 and the remainder vesting monthly thereafter.</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in January 2022, the Human Resources Committee approved awards of 96,265 RSUs for Mr. Ken Xie, 32,480 RSUs for Mr. Michael Xie, 30,245 RSUs for Mr. Jensen, 30,245 RSUs for Mr. Perche and 18,900 RSUs for Mr. Whittle. Each of these RSUs was granted in accordance with Fortinet’s Equity Award Grant Policy discussed in “— </w:t>
      </w:r>
      <w:r>
        <w:rPr>
          <w:rFonts w:ascii="Times New Roman PS Std;serif" w:hAnsi="Times New Roman PS Std;serif"/>
          <w:b w:val="false"/>
          <w:i/>
          <w:caps w:val="false"/>
          <w:smallCaps w:val="false"/>
          <w:sz w:val="20"/>
        </w:rPr>
        <w:t>Timing of Equity Awards</w:t>
      </w:r>
      <w:r>
        <w:rPr>
          <w:rFonts w:ascii="Times New Roman PS Std;serif" w:hAnsi="Times New Roman PS Std;serif"/>
          <w:b w:val="false"/>
          <w:i w:val="false"/>
          <w:caps w:val="false"/>
          <w:smallCaps w:val="false"/>
          <w:sz w:val="20"/>
        </w:rPr>
        <w:t>” below, and vests over four years, with 25% vesting one year from February 1, 2023 and the remainder vesting quarterly thereafter.</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Variable Pay</w:t>
      </w:r>
      <w:r>
        <w:rPr>
          <w:rFonts w:ascii="Times New Roman PS Std;serif" w:hAnsi="Times New Roman PS Std;serif"/>
          <w:b w:val="false"/>
          <w:i w:val="false"/>
          <w:caps w:val="false"/>
          <w:smallCaps w:val="false"/>
          <w:sz w:val="20"/>
        </w:rPr>
        <w:t>.    We determine the executive’s actual level of variable compensation in accordance with the terms of the Senior Management Bonus Program (the “Bonus Program”) approved by the Human Resources Committee for the year. In developing the framework, we seek to set total cash compensation (i.e., base salary plus variable pay) to meet our goal of ensuring that our cash compensation levels are competitive and to enable us to retain and motivate our named executive officers.</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2022, the Human Resources Committee based the Bonus Program funding on achievement of revenue and operating income targets, as set forth in more detail below, with 70% of the bonus pool funding based on revenue achievement and 30% based on operating income achievement. The Human Resources Committee weighted the Bonus Program funding more heavily toward achieving revenue over operating income because it believed that, at this stage, a continued focus on growing revenue would help drive our long-term success and result in greater opportunity for profit in the future and enhanced stockholder value. However, because we believe it is important for our executives to monitor expenses closely as well, the Human Resources Committee also based a portion of the bonus pool funding on our operating income performance. Operating income for purposes of the Bonus Program is not calculated in accordance with U.S. generally accepted accounting principles (“GAAP”) but rather is defined as net income plus income taxes, stock-based compensation, interest income and foreign exchange currency gains or losses and other adjustments to GAAP income as defined in our non-GAAP definition for external reporting purposes.</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Bonus Program, a minimum performance level (based on a percentage of the revenue and operating income target levels) had to be met before funding could occur. For 2022, threshold (i.e., the minimum) performance level was 90% of both the revenue target and the operating income target. Once the threshold performance level was attained, the funding of the bonus payments for our named executive officers was to increase on a graduated basis for each of the revenue portion and the operating income portion as follows:</w:t>
      </w:r>
    </w:p>
    <w:tbl>
      <w:tblPr>
        <w:tblW w:w="10205" w:type="dxa"/>
        <w:jc w:val="left"/>
        <w:tblInd w:w="0" w:type="dxa"/>
        <w:tblCellMar>
          <w:top w:w="0" w:type="dxa"/>
          <w:left w:w="0" w:type="dxa"/>
          <w:bottom w:w="0" w:type="dxa"/>
          <w:right w:w="0" w:type="dxa"/>
        </w:tblCellMar>
      </w:tblPr>
      <w:tblGrid>
        <w:gridCol w:w="1897"/>
        <w:gridCol w:w="146"/>
        <w:gridCol w:w="8162"/>
      </w:tblGrid>
      <w:tr>
        <w:trPr/>
        <w:tc>
          <w:tcPr>
            <w:tcW w:w="1897"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Revenue Performance</w:t>
            </w:r>
          </w:p>
        </w:tc>
        <w:tc>
          <w:tcPr>
            <w:tcW w:w="146" w:type="dxa"/>
            <w:tcBorders/>
            <w:shd w:fill="auto" w:val="clear"/>
            <w:vAlign w:val="bottom"/>
          </w:tcPr>
          <w:p>
            <w:pPr>
              <w:pStyle w:val="TableContents"/>
              <w:spacing w:before="0" w:after="283"/>
              <w:rPr/>
            </w:pPr>
            <w:r>
              <w:rPr/>
              <w:t> </w:t>
            </w:r>
          </w:p>
        </w:tc>
        <w:tc>
          <w:tcPr>
            <w:tcW w:w="8162"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Funding Amount</w:t>
            </w:r>
          </w:p>
        </w:tc>
      </w:tr>
      <w:tr>
        <w:trPr/>
        <w:tc>
          <w:tcPr>
            <w:tcW w:w="1897"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 – 100%</w:t>
            </w:r>
          </w:p>
        </w:tc>
        <w:tc>
          <w:tcPr>
            <w:tcW w:w="146" w:type="dxa"/>
            <w:tcBorders/>
            <w:shd w:fill="auto" w:val="clear"/>
          </w:tcPr>
          <w:p>
            <w:pPr>
              <w:pStyle w:val="TableContents"/>
              <w:spacing w:before="0" w:after="283"/>
              <w:rPr/>
            </w:pPr>
            <w:r>
              <w:rPr/>
              <w:t> </w:t>
            </w:r>
          </w:p>
        </w:tc>
        <w:tc>
          <w:tcPr>
            <w:tcW w:w="8162" w:type="dxa"/>
            <w:tcBorders/>
            <w:shd w:fill="auto" w:val="clea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 funding for performance at 90% and 6% funding for every additional 1% of performance between 90% and 100%</w:t>
            </w:r>
          </w:p>
        </w:tc>
      </w:tr>
      <w:tr>
        <w:trPr/>
        <w:tc>
          <w:tcPr>
            <w:tcW w:w="1897"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 140%</w:t>
            </w:r>
          </w:p>
        </w:tc>
        <w:tc>
          <w:tcPr>
            <w:tcW w:w="146" w:type="dxa"/>
            <w:tcBorders/>
            <w:shd w:fill="auto" w:val="clear"/>
          </w:tcPr>
          <w:p>
            <w:pPr>
              <w:pStyle w:val="TableContents"/>
              <w:spacing w:before="0" w:after="283"/>
              <w:rPr/>
            </w:pPr>
            <w:r>
              <w:rPr/>
              <w:t> </w:t>
            </w:r>
          </w:p>
        </w:tc>
        <w:tc>
          <w:tcPr>
            <w:tcW w:w="8162" w:type="dxa"/>
            <w:tcBorders/>
            <w:shd w:fill="auto" w:val="clea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funding for every additional 1% of performance between 100% and 140%</w:t>
            </w:r>
          </w:p>
        </w:tc>
      </w:tr>
    </w:tbl>
    <w:tbl>
      <w:tblPr>
        <w:tblW w:w="10205" w:type="dxa"/>
        <w:jc w:val="left"/>
        <w:tblInd w:w="0" w:type="dxa"/>
        <w:tblCellMar>
          <w:top w:w="0" w:type="dxa"/>
          <w:left w:w="0" w:type="dxa"/>
          <w:bottom w:w="0" w:type="dxa"/>
          <w:right w:w="0" w:type="dxa"/>
        </w:tblCellMar>
      </w:tblPr>
      <w:tblGrid>
        <w:gridCol w:w="2380"/>
        <w:gridCol w:w="146"/>
        <w:gridCol w:w="7679"/>
      </w:tblGrid>
      <w:tr>
        <w:trPr/>
        <w:tc>
          <w:tcPr>
            <w:tcW w:w="2380"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Operating Income Performance</w:t>
            </w:r>
          </w:p>
        </w:tc>
        <w:tc>
          <w:tcPr>
            <w:tcW w:w="146" w:type="dxa"/>
            <w:tcBorders/>
            <w:shd w:fill="auto" w:val="clear"/>
            <w:vAlign w:val="bottom"/>
          </w:tcPr>
          <w:p>
            <w:pPr>
              <w:pStyle w:val="TableContents"/>
              <w:spacing w:before="0" w:after="283"/>
              <w:rPr/>
            </w:pPr>
            <w:r>
              <w:rPr/>
              <w:t> </w:t>
            </w:r>
          </w:p>
        </w:tc>
        <w:tc>
          <w:tcPr>
            <w:tcW w:w="7679"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Funding Amount</w:t>
            </w:r>
          </w:p>
        </w:tc>
      </w:tr>
      <w:tr>
        <w:trPr/>
        <w:tc>
          <w:tcPr>
            <w:tcW w:w="2380"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 – 100%</w:t>
            </w:r>
          </w:p>
        </w:tc>
        <w:tc>
          <w:tcPr>
            <w:tcW w:w="146" w:type="dxa"/>
            <w:tcBorders/>
            <w:shd w:fill="auto" w:val="clear"/>
          </w:tcPr>
          <w:p>
            <w:pPr>
              <w:pStyle w:val="TableContents"/>
              <w:spacing w:before="0" w:after="283"/>
              <w:rPr/>
            </w:pPr>
            <w:r>
              <w:rPr/>
              <w:t> </w:t>
            </w:r>
          </w:p>
        </w:tc>
        <w:tc>
          <w:tcPr>
            <w:tcW w:w="7679" w:type="dxa"/>
            <w:tcBorders/>
            <w:shd w:fill="auto" w:val="clea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 funding for performance at 90% and 6% funding for every additional 1% of performance between 90% and 100%</w:t>
            </w:r>
          </w:p>
        </w:tc>
      </w:tr>
      <w:tr>
        <w:trPr/>
        <w:tc>
          <w:tcPr>
            <w:tcW w:w="2380"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 140%</w:t>
            </w:r>
          </w:p>
        </w:tc>
        <w:tc>
          <w:tcPr>
            <w:tcW w:w="146" w:type="dxa"/>
            <w:tcBorders/>
            <w:shd w:fill="auto" w:val="clear"/>
          </w:tcPr>
          <w:p>
            <w:pPr>
              <w:pStyle w:val="TableContents"/>
              <w:spacing w:before="0" w:after="283"/>
              <w:rPr/>
            </w:pPr>
            <w:r>
              <w:rPr/>
              <w:t> </w:t>
            </w:r>
          </w:p>
        </w:tc>
        <w:tc>
          <w:tcPr>
            <w:tcW w:w="7679" w:type="dxa"/>
            <w:tcBorders/>
            <w:shd w:fill="auto" w:val="clea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funding for every additional 1% of performance between 100% and 140%</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45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for the revenue portion for our named executive officers: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90% achievement of the revenue target, the revenue portion of the Bonus Program would be funded at 40%;</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95% achievement of the revenue target, the revenue portion of the Bonus Program would be funded at 70%;</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100% achievement of the revenue target, the revenue portion of the Bonus Program would be funded at 100%;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140% achievement of the revenue target, the revenue portion of the Bonus Program would be funded at 140%.</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Bonuses payments were calculated and awarded quarterly. Bonus payments were based on unaudited, preliminary revenue and operating income results. Adjustments based on actual revenue and operating income results may be made in subsequent quarters at the Human Resources Committee’s discretion. No bonuses are paid to our named executive officers under the Bonus Program if our financial results are below our guidance such that we pre-announce our financial results.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Individual target bonuses under the Bonus Program are expressed as a percentage of the named executive officer’s base salary for 100% goal achievement. During 2022, our Chief Executive Officer made recommendations for target bonuses to the Human Resources Committee for Messrs. Jensen, Perche and Whittle, taking into consideration company achievement versus the financial targets discussed below and peer group data. The Human Resources Committee in turn gave final approval after discussing the recommendations. The Human Resources Committee approved target bonuses for Messrs. Ken Xie and Michael Xie based upon the same criteria under the Bonus Program.</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2022, the Human Resources Committee approved target bonuses of 120% of base salary for Mr. Ken Xie, 75% of base salary for Mr. Michael Xie, 80% of base salary for Mr. Jensen, 100% of base salary for Mr. Perche and 75% of base salary for Mr. Whittle. See “— </w:t>
      </w:r>
      <w:r>
        <w:rPr>
          <w:rFonts w:ascii="Times New Roman PS Std;serif" w:hAnsi="Times New Roman PS Std;serif"/>
          <w:b w:val="false"/>
          <w:i/>
          <w:caps w:val="false"/>
          <w:smallCaps w:val="false"/>
          <w:sz w:val="20"/>
        </w:rPr>
        <w:t>2022 Summary Compensation Table</w:t>
      </w:r>
      <w:r>
        <w:rPr>
          <w:rFonts w:ascii="Times New Roman PS Std;serif" w:hAnsi="Times New Roman PS Std;serif"/>
          <w:b w:val="false"/>
          <w:i w:val="false"/>
          <w:caps w:val="false"/>
          <w:smallCaps w:val="false"/>
          <w:sz w:val="20"/>
        </w:rPr>
        <w:t>” below.</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noted above, the Bonus Program was based on revenue and operating income performance targets set at the beginning of the year. The targets were set at levels determined to be challenging and requiring substantial effort on the part of senior management. For 2022, we achieved between 96% and 109% of our quarterly and annual revenue targets and we achieved between 102% and 136% of our quarterly and annual operating income targets. The Human Resources Committee approved bonus payments for our senior management for 2022 based on achievement of these corporate goals and the individual performance of certain of our named executive officers as evaluated pursuant to the “peer review” process described above. The following charts set forth both the target levels for our revenue and operating income performance, the revenue and operating income levels actually achieved, and the percentages of target revenue actually achieved.</w:t>
      </w:r>
    </w:p>
    <w:p>
      <w:pPr>
        <w:pStyle w:val="TextBody"/>
        <w:keepNext w:val="false"/>
        <w:pageBreakBefore w:val="false"/>
        <w:widowControl/>
        <w:pBdr/>
        <w:spacing w:before="160" w:after="283"/>
        <w:ind w:left="0" w:right="0" w:hanging="0"/>
        <w:jc w:val="left"/>
        <w:rPr>
          <w:caps w:val="false"/>
          <w:smallCaps w:val="false"/>
        </w:rPr>
      </w:pPr>
      <w:r>
        <w:rPr>
          <w:caps w:val="false"/>
          <w:smallCaps w:val="false"/>
        </w:rPr>
        <w:drawing>
          <wp:inline distT="0" distB="0" distL="0" distR="0">
            <wp:extent cx="5562600" cy="201168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562600" cy="2011680"/>
                    </a:xfrm>
                    <a:prstGeom prst="rect">
                      <a:avLst/>
                    </a:prstGeom>
                  </pic:spPr>
                </pic:pic>
              </a:graphicData>
            </a:graphic>
          </wp:inline>
        </w:drawing>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Benefits Programs</w:t>
      </w:r>
      <w:r>
        <w:rPr>
          <w:rFonts w:ascii="Times New Roman PS Std;serif" w:hAnsi="Times New Roman PS Std;serif"/>
          <w:b w:val="false"/>
          <w:i w:val="false"/>
          <w:caps w:val="false"/>
          <w:smallCaps w:val="false"/>
          <w:sz w:val="20"/>
        </w:rPr>
        <w:t>.    In 2022, our named executive officers received the same employee benefits as our other employees in their respective countries and did not receive any additional perquisites. Additional details regarding our benefits programs can be found above in “— </w:t>
      </w:r>
      <w:r>
        <w:rPr>
          <w:rFonts w:ascii="Times New Roman PS Std;serif" w:hAnsi="Times New Roman PS Std;serif"/>
          <w:b w:val="false"/>
          <w:i/>
          <w:caps w:val="false"/>
          <w:smallCaps w:val="false"/>
          <w:sz w:val="20"/>
        </w:rPr>
        <w:t>Elements of Our Compensation Program — Benefits Programs</w:t>
      </w:r>
      <w:r>
        <w:rPr>
          <w:rFonts w:ascii="Times New Roman PS Std;serif" w:hAnsi="Times New Roman PS Std;serif"/>
          <w:b w:val="false"/>
          <w:i w:val="false"/>
          <w:caps w:val="false"/>
          <w:smallCaps w:val="false"/>
          <w:sz w:val="20"/>
        </w:rPr>
        <w:t>.”</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 of Control Severance Agreements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a Change of Control Severance Agreement or an Amended and Restated Change of Control Severance Agreement (each, a “Change of Control Severance Agreement”) with each of our named executive officers. The term of each named executive officer’s Change of Control Severance Agreement expires on August 7, 2024.</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Change of Control Severance Agreements provide for payments and benefits upon termination of their employment in specified circumstances. These arrangements (including potential payments and terms) are discussed in more detail in the “— </w:t>
      </w:r>
      <w:r>
        <w:rPr>
          <w:rFonts w:ascii="Times New Roman PS Std;serif" w:hAnsi="Times New Roman PS Std;serif"/>
          <w:b w:val="false"/>
          <w:i/>
          <w:caps w:val="false"/>
          <w:smallCaps w:val="false"/>
          <w:sz w:val="20"/>
        </w:rPr>
        <w:t>Potential Payments Upon Termination or Change of Control</w:t>
      </w:r>
      <w:r>
        <w:rPr>
          <w:rFonts w:ascii="Times New Roman PS Std;serif" w:hAnsi="Times New Roman PS Std;serif"/>
          <w:b w:val="false"/>
          <w:i w:val="false"/>
          <w:caps w:val="false"/>
          <w:smallCaps w:val="false"/>
          <w:sz w:val="20"/>
        </w:rPr>
        <w:t>” section below. We believe that these agreements help us from a retention standpoint, and they are particularly necessary in an industry such as ours, where there has been market consolidation. We believe that entering into these agreements helps the named executive officers maintain continued focus and dedication to their assigned duties to maximize stockholder value. The terms of these agreements were determined after review by the Human Resources Committee of our retention goals for each named executive officer, as well as analysis of market data, similar agreements established by our peer group and applicable law.</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Timing of Equity Awards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approved grants of both stock options and RSUs to our named executive officers in January 2022. The Board of Directors and Human Resources Committee reserve the right, however, to grant stock options, RSUs, PSUs or other equity awards at other times during the year. With respect to newly hired employees, our practice is typically to grant equity awards at the first quarterly meeting of the Human Resources Committee following such employee’s hire date.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our Equity Award Grant Policy, equity awards are granted effective as of the date that is the tenth trading day on Nasdaq following the date of our next quarterly earnings announcement following the meetings of the Human Resources Committee or the Board of Directors when such equity awards were approved.</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Performance-Based Compensation Recovery Policy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has adopted a compensation recovery policy that allows us to recover or “clawback” performance-based cash compensation from certain employees who participate in the Bonus Program in the event of a material restatement of our financial results. Under the policy, if the material restatement would result in any performance-based cash compensation paid under the Bonus Program during the three years preceding the restatement to have been lower had it been calculated based on such restated results, we may recover the amounts in excess of what would have been paid under the restatement from any participant who received such performance-based cash compensation and who is determined to have engaged in intentional or unlawful misconduct that materially contributed to the need for such restatement. The Board of Directors (or a committee designated by the Board of Directors) has the sole authority to enforce this policy, and it is limited by applicable law.</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Effect of Accounting and Tax Treatment on Compensation Decisions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review and establishment of our compensation program, we consider the anticipated accounting and tax implications to us and our executives. In this regard, we have historically used stock options, RSUs and PSUs, and we reserve the right to use other forms of equity, as additional forms of equity incentives in response to changes in the accounting treatment of equity awards and taking into consideration potential impact on dilution and competitive practices. While the Human Resources Committee considers the applicable accounting and tax treatment, these factors alone are not determinative, and the Human Resources Committee also considers the cash and non-cash impact of the programs and whether a program is consistent with our overall compensation philosophy and objectives.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162(m) of the Internal Revenue Code of 1986, as amended (the “Code”), imposes limitations on the deductibility for corporate federal income tax purposes of compensation in excess of $1 million paid to any person who has served as chief executive officer, chief financial officer and each of the three next most highly compensated executive officers of a public company. As a result, we expect that compensation awarded to our named executive officers will not be deductible to the extent it is in excess of the $1 million threshold. We expect that the Human Resources Committee will continue to seek to balance the cost and benefit of tax deductibility with our executive compensation goals designed to promote stockholder interests, retaining discretion to approve compensation that is non-deductible when it believes that such payments are appropriate to attract and retain executive talent. As a result, we expect that a significant portion of future cash and equity payments to our executive officers will not be tax deductible under Section 162(m)</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71" w:name="T20"/>
      <w:bookmarkEnd w:id="71"/>
      <w:r>
        <w:rPr>
          <w:rFonts w:ascii="Times New Roman PS Std;serif" w:hAnsi="Times New Roman PS Std;serif"/>
          <w:b/>
          <w:i w:val="false"/>
          <w:caps w:val="false"/>
          <w:smallCaps w:val="false"/>
          <w:sz w:val="20"/>
        </w:rPr>
        <w:t>Human Resources Committee Report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oversees our compensation policies, plans and benefit programs. The Human Resources Committee has reviewed and discussed the Compensation Discussion and Analysis required by Item 402(b) of Regulation S-K with management. Based on such review and discussions, the Human Resources Committee has recommended to the Board of Directors that the Compensation Discussion and Analysis be included in this Proxy Statement.</w:t>
      </w:r>
    </w:p>
    <w:p>
      <w:pPr>
        <w:pStyle w:val="TextBody"/>
        <w:keepNext w:val="true"/>
        <w:pageBreakBefore w:val="false"/>
        <w:widowControl/>
        <w:pBdr/>
        <w:spacing w:before="20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Respectfully submitted by the members of the Human Resources Committee of the Board of Directors</w:t>
      </w:r>
    </w:p>
    <w:p>
      <w:pPr>
        <w:pStyle w:val="TextBody"/>
        <w:keepNext w:val="false"/>
        <w:pageBreakBefore w:val="false"/>
        <w:widowControl/>
        <w:pBdr/>
        <w:spacing w:before="160" w:after="283"/>
        <w:ind w:left="0" w:right="0" w:firstLine="33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Sim (Chairperson)</w:t>
      </w:r>
    </w:p>
    <w:p>
      <w:pPr>
        <w:pStyle w:val="TextBody"/>
        <w:keepNext w:val="false"/>
        <w:pageBreakBefore w:val="false"/>
        <w:widowControl/>
        <w:pBdr/>
        <w:spacing w:before="0" w:after="283"/>
        <w:ind w:left="0" w:right="0" w:firstLine="33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Admiral James Stavridis (Ret)</w:t>
      </w:r>
    </w:p>
    <w:p>
      <w:pPr>
        <w:pStyle w:val="TextBody"/>
        <w:keepNext w:val="false"/>
        <w:pageBreakBefore w:val="false"/>
        <w:widowControl/>
        <w:pBdr/>
        <w:spacing w:before="0" w:after="283"/>
        <w:ind w:left="0" w:right="0" w:firstLine="33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Kenneth A. Goldman</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72" w:name="T19"/>
      <w:bookmarkEnd w:id="72"/>
      <w:r>
        <w:rPr>
          <w:rFonts w:ascii="Times New Roman PS Std;serif" w:hAnsi="Times New Roman PS Std;serif"/>
          <w:b/>
          <w:i w:val="false"/>
          <w:caps w:val="false"/>
          <w:smallCaps w:val="false"/>
          <w:sz w:val="20"/>
        </w:rPr>
        <w:t>2022 Summary Compensation Table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concerning the compensation of the named executive officers for the years ended December 31, 2022, 2021 and 2020.</w:t>
      </w:r>
    </w:p>
    <w:tbl>
      <w:tblPr>
        <w:tblW w:w="10825" w:type="dxa"/>
        <w:jc w:val="left"/>
        <w:tblInd w:w="0" w:type="dxa"/>
        <w:tblCellMar>
          <w:top w:w="0" w:type="dxa"/>
          <w:left w:w="0" w:type="dxa"/>
          <w:bottom w:w="0" w:type="dxa"/>
          <w:right w:w="0" w:type="dxa"/>
        </w:tblCellMar>
      </w:tblPr>
      <w:tblGrid>
        <w:gridCol w:w="2671"/>
        <w:gridCol w:w="146"/>
        <w:gridCol w:w="526"/>
        <w:gridCol w:w="146"/>
        <w:gridCol w:w="781"/>
        <w:gridCol w:w="146"/>
        <w:gridCol w:w="931"/>
        <w:gridCol w:w="146"/>
        <w:gridCol w:w="931"/>
        <w:gridCol w:w="146"/>
        <w:gridCol w:w="1441"/>
        <w:gridCol w:w="146"/>
        <w:gridCol w:w="1441"/>
        <w:gridCol w:w="146"/>
        <w:gridCol w:w="1081"/>
      </w:tblGrid>
      <w:tr>
        <w:trPr/>
        <w:tc>
          <w:tcPr>
            <w:tcW w:w="2671"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 and Principal Positions</w:t>
            </w:r>
          </w:p>
        </w:tc>
        <w:tc>
          <w:tcPr>
            <w:tcW w:w="146"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Salary ($)</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Option Awards</w:t>
              <w:br/>
              <w:t>($)</w:t>
            </w:r>
            <w:r>
              <w:rPr>
                <w:rFonts w:ascii="Times New Roman PS Std;serif" w:hAnsi="Times New Roman PS Std;serif"/>
                <w:b/>
                <w:i w:val="false"/>
                <w:caps w:val="false"/>
                <w:smallCaps w:val="false"/>
                <w:sz w:val="8"/>
              </w:rPr>
              <w:t>(1)</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Stock Awards</w:t>
              <w:br/>
              <w:t>($)</w:t>
            </w:r>
            <w:r>
              <w:rPr>
                <w:rFonts w:ascii="Times New Roman PS Std;serif" w:hAnsi="Times New Roman PS Std;serif"/>
                <w:b/>
                <w:i w:val="false"/>
                <w:caps w:val="false"/>
                <w:smallCaps w:val="false"/>
                <w:sz w:val="8"/>
              </w:rPr>
              <w:t>(1)</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Non-Equity Incentive Plan Compensation ($)</w:t>
            </w:r>
            <w:r>
              <w:rPr>
                <w:rFonts w:ascii="Times New Roman PS Std;serif" w:hAnsi="Times New Roman PS Std;serif"/>
                <w:b/>
                <w:i w:val="false"/>
                <w:caps w:val="false"/>
                <w:smallCaps w:val="false"/>
                <w:sz w:val="8"/>
              </w:rPr>
              <w:t>(2)</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All Other Compensation ($)</w:t>
            </w:r>
            <w:r>
              <w:rPr>
                <w:rFonts w:ascii="Times New Roman PS Std;serif" w:hAnsi="Times New Roman PS Std;serif"/>
                <w:b/>
                <w:i w:val="false"/>
                <w:caps w:val="false"/>
                <w:smallCaps w:val="false"/>
                <w:sz w:val="8"/>
              </w:rPr>
              <w:t>(3)</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w:t>
            </w:r>
          </w:p>
        </w:tc>
      </w:tr>
      <w:tr>
        <w:trPr/>
        <w:tc>
          <w:tcPr>
            <w:tcW w:w="2671"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Ken Xie</w:t>
            </w:r>
          </w:p>
        </w:tc>
        <w:tc>
          <w:tcPr>
            <w:tcW w:w="146"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797,000</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6,447,285</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5,978,827</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977,341</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14,200,453</w:t>
            </w:r>
          </w:p>
        </w:tc>
      </w:tr>
      <w:tr>
        <w:trPr/>
        <w:tc>
          <w:tcPr>
            <w:tcW w:w="267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Chief Executive Officer</w:t>
            </w:r>
          </w:p>
        </w:tc>
        <w:tc>
          <w:tcPr>
            <w:tcW w:w="146"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2021</w:t>
            </w:r>
          </w:p>
        </w:tc>
        <w:tc>
          <w:tcPr>
            <w:tcW w:w="14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797,000</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6,145,875</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6,235,385</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1,024,951</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14,203,211</w:t>
            </w:r>
          </w:p>
        </w:tc>
      </w:tr>
      <w:tr>
        <w:trPr/>
        <w:tc>
          <w:tcPr>
            <w:tcW w:w="267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2020</w:t>
            </w:r>
          </w:p>
        </w:tc>
        <w:tc>
          <w:tcPr>
            <w:tcW w:w="14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793,083</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4,169,569</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4,704,899</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983,163</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10,650,714</w:t>
            </w:r>
          </w:p>
        </w:tc>
      </w:tr>
      <w:tr>
        <w:trPr/>
        <w:tc>
          <w:tcPr>
            <w:tcW w:w="267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rPr/>
            </w:pPr>
            <w:r>
              <w:rPr/>
              <w:t> </w:t>
            </w:r>
          </w:p>
        </w:tc>
      </w:tr>
      <w:tr>
        <w:trPr/>
        <w:tc>
          <w:tcPr>
            <w:tcW w:w="2671"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Michael Xie</w:t>
            </w:r>
          </w:p>
        </w:tc>
        <w:tc>
          <w:tcPr>
            <w:tcW w:w="146"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445,000</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2,175,327</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2,017,268</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341,058</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4,978,653</w:t>
            </w:r>
          </w:p>
        </w:tc>
      </w:tr>
      <w:tr>
        <w:trPr/>
        <w:tc>
          <w:tcPr>
            <w:tcW w:w="2671" w:type="dxa"/>
            <w:tcBorders/>
            <w:shd w:fill="auto" w:val="clear"/>
            <w:vAlign w:val="bottom"/>
          </w:tcPr>
          <w:p>
            <w:pPr>
              <w:pStyle w:val="TableContents"/>
              <w:keepNext w:val="false"/>
              <w:widowControl/>
              <w:pBdr/>
              <w:spacing w:before="0" w:after="283"/>
              <w:ind w:left="200" w:right="0" w:hanging="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 xml:space="preserve">President and Chief </w:t>
              <w:br/>
              <w:t>Technology Officer</w:t>
            </w:r>
          </w:p>
        </w:tc>
        <w:tc>
          <w:tcPr>
            <w:tcW w:w="146"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2021</w:t>
            </w:r>
          </w:p>
        </w:tc>
        <w:tc>
          <w:tcPr>
            <w:tcW w:w="14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445,000</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2,469,229</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2,505,192</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357,673</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5,777,094</w:t>
            </w:r>
          </w:p>
        </w:tc>
      </w:tr>
      <w:tr>
        <w:trPr/>
        <w:tc>
          <w:tcPr>
            <w:tcW w:w="26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2020</w:t>
            </w:r>
          </w:p>
        </w:tc>
        <w:tc>
          <w:tcPr>
            <w:tcW w:w="14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443,500</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1,653,096</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1,865,337</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343,090</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4,305,023</w:t>
            </w:r>
          </w:p>
        </w:tc>
      </w:tr>
      <w:tr>
        <w:trPr/>
        <w:tc>
          <w:tcPr>
            <w:tcW w:w="26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r>
      <w:tr>
        <w:trPr/>
        <w:tc>
          <w:tcPr>
            <w:tcW w:w="2671"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Keith Jensen</w:t>
            </w:r>
          </w:p>
        </w:tc>
        <w:tc>
          <w:tcPr>
            <w:tcW w:w="146"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504,000</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2,025,639</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1,878,456</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418,543</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5,440</w:t>
            </w:r>
          </w:p>
        </w:tc>
        <w:tc>
          <w:tcPr>
            <w:tcW w:w="146"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4,832,078</w:t>
            </w:r>
          </w:p>
        </w:tc>
      </w:tr>
      <w:tr>
        <w:trPr/>
        <w:tc>
          <w:tcPr>
            <w:tcW w:w="267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Chief Financial Officer</w:t>
            </w:r>
          </w:p>
        </w:tc>
        <w:tc>
          <w:tcPr>
            <w:tcW w:w="146"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2021</w:t>
            </w:r>
          </w:p>
        </w:tc>
        <w:tc>
          <w:tcPr>
            <w:tcW w:w="14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490,000</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2,165,893</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2,197,437</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431,000</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5,343</w:t>
            </w:r>
          </w:p>
        </w:tc>
        <w:tc>
          <w:tcPr>
            <w:tcW w:w="146"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5,289,673</w:t>
            </w:r>
          </w:p>
        </w:tc>
      </w:tr>
      <w:tr>
        <w:trPr/>
        <w:tc>
          <w:tcPr>
            <w:tcW w:w="267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2020</w:t>
            </w:r>
          </w:p>
        </w:tc>
        <w:tc>
          <w:tcPr>
            <w:tcW w:w="14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486,000</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1,377,749</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1,554,638</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401,000</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5,334</w:t>
            </w:r>
          </w:p>
        </w:tc>
        <w:tc>
          <w:tcPr>
            <w:tcW w:w="146"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3,824,721</w:t>
            </w:r>
          </w:p>
        </w:tc>
      </w:tr>
      <w:tr>
        <w:trPr/>
        <w:tc>
          <w:tcPr>
            <w:tcW w:w="267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rPr/>
            </w:pPr>
            <w:r>
              <w:rPr/>
              <w:t> </w:t>
            </w:r>
          </w:p>
        </w:tc>
      </w:tr>
      <w:tr>
        <w:trPr/>
        <w:tc>
          <w:tcPr>
            <w:tcW w:w="2671"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Patrice Perche</w:t>
            </w:r>
          </w:p>
        </w:tc>
        <w:tc>
          <w:tcPr>
            <w:tcW w:w="146" w:type="dxa"/>
            <w:tcBorders/>
            <w:shd w:fill="auto" w:val="clear"/>
            <w:vAlign w:val="bottom"/>
          </w:tcPr>
          <w:p>
            <w:pPr>
              <w:pStyle w:val="TableContents"/>
              <w:spacing w:before="0" w:after="283"/>
              <w:rPr/>
            </w:pPr>
            <w:r>
              <w:rPr/>
              <w:t> </w:t>
            </w:r>
          </w:p>
        </w:tc>
        <w:tc>
          <w:tcPr>
            <w:tcW w:w="526" w:type="dxa"/>
            <w:tcBorders/>
            <w:shd w:fill="auto" w:val="clear"/>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shd w:fill="auto" w:val="clear"/>
          </w:tcPr>
          <w:p>
            <w:pPr>
              <w:pStyle w:val="TableContents"/>
              <w:spacing w:before="0" w:after="283"/>
              <w:rPr/>
            </w:pPr>
            <w:r>
              <w:rPr/>
              <w:t> </w:t>
            </w:r>
          </w:p>
        </w:tc>
        <w:tc>
          <w:tcPr>
            <w:tcW w:w="781" w:type="dxa"/>
            <w:tcBorders/>
            <w:shd w:fill="auto"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495,268</w:t>
            </w:r>
          </w:p>
        </w:tc>
        <w:tc>
          <w:tcPr>
            <w:tcW w:w="146" w:type="dxa"/>
            <w:tcBorders/>
            <w:shd w:fill="auto" w:val="clear"/>
          </w:tcPr>
          <w:p>
            <w:pPr>
              <w:pStyle w:val="TableContents"/>
              <w:spacing w:before="0" w:after="283"/>
              <w:rPr/>
            </w:pPr>
            <w:r>
              <w:rPr/>
              <w:t> </w:t>
            </w:r>
          </w:p>
        </w:tc>
        <w:tc>
          <w:tcPr>
            <w:tcW w:w="931" w:type="dxa"/>
            <w:tcBorders/>
            <w:shd w:fill="auto"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2,025,639</w:t>
            </w:r>
          </w:p>
        </w:tc>
        <w:tc>
          <w:tcPr>
            <w:tcW w:w="146" w:type="dxa"/>
            <w:tcBorders/>
            <w:shd w:fill="auto" w:val="clear"/>
          </w:tcPr>
          <w:p>
            <w:pPr>
              <w:pStyle w:val="TableContents"/>
              <w:spacing w:before="0" w:after="283"/>
              <w:rPr/>
            </w:pPr>
            <w:r>
              <w:rPr/>
              <w:t> </w:t>
            </w:r>
          </w:p>
        </w:tc>
        <w:tc>
          <w:tcPr>
            <w:tcW w:w="931" w:type="dxa"/>
            <w:tcBorders/>
            <w:shd w:fill="auto"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1,878,456</w:t>
            </w:r>
          </w:p>
        </w:tc>
        <w:tc>
          <w:tcPr>
            <w:tcW w:w="146" w:type="dxa"/>
            <w:tcBorders/>
            <w:shd w:fill="auto" w:val="clear"/>
          </w:tcPr>
          <w:p>
            <w:pPr>
              <w:pStyle w:val="TableContents"/>
              <w:spacing w:before="0" w:after="283"/>
              <w:rPr/>
            </w:pPr>
            <w:r>
              <w:rPr/>
              <w:t> </w:t>
            </w:r>
          </w:p>
        </w:tc>
        <w:tc>
          <w:tcPr>
            <w:tcW w:w="1441" w:type="dxa"/>
            <w:tcBorders/>
            <w:shd w:fill="auto"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522,806</w:t>
            </w:r>
          </w:p>
        </w:tc>
        <w:tc>
          <w:tcPr>
            <w:tcW w:w="146" w:type="dxa"/>
            <w:tcBorders/>
            <w:shd w:fill="auto" w:val="clear"/>
          </w:tcPr>
          <w:p>
            <w:pPr>
              <w:pStyle w:val="TableContents"/>
              <w:spacing w:before="0" w:after="283"/>
              <w:rPr/>
            </w:pPr>
            <w:r>
              <w:rPr/>
              <w:t> </w:t>
            </w:r>
          </w:p>
        </w:tc>
        <w:tc>
          <w:tcPr>
            <w:tcW w:w="1441" w:type="dxa"/>
            <w:tcBorders/>
            <w:shd w:fill="auto" w:val="clear"/>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1081" w:type="dxa"/>
            <w:tcBorders/>
            <w:shd w:fill="auto"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4,922,169</w:t>
            </w:r>
          </w:p>
        </w:tc>
      </w:tr>
      <w:tr>
        <w:trPr/>
        <w:tc>
          <w:tcPr>
            <w:tcW w:w="2671" w:type="dxa"/>
            <w:tcBorders/>
            <w:shd w:fill="auto" w:val="clear"/>
            <w:vAlign w:val="bottom"/>
          </w:tcPr>
          <w:p>
            <w:pPr>
              <w:pStyle w:val="TableContents"/>
              <w:keepNext w:val="false"/>
              <w:widowControl/>
              <w:pBdr/>
              <w:spacing w:before="0" w:after="283"/>
              <w:ind w:left="200" w:right="0" w:hanging="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Chief Revenue Officer and</w:t>
              <w:br/>
              <w:t>Executive Vice President of</w:t>
              <w:br/>
              <w:t>Support</w:t>
            </w:r>
          </w:p>
        </w:tc>
        <w:tc>
          <w:tcPr>
            <w:tcW w:w="146"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r>
      <w:tr>
        <w:trPr/>
        <w:tc>
          <w:tcPr>
            <w:tcW w:w="26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r>
      <w:tr>
        <w:trPr/>
        <w:tc>
          <w:tcPr>
            <w:tcW w:w="2671"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John Whittle</w:t>
            </w:r>
          </w:p>
        </w:tc>
        <w:tc>
          <w:tcPr>
            <w:tcW w:w="146"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477,000</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1,265,815</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1,173,841</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343,029</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6,100</w:t>
            </w:r>
          </w:p>
        </w:tc>
        <w:tc>
          <w:tcPr>
            <w:tcW w:w="146"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3,265,785</w:t>
            </w:r>
          </w:p>
        </w:tc>
      </w:tr>
      <w:tr>
        <w:trPr/>
        <w:tc>
          <w:tcPr>
            <w:tcW w:w="2671" w:type="dxa"/>
            <w:tcBorders/>
            <w:shd w:fill="CCEEFF" w:val="clear"/>
            <w:vAlign w:val="bottom"/>
          </w:tcPr>
          <w:p>
            <w:pPr>
              <w:pStyle w:val="TableContents"/>
              <w:keepNext w:val="false"/>
              <w:widowControl/>
              <w:pBdr/>
              <w:spacing w:before="0" w:after="283"/>
              <w:ind w:left="200" w:right="0" w:hanging="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Executive Vice President of</w:t>
              <w:br/>
              <w:t>Corporate Development, Chief</w:t>
              <w:br/>
              <w:t>Legal Officer and Corporate</w:t>
              <w:br/>
              <w:t>Secretary</w:t>
            </w:r>
          </w:p>
        </w:tc>
        <w:tc>
          <w:tcPr>
            <w:tcW w:w="146"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2021</w:t>
            </w:r>
          </w:p>
        </w:tc>
        <w:tc>
          <w:tcPr>
            <w:tcW w:w="14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440,375</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1,378,911</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1,398,994</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312,000</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5,800</w:t>
            </w:r>
          </w:p>
        </w:tc>
        <w:tc>
          <w:tcPr>
            <w:tcW w:w="146"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3,536,080</w:t>
            </w:r>
          </w:p>
        </w:tc>
      </w:tr>
      <w:tr>
        <w:trPr/>
        <w:tc>
          <w:tcPr>
            <w:tcW w:w="267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26" w:type="dxa"/>
            <w:tcBorders/>
            <w:shd w:fill="CCEEFF" w:val="clear"/>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2020</w:t>
            </w:r>
          </w:p>
        </w:tc>
        <w:tc>
          <w:tcPr>
            <w:tcW w:w="146" w:type="dxa"/>
            <w:tcBorders/>
            <w:shd w:fill="CCEEFF" w:val="clear"/>
          </w:tcPr>
          <w:p>
            <w:pPr>
              <w:pStyle w:val="TableContents"/>
              <w:spacing w:before="0" w:after="283"/>
              <w:rPr/>
            </w:pPr>
            <w:r>
              <w:rPr/>
              <w:t> </w:t>
            </w:r>
          </w:p>
        </w:tc>
        <w:tc>
          <w:tcPr>
            <w:tcW w:w="781" w:type="dxa"/>
            <w:tcBorders/>
            <w:shd w:fill="CCEEFF"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426,833</w:t>
            </w:r>
          </w:p>
        </w:tc>
        <w:tc>
          <w:tcPr>
            <w:tcW w:w="146" w:type="dxa"/>
            <w:tcBorders/>
            <w:shd w:fill="CCEEFF" w:val="clear"/>
          </w:tcPr>
          <w:p>
            <w:pPr>
              <w:pStyle w:val="TableContents"/>
              <w:spacing w:before="0" w:after="283"/>
              <w:rPr/>
            </w:pPr>
            <w:r>
              <w:rPr/>
              <w:t> </w:t>
            </w:r>
          </w:p>
        </w:tc>
        <w:tc>
          <w:tcPr>
            <w:tcW w:w="931" w:type="dxa"/>
            <w:tcBorders/>
            <w:shd w:fill="CCEEFF"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804,736</w:t>
            </w:r>
          </w:p>
        </w:tc>
        <w:tc>
          <w:tcPr>
            <w:tcW w:w="146" w:type="dxa"/>
            <w:tcBorders/>
            <w:shd w:fill="CCEEFF" w:val="clear"/>
          </w:tcPr>
          <w:p>
            <w:pPr>
              <w:pStyle w:val="TableContents"/>
              <w:spacing w:before="0" w:after="283"/>
              <w:rPr/>
            </w:pPr>
            <w:r>
              <w:rPr/>
              <w:t> </w:t>
            </w:r>
          </w:p>
        </w:tc>
        <w:tc>
          <w:tcPr>
            <w:tcW w:w="931" w:type="dxa"/>
            <w:tcBorders/>
            <w:shd w:fill="CCEEFF"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908,055</w:t>
            </w:r>
          </w:p>
        </w:tc>
        <w:tc>
          <w:tcPr>
            <w:tcW w:w="146" w:type="dxa"/>
            <w:tcBorders/>
            <w:shd w:fill="CCEEFF" w:val="clear"/>
          </w:tcPr>
          <w:p>
            <w:pPr>
              <w:pStyle w:val="TableContents"/>
              <w:spacing w:before="0" w:after="283"/>
              <w:rPr/>
            </w:pPr>
            <w:r>
              <w:rPr/>
              <w:t> </w:t>
            </w:r>
          </w:p>
        </w:tc>
        <w:tc>
          <w:tcPr>
            <w:tcW w:w="1441" w:type="dxa"/>
            <w:tcBorders/>
            <w:shd w:fill="CCEEFF"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230,242</w:t>
            </w:r>
          </w:p>
        </w:tc>
        <w:tc>
          <w:tcPr>
            <w:tcW w:w="146" w:type="dxa"/>
            <w:tcBorders/>
            <w:shd w:fill="CCEEFF" w:val="clear"/>
          </w:tcPr>
          <w:p>
            <w:pPr>
              <w:pStyle w:val="TableContents"/>
              <w:spacing w:before="0" w:after="283"/>
              <w:rPr/>
            </w:pPr>
            <w:r>
              <w:rPr/>
              <w:t> </w:t>
            </w:r>
          </w:p>
        </w:tc>
        <w:tc>
          <w:tcPr>
            <w:tcW w:w="1441" w:type="dxa"/>
            <w:tcBorders/>
            <w:shd w:fill="CCEEFF"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5,700</w:t>
            </w:r>
          </w:p>
        </w:tc>
        <w:tc>
          <w:tcPr>
            <w:tcW w:w="146" w:type="dxa"/>
            <w:tcBorders/>
            <w:shd w:fill="CCEEFF" w:val="clear"/>
          </w:tcPr>
          <w:p>
            <w:pPr>
              <w:pStyle w:val="TableContents"/>
              <w:spacing w:before="0" w:after="283"/>
              <w:rPr/>
            </w:pPr>
            <w:r>
              <w:rPr/>
              <w:t> </w:t>
            </w:r>
          </w:p>
        </w:tc>
        <w:tc>
          <w:tcPr>
            <w:tcW w:w="1081" w:type="dxa"/>
            <w:tcBorders/>
            <w:shd w:fill="CCEEFF"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2,375,566</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amounts shown represent the aggregate grant date fair value of equity awards granted in the years shown, computed in accordance with Financial Accounting Standards Board Accounting Standards Codification Topic 718 (“FASB ASC Topic 718”). The assumptions used in the valuation of these awards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80" w:after="283"/>
        <w:ind w:left="400" w:right="0" w:hanging="4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are set forth in note 13 to our consolidated financial statements, which are included in our Annual Report on Form 10-K for the year ended December 31, 2022, filed with the SEC on February 24, 2023. The grant date fair value of these awards is determined for financial statement reporting purposes and does not correspond to the actual value that the named executive officers will receive from the awards.</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See “— </w:t>
      </w:r>
      <w:r>
        <w:rPr>
          <w:rFonts w:ascii="Times New Roman PS Std;serif" w:hAnsi="Times New Roman PS Std;serif"/>
          <w:b w:val="false"/>
          <w:i/>
          <w:caps w:val="false"/>
          <w:smallCaps w:val="false"/>
          <w:sz w:val="20"/>
        </w:rPr>
        <w:t>Grants of Plan-Based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Awards in 2022 Table</w:t>
      </w:r>
      <w:r>
        <w:rPr>
          <w:rFonts w:ascii="Times New Roman PS Std;serif" w:hAnsi="Times New Roman PS Std;serif"/>
          <w:b w:val="false"/>
          <w:i w:val="false"/>
          <w:caps w:val="false"/>
          <w:smallCaps w:val="false"/>
          <w:sz w:val="20"/>
        </w:rPr>
        <w:t>” under the column “Estimated Future Payouts Under Non-Equity Incentive Plan Awards” for the amounts named executive officers were eligible to earn in fiscal 2022. See also “— </w:t>
      </w:r>
      <w:r>
        <w:rPr>
          <w:rFonts w:ascii="Times New Roman PS Std;serif" w:hAnsi="Times New Roman PS Std;serif"/>
          <w:b w:val="false"/>
          <w:i/>
          <w:caps w:val="false"/>
          <w:smallCaps w:val="false"/>
          <w:sz w:val="20"/>
        </w:rPr>
        <w:t>Determining the Amount of Elements of Executives’ Compensation in 2022 — Variable Pay</w:t>
      </w:r>
      <w:r>
        <w:rPr>
          <w:rFonts w:ascii="Times New Roman PS Std;serif" w:hAnsi="Times New Roman PS Std;serif"/>
          <w:b w:val="false"/>
          <w:i w:val="false"/>
          <w:caps w:val="false"/>
          <w:smallCaps w:val="false"/>
          <w:sz w:val="20"/>
        </w:rPr>
        <w:t>” above for a discussion regarding our Bonus Program.</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Represents company matching contributions to Fortinet’s 401(k) plan, a tax-qualified defined contribution plan.</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73" w:name="T18"/>
      <w:bookmarkEnd w:id="73"/>
      <w:r>
        <w:rPr>
          <w:rFonts w:ascii="Times New Roman PS Std;serif" w:hAnsi="Times New Roman PS Std;serif"/>
          <w:b/>
          <w:i w:val="false"/>
          <w:caps w:val="false"/>
          <w:smallCaps w:val="false"/>
          <w:sz w:val="20"/>
        </w:rPr>
        <w:t>Grants of Plan-Based Awards in 2022 Table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concerning each grant of an award made to the named executive officers in 2022 under any plan.</w:t>
      </w:r>
    </w:p>
    <w:tbl>
      <w:tblPr>
        <w:tblW w:w="14417" w:type="dxa"/>
        <w:jc w:val="left"/>
        <w:tblInd w:w="0" w:type="dxa"/>
        <w:tblCellMar>
          <w:top w:w="0" w:type="dxa"/>
          <w:left w:w="0" w:type="dxa"/>
          <w:bottom w:w="0" w:type="dxa"/>
          <w:right w:w="0" w:type="dxa"/>
        </w:tblCellMar>
      </w:tblPr>
      <w:tblGrid>
        <w:gridCol w:w="1196"/>
        <w:gridCol w:w="146"/>
        <w:gridCol w:w="1456"/>
        <w:gridCol w:w="146"/>
        <w:gridCol w:w="616"/>
        <w:gridCol w:w="146"/>
        <w:gridCol w:w="946"/>
        <w:gridCol w:w="146"/>
        <w:gridCol w:w="1058"/>
        <w:gridCol w:w="146"/>
        <w:gridCol w:w="786"/>
        <w:gridCol w:w="146"/>
        <w:gridCol w:w="1000"/>
        <w:gridCol w:w="146"/>
        <w:gridCol w:w="1576"/>
        <w:gridCol w:w="146"/>
        <w:gridCol w:w="1636"/>
        <w:gridCol w:w="146"/>
        <w:gridCol w:w="1321"/>
        <w:gridCol w:w="146"/>
        <w:gridCol w:w="1366"/>
      </w:tblGrid>
      <w:tr>
        <w:trPr/>
        <w:tc>
          <w:tcPr>
            <w:tcW w:w="119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136"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Estimated Future Payouts Under</w:t>
              <w:br/>
              <w:t>Non-Equity Incentive Plan</w:t>
              <w:br/>
              <w:t>Awards(1)</w:t>
            </w:r>
          </w:p>
        </w:tc>
        <w:tc>
          <w:tcPr>
            <w:tcW w:w="146" w:type="dxa"/>
            <w:tcBorders/>
            <w:shd w:fill="auto" w:val="clear"/>
            <w:vAlign w:val="bottom"/>
          </w:tcPr>
          <w:p>
            <w:pPr>
              <w:pStyle w:val="TableContents"/>
              <w:spacing w:before="0" w:after="283"/>
              <w:rPr/>
            </w:pPr>
            <w:r>
              <w:rPr/>
              <w:t> </w:t>
            </w:r>
          </w:p>
        </w:tc>
        <w:tc>
          <w:tcPr>
            <w:tcW w:w="1576"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All Other Stock</w:t>
              <w:br/>
              <w:t>Awards: </w:t>
              <w:br/>
              <w:t>Number of</w:t>
              <w:br/>
              <w:t>Shares of Stock</w:t>
              <w:br/>
              <w:t>or Units (#)</w:t>
            </w:r>
          </w:p>
        </w:tc>
        <w:tc>
          <w:tcPr>
            <w:tcW w:w="146" w:type="dxa"/>
            <w:vMerge w:val="restart"/>
            <w:tcBorders/>
            <w:shd w:fill="auto" w:val="clear"/>
            <w:vAlign w:val="bottom"/>
          </w:tcPr>
          <w:p>
            <w:pPr>
              <w:pStyle w:val="TableContents"/>
              <w:spacing w:before="0" w:after="283"/>
              <w:rPr/>
            </w:pPr>
            <w:r>
              <w:rPr/>
              <w:t> </w:t>
            </w:r>
          </w:p>
        </w:tc>
        <w:tc>
          <w:tcPr>
            <w:tcW w:w="1636"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All Other Option</w:t>
              <w:br/>
              <w:t>Awards: Number</w:t>
              <w:br/>
              <w:t>of Shares</w:t>
              <w:br/>
              <w:t>Underlying</w:t>
              <w:br/>
              <w:t>Options (#)</w:t>
            </w:r>
          </w:p>
        </w:tc>
        <w:tc>
          <w:tcPr>
            <w:tcW w:w="146" w:type="dxa"/>
            <w:vMerge w:val="restart"/>
            <w:tcBorders/>
            <w:shd w:fill="auto" w:val="clear"/>
            <w:vAlign w:val="bottom"/>
          </w:tcPr>
          <w:p>
            <w:pPr>
              <w:pStyle w:val="TableContents"/>
              <w:spacing w:before="0" w:after="283"/>
              <w:rPr/>
            </w:pPr>
            <w:r>
              <w:rPr/>
              <w:t> </w:t>
            </w:r>
          </w:p>
        </w:tc>
        <w:tc>
          <w:tcPr>
            <w:tcW w:w="1321"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Exercise or</w:t>
              <w:br/>
              <w:t>Base Price of</w:t>
              <w:br/>
              <w:t>Option</w:t>
              <w:br/>
              <w:t>Awards</w:t>
              <w:br/>
              <w:t>($/Share)</w:t>
            </w:r>
          </w:p>
        </w:tc>
        <w:tc>
          <w:tcPr>
            <w:tcW w:w="146" w:type="dxa"/>
            <w:vMerge w:val="restart"/>
            <w:tcBorders/>
            <w:shd w:fill="auto" w:val="clear"/>
            <w:vAlign w:val="bottom"/>
          </w:tcPr>
          <w:p>
            <w:pPr>
              <w:pStyle w:val="TableContents"/>
              <w:spacing w:before="0" w:after="283"/>
              <w:rPr/>
            </w:pPr>
            <w:r>
              <w:rPr/>
              <w:t> </w:t>
            </w:r>
          </w:p>
        </w:tc>
        <w:tc>
          <w:tcPr>
            <w:tcW w:w="1366"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Grant Date</w:t>
              <w:br/>
              <w:t>Fair Value of</w:t>
              <w:br/>
              <w:t>Stock and</w:t>
              <w:br/>
              <w:t>Option</w:t>
              <w:br/>
              <w:t>Awards ($)(2)</w:t>
            </w:r>
          </w:p>
        </w:tc>
      </w:tr>
      <w:tr>
        <w:trPr/>
        <w:tc>
          <w:tcPr>
            <w:tcW w:w="1196"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Type of Award</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Grant</w:t>
              <w:br/>
              <w:t>Date</w:t>
            </w:r>
          </w:p>
        </w:tc>
        <w:tc>
          <w:tcPr>
            <w:tcW w:w="14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Approval</w:t>
              <w:br/>
              <w:t>Date</w:t>
            </w:r>
          </w:p>
        </w:tc>
        <w:tc>
          <w:tcPr>
            <w:tcW w:w="146"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Threshold</w:t>
              <w:br/>
              <w:t>($)</w:t>
            </w:r>
          </w:p>
        </w:tc>
        <w:tc>
          <w:tcPr>
            <w:tcW w:w="14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Target</w:t>
              <w:br/>
              <w:t>($)</w:t>
            </w:r>
          </w:p>
        </w:tc>
        <w:tc>
          <w:tcPr>
            <w:tcW w:w="146"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Maximum</w:t>
              <w:br/>
              <w:t>($)</w:t>
            </w:r>
          </w:p>
        </w:tc>
        <w:tc>
          <w:tcPr>
            <w:tcW w:w="146" w:type="dxa"/>
            <w:tcBorders/>
            <w:shd w:fill="auto" w:val="clear"/>
            <w:vAlign w:val="bottom"/>
          </w:tcPr>
          <w:p>
            <w:pPr>
              <w:pStyle w:val="TableContents"/>
              <w:spacing w:before="0" w:after="283"/>
              <w:rPr/>
            </w:pPr>
            <w:r>
              <w:rPr/>
              <w:t> </w:t>
            </w:r>
          </w:p>
        </w:tc>
        <w:tc>
          <w:tcPr>
            <w:tcW w:w="1576"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636"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21"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66" w:type="dxa"/>
            <w:vMerge w:val="continue"/>
            <w:tcBorders/>
            <w:shd w:fill="auto" w:val="clear"/>
            <w:vAlign w:val="bottom"/>
          </w:tcPr>
          <w:p>
            <w:pPr>
              <w:pStyle w:val="Normal"/>
              <w:rPr/>
            </w:pPr>
            <w:r>
              <w:rPr/>
            </w:r>
          </w:p>
        </w:tc>
      </w:tr>
      <w:tr>
        <w:trPr/>
        <w:tc>
          <w:tcPr>
            <w:tcW w:w="119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Ken Xie</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22,954</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956,400</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1,338,960</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RSU</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1/21/2022</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96,265</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5,978,827</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 Option</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1/21/2022</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288,795</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6,447,285</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spacing w:before="0" w:after="283"/>
              <w:rPr/>
            </w:pPr>
            <w:r>
              <w:rPr/>
              <w:t> </w:t>
            </w:r>
          </w:p>
        </w:tc>
      </w:tr>
      <w:tr>
        <w:trPr/>
        <w:tc>
          <w:tcPr>
            <w:tcW w:w="119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Michael Xie</w:t>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8,010</w:t>
            </w:r>
          </w:p>
        </w:tc>
        <w:tc>
          <w:tcPr>
            <w:tcW w:w="14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333,750</w:t>
            </w:r>
          </w:p>
        </w:tc>
        <w:tc>
          <w:tcPr>
            <w:tcW w:w="146"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467,250</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6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RSU</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1/21/2022</w:t>
            </w:r>
          </w:p>
        </w:tc>
        <w:tc>
          <w:tcPr>
            <w:tcW w:w="146"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32,480</w:t>
            </w:r>
          </w:p>
        </w:tc>
        <w:tc>
          <w:tcPr>
            <w:tcW w:w="146" w:type="dxa"/>
            <w:tcBorders/>
            <w:shd w:fill="auto" w:val="clear"/>
            <w:vAlign w:val="bottom"/>
          </w:tcPr>
          <w:p>
            <w:pPr>
              <w:pStyle w:val="TableContents"/>
              <w:spacing w:before="0" w:after="283"/>
              <w:rPr/>
            </w:pPr>
            <w:r>
              <w:rPr/>
              <w:t> </w:t>
            </w:r>
          </w:p>
        </w:tc>
        <w:tc>
          <w:tcPr>
            <w:tcW w:w="16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2,017,268</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 Option</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1/21/2022</w:t>
            </w:r>
          </w:p>
        </w:tc>
        <w:tc>
          <w:tcPr>
            <w:tcW w:w="146"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6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97,440</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2,175,327</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spacing w:before="0" w:after="283"/>
              <w:rPr/>
            </w:pPr>
            <w:r>
              <w:rPr/>
              <w:t> </w:t>
            </w:r>
          </w:p>
        </w:tc>
      </w:tr>
      <w:tr>
        <w:trPr/>
        <w:tc>
          <w:tcPr>
            <w:tcW w:w="119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Keith Jensen</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9,715</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404,800</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566,720</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RSU</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1/21/2022</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30,245</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1,878,456</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 Option</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1/21/2022</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90,735</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2,025,639</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spacing w:before="0" w:after="283"/>
              <w:rPr/>
            </w:pPr>
            <w:r>
              <w:rPr/>
              <w:t> </w:t>
            </w:r>
          </w:p>
        </w:tc>
      </w:tr>
      <w:tr>
        <w:trPr/>
        <w:tc>
          <w:tcPr>
            <w:tcW w:w="119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Patrice Perche</w:t>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11,886</w:t>
            </w:r>
          </w:p>
        </w:tc>
        <w:tc>
          <w:tcPr>
            <w:tcW w:w="14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495,268</w:t>
            </w:r>
          </w:p>
        </w:tc>
        <w:tc>
          <w:tcPr>
            <w:tcW w:w="146"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693,375</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6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RSU</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1/21/2022</w:t>
            </w:r>
          </w:p>
        </w:tc>
        <w:tc>
          <w:tcPr>
            <w:tcW w:w="146"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30,245</w:t>
            </w:r>
          </w:p>
        </w:tc>
        <w:tc>
          <w:tcPr>
            <w:tcW w:w="146" w:type="dxa"/>
            <w:tcBorders/>
            <w:shd w:fill="auto" w:val="clear"/>
            <w:vAlign w:val="bottom"/>
          </w:tcPr>
          <w:p>
            <w:pPr>
              <w:pStyle w:val="TableContents"/>
              <w:spacing w:before="0" w:after="283"/>
              <w:rPr/>
            </w:pPr>
            <w:r>
              <w:rPr/>
              <w:t> </w:t>
            </w:r>
          </w:p>
        </w:tc>
        <w:tc>
          <w:tcPr>
            <w:tcW w:w="16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1,878,456</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 Option</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1/21/2022</w:t>
            </w:r>
          </w:p>
        </w:tc>
        <w:tc>
          <w:tcPr>
            <w:tcW w:w="146"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6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90,735</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2,025,639</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spacing w:before="0" w:after="283"/>
              <w:rPr/>
            </w:pPr>
            <w:r>
              <w:rPr/>
              <w:t> </w:t>
            </w:r>
          </w:p>
        </w:tc>
      </w:tr>
      <w:tr>
        <w:trPr/>
        <w:tc>
          <w:tcPr>
            <w:tcW w:w="119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John Whittle</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8,586</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357,750</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500,850</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RSU</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1/21/2022</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18,900</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1,173,841</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 Option</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1/21/2022</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56,700</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1,265,815</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Reflects threshold, target and maximum target bonus amounts for fiscal 2022 performance under the Bonus Program, as described in “</w:t>
      </w:r>
      <w:r>
        <w:rPr>
          <w:rFonts w:ascii="Times New Roman PS Std;serif" w:hAnsi="Times New Roman PS Std;serif"/>
          <w:b w:val="false"/>
          <w:i/>
          <w:caps w:val="false"/>
          <w:smallCaps w:val="false"/>
          <w:sz w:val="20"/>
        </w:rPr>
        <w:t>Executive Compensation — Determining the Amount of Elements of Executives’ Compensation in 2022 — Variable Pay.</w:t>
      </w:r>
      <w:r>
        <w:rPr>
          <w:rFonts w:ascii="Times New Roman PS Std;serif" w:hAnsi="Times New Roman PS Std;serif"/>
          <w:b w:val="false"/>
          <w:i w:val="false"/>
          <w:caps w:val="false"/>
          <w:smallCaps w:val="false"/>
          <w:sz w:val="20"/>
        </w:rPr>
        <w:t>” These amounts do not necessarily correspond to the actual value that may be received by the named executive officer.</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amounts shown represent the grant date fair value of RSUs and stock options granted during fiscal 2022, computed in accordance with FASB ASC Topic 718. The assumptions used in the valuation of these awards are set forth in note 13 to our consolidated financial statements, which are included in our Annual Report on Form 10-K for the year ended December 31, 2022, filed with the SEC on February 24, 2023. Grant date fair value is determined for financial statement reporting purposes and does not correspond to the actual value that the named executive officers will realize from the award.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74" w:name="T17"/>
      <w:bookmarkEnd w:id="74"/>
      <w:r>
        <w:rPr>
          <w:rFonts w:ascii="Times New Roman PS Std;serif" w:hAnsi="Times New Roman PS Std;serif"/>
          <w:b/>
          <w:i w:val="false"/>
          <w:caps w:val="false"/>
          <w:smallCaps w:val="false"/>
          <w:sz w:val="20"/>
        </w:rPr>
        <w:t>Outstanding Equity Awards at 2022 Fiscal Year-End Table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concerning unexercised options and unvested RSUs for each named executive officer outstanding as of December 31, 2022.</w:t>
      </w:r>
    </w:p>
    <w:tbl>
      <w:tblPr>
        <w:tblW w:w="13343" w:type="dxa"/>
        <w:jc w:val="left"/>
        <w:tblInd w:w="0" w:type="dxa"/>
        <w:tblCellMar>
          <w:top w:w="0" w:type="dxa"/>
          <w:left w:w="0" w:type="dxa"/>
          <w:bottom w:w="0" w:type="dxa"/>
          <w:right w:w="0" w:type="dxa"/>
        </w:tblCellMar>
      </w:tblPr>
      <w:tblGrid>
        <w:gridCol w:w="1196"/>
        <w:gridCol w:w="146"/>
        <w:gridCol w:w="1171"/>
        <w:gridCol w:w="146"/>
        <w:gridCol w:w="1352"/>
        <w:gridCol w:w="168"/>
        <w:gridCol w:w="1631"/>
        <w:gridCol w:w="146"/>
        <w:gridCol w:w="1576"/>
        <w:gridCol w:w="146"/>
        <w:gridCol w:w="1546"/>
        <w:gridCol w:w="146"/>
        <w:gridCol w:w="1771"/>
        <w:gridCol w:w="146"/>
        <w:gridCol w:w="2056"/>
      </w:tblGrid>
      <w:tr>
        <w:trPr/>
        <w:tc>
          <w:tcPr>
            <w:tcW w:w="119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565"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Option Awards</w:t>
            </w:r>
          </w:p>
        </w:tc>
        <w:tc>
          <w:tcPr>
            <w:tcW w:w="146" w:type="dxa"/>
            <w:tcBorders/>
            <w:shd w:fill="auto" w:val="clear"/>
            <w:vAlign w:val="bottom"/>
          </w:tcPr>
          <w:p>
            <w:pPr>
              <w:pStyle w:val="TableContents"/>
              <w:spacing w:before="0" w:after="283"/>
              <w:rPr/>
            </w:pPr>
            <w:r>
              <w:rPr/>
              <w:t> </w:t>
            </w:r>
          </w:p>
        </w:tc>
        <w:tc>
          <w:tcPr>
            <w:tcW w:w="397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Stock Awards</w:t>
            </w:r>
          </w:p>
        </w:tc>
      </w:tr>
      <w:tr>
        <w:trPr/>
        <w:tc>
          <w:tcPr>
            <w:tcW w:w="1196" w:type="dxa"/>
            <w:vMerge w:val="restart"/>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vMerge w:val="restart"/>
            <w:tcBorders/>
            <w:shd w:fill="auto" w:val="clear"/>
            <w:vAlign w:val="bottom"/>
          </w:tcPr>
          <w:p>
            <w:pPr>
              <w:pStyle w:val="TableContents"/>
              <w:spacing w:before="0" w:after="283"/>
              <w:rPr/>
            </w:pPr>
            <w:r>
              <w:rPr/>
              <w:t> </w:t>
            </w:r>
          </w:p>
        </w:tc>
        <w:tc>
          <w:tcPr>
            <w:tcW w:w="1171"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Grant Date(1)</w:t>
            </w:r>
          </w:p>
        </w:tc>
        <w:tc>
          <w:tcPr>
            <w:tcW w:w="146" w:type="dxa"/>
            <w:vMerge w:val="restart"/>
            <w:tcBorders/>
            <w:shd w:fill="auto" w:val="clear"/>
            <w:vAlign w:val="bottom"/>
          </w:tcPr>
          <w:p>
            <w:pPr>
              <w:pStyle w:val="TableContents"/>
              <w:spacing w:before="0" w:after="283"/>
              <w:rPr/>
            </w:pPr>
            <w:r>
              <w:rPr/>
              <w:t> </w:t>
            </w:r>
          </w:p>
        </w:tc>
        <w:tc>
          <w:tcPr>
            <w:tcW w:w="315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Number of Securities Underlying</w:t>
              <w:br/>
              <w:t>Unexercised Options (#)</w:t>
            </w:r>
          </w:p>
        </w:tc>
        <w:tc>
          <w:tcPr>
            <w:tcW w:w="146" w:type="dxa"/>
            <w:tcBorders/>
            <w:shd w:fill="auto" w:val="clear"/>
            <w:vAlign w:val="bottom"/>
          </w:tcPr>
          <w:p>
            <w:pPr>
              <w:pStyle w:val="TableContents"/>
              <w:spacing w:before="0" w:after="283"/>
              <w:rPr/>
            </w:pPr>
            <w:r>
              <w:rPr/>
              <w:t> </w:t>
            </w:r>
          </w:p>
        </w:tc>
        <w:tc>
          <w:tcPr>
            <w:tcW w:w="1576"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Option Exercise</w:t>
              <w:br/>
              <w:t>Price ($)</w:t>
            </w:r>
          </w:p>
        </w:tc>
        <w:tc>
          <w:tcPr>
            <w:tcW w:w="146" w:type="dxa"/>
            <w:vMerge w:val="restart"/>
            <w:tcBorders/>
            <w:shd w:fill="auto" w:val="clear"/>
            <w:vAlign w:val="bottom"/>
          </w:tcPr>
          <w:p>
            <w:pPr>
              <w:pStyle w:val="TableContents"/>
              <w:spacing w:before="0" w:after="283"/>
              <w:rPr/>
            </w:pPr>
            <w:r>
              <w:rPr/>
              <w:t> </w:t>
            </w:r>
          </w:p>
        </w:tc>
        <w:tc>
          <w:tcPr>
            <w:tcW w:w="1546"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Option</w:t>
              <w:br/>
              <w:t>Expiration Date</w:t>
            </w:r>
          </w:p>
        </w:tc>
        <w:tc>
          <w:tcPr>
            <w:tcW w:w="146" w:type="dxa"/>
            <w:vMerge w:val="restart"/>
            <w:tcBorders/>
            <w:shd w:fill="auto" w:val="clear"/>
            <w:vAlign w:val="bottom"/>
          </w:tcPr>
          <w:p>
            <w:pPr>
              <w:pStyle w:val="TableContents"/>
              <w:spacing w:before="0" w:after="283"/>
              <w:rPr/>
            </w:pPr>
            <w:r>
              <w:rPr/>
              <w:t> </w:t>
            </w:r>
          </w:p>
        </w:tc>
        <w:tc>
          <w:tcPr>
            <w:tcW w:w="1771"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Shares</w:t>
              <w:br/>
              <w:t>or Units of Stock</w:t>
              <w:br/>
              <w:t>That Have Not</w:t>
              <w:br/>
              <w:t>Vested (#)</w:t>
            </w:r>
          </w:p>
        </w:tc>
        <w:tc>
          <w:tcPr>
            <w:tcW w:w="146" w:type="dxa"/>
            <w:vMerge w:val="restart"/>
            <w:tcBorders/>
            <w:shd w:fill="auto" w:val="clear"/>
            <w:vAlign w:val="bottom"/>
          </w:tcPr>
          <w:p>
            <w:pPr>
              <w:pStyle w:val="TableContents"/>
              <w:spacing w:before="0" w:after="283"/>
              <w:rPr/>
            </w:pPr>
            <w:r>
              <w:rPr/>
              <w:t> </w:t>
            </w:r>
          </w:p>
        </w:tc>
        <w:tc>
          <w:tcPr>
            <w:tcW w:w="2056"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Market Value of</w:t>
              <w:br/>
              <w:t>Shares or Units of</w:t>
              <w:br/>
              <w:t>Stock That Have Not</w:t>
              <w:br/>
              <w:t>Vested ($)(2)</w:t>
            </w:r>
          </w:p>
        </w:tc>
      </w:tr>
      <w:tr>
        <w:trPr/>
        <w:tc>
          <w:tcPr>
            <w:tcW w:w="1196"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171"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52"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Exercisable</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Unexercisable</w:t>
            </w:r>
          </w:p>
        </w:tc>
        <w:tc>
          <w:tcPr>
            <w:tcW w:w="146" w:type="dxa"/>
            <w:tcBorders/>
            <w:shd w:fill="auto" w:val="clear"/>
            <w:vAlign w:val="bottom"/>
          </w:tcPr>
          <w:p>
            <w:pPr>
              <w:pStyle w:val="TableContents"/>
              <w:spacing w:before="0" w:after="283"/>
              <w:rPr/>
            </w:pPr>
            <w:r>
              <w:rPr/>
              <w:t> </w:t>
            </w:r>
          </w:p>
        </w:tc>
        <w:tc>
          <w:tcPr>
            <w:tcW w:w="1576"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546"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771"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056" w:type="dxa"/>
            <w:vMerge w:val="continue"/>
            <w:tcBorders/>
            <w:shd w:fill="auto" w:val="clear"/>
            <w:vAlign w:val="bottom"/>
          </w:tcPr>
          <w:p>
            <w:pPr>
              <w:pStyle w:val="Normal"/>
              <w:rPr/>
            </w:pPr>
            <w:r>
              <w:rPr/>
            </w:r>
          </w:p>
        </w:tc>
      </w:tr>
      <w:tr>
        <w:trPr/>
        <w:tc>
          <w:tcPr>
            <w:tcW w:w="119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Ken Xie</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2/16/2017</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500,000</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7.45</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2/16/2024</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2/20/2018</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1,000,000</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2/20/2025</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704,255</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30,625</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16.90</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2/21/2026</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15,310</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748,506</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436,660</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179,810</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22.90</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2/21/2027</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64,220</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3,139,716</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249,330</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294,675</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34.39</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2/19/2028</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102,005</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4,987,024</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2/17/2022</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288,795</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2/17/2029</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96,265</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4,706,396</w:t>
            </w:r>
          </w:p>
        </w:tc>
      </w:tr>
      <w:tr>
        <w:trPr/>
        <w:tc>
          <w:tcPr>
            <w:tcW w:w="119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Michael Xie</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2/11/2016</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225,000</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4.77</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2/11/2023</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2/16/2017</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300,000</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7.45</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2/16/2024</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2/20/2018</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473,050</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2/20/2025</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310,770</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13,515</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16.90</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2/21/2026</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6,760</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330,496</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173,120</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71,290</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22.90</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2/21/2027</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25,460</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1,244,739</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100,170</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118,395</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34.39</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2/19/2028</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40,985</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2,003,757</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2/17/2022</w:t>
            </w:r>
            <w:r>
              <w:rPr>
                <w:rFonts w:ascii="Times New Roman PS Std;serif" w:hAnsi="Times New Roman PS Std;serif"/>
                <w:b w:val="false"/>
                <w:i w:val="false"/>
                <w:caps w:val="false"/>
                <w:smallCaps w:val="false"/>
                <w:sz w:val="12"/>
              </w:rPr>
              <w:t>(3)</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97,440</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2/17/2029</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32,480</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1,587,947</w:t>
            </w:r>
          </w:p>
        </w:tc>
      </w:tr>
      <w:tr>
        <w:trPr/>
        <w:tc>
          <w:tcPr>
            <w:tcW w:w="119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Keith Jensen</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19,640</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9,825</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16.90</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2/21/2026</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4,910</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240,050</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16,975</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59,415</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22.90</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2/21/2027</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21,220</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1,037,446</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15,975</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103,850</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34.39</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2/19/2028</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35,950</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1,757,596</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2/17/2022</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90,735</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2/17/2029</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30,245</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1,478,678</w:t>
            </w:r>
          </w:p>
        </w:tc>
      </w:tr>
      <w:tr>
        <w:trPr/>
        <w:tc>
          <w:tcPr>
            <w:tcW w:w="119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Patrice Perche</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2/20/2018</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52,085</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2/20/2025</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160,970</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7,000</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16.90</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2/21/2026</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3,500</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171,115</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2/27/2020</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129,440</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53,305</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22.90</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2/21/2027</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19,040</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930,866</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81,960</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96,870</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34.39</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2/19/2028</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33,535</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1,639,526</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2/17/2022</w:t>
            </w:r>
            <w:r>
              <w:rPr>
                <w:rFonts w:ascii="Times New Roman PS Std;serif" w:hAnsi="Times New Roman PS Std;serif"/>
                <w:b w:val="false"/>
                <w:i w:val="false"/>
                <w:caps w:val="false"/>
                <w:smallCaps w:val="false"/>
                <w:sz w:val="12"/>
              </w:rPr>
              <w:t>(3)</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90,735</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2/17/2029</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30,245</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1,478,678</w:t>
            </w:r>
          </w:p>
        </w:tc>
      </w:tr>
      <w:tr>
        <w:trPr/>
        <w:tc>
          <w:tcPr>
            <w:tcW w:w="119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John Whittle</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2/16/2017</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43,745</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7.45</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2/16/2024</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2/20/2018</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103,325</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2/20/2025</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31,495</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7,000</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16.90</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2/21/2026</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3,500</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171,115</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22,310</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34,705</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22.90</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2/21/2027</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12,395</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605,992</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22,885</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66,115</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34.39</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2/19/2028</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22,890</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1,119,092</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2/17/2022</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56,700</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2/17/2029</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18,900</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924,021</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50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Reflects stock options and RSUs granted under the 2009 Plan. Unless otherwise indicated below, (i) all options granted to named executive officers vest over four years starting on February 1 of the year of grant, with 25% vesting after one year and the remainder vesting monthly thereafter, and (ii) all RSUs granted to named executive officers vest over four years starting on February 1 of the year of grant, with 25% vesting after one year and the remainder vesting quarterly thereafter.</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Represents the fair market value of the shares underlying the RSUs as of December 30, 2022, which was the last business day of 2022, based on the closing price on Nasdaq of our common stock on December 30, 2022, which was $48.89 per share.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Stock option vests over four years starting on the grant date of February 17, 2022, with 25% vesting after one year and the remainder vesting monthly thereafter.</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75" w:name="T16"/>
      <w:bookmarkEnd w:id="75"/>
      <w:r>
        <w:rPr>
          <w:rFonts w:ascii="Times New Roman PS Std;serif" w:hAnsi="Times New Roman PS Std;serif"/>
          <w:b/>
          <w:i w:val="false"/>
          <w:caps w:val="false"/>
          <w:smallCaps w:val="false"/>
          <w:sz w:val="20"/>
        </w:rPr>
        <w:t>2022 Option Exercises and Stock Vested Table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concerning amounts realized from stock option exercises and RSUs vested during fiscal 2022 for each of the named executive officers.</w:t>
      </w:r>
    </w:p>
    <w:tbl>
      <w:tblPr>
        <w:tblW w:w="10205" w:type="dxa"/>
        <w:jc w:val="left"/>
        <w:tblInd w:w="0" w:type="dxa"/>
        <w:tblCellMar>
          <w:top w:w="0" w:type="dxa"/>
          <w:left w:w="0" w:type="dxa"/>
          <w:bottom w:w="0" w:type="dxa"/>
          <w:right w:w="0" w:type="dxa"/>
        </w:tblCellMar>
      </w:tblPr>
      <w:tblGrid>
        <w:gridCol w:w="1262"/>
        <w:gridCol w:w="146"/>
        <w:gridCol w:w="2431"/>
        <w:gridCol w:w="146"/>
        <w:gridCol w:w="1756"/>
        <w:gridCol w:w="146"/>
        <w:gridCol w:w="2371"/>
        <w:gridCol w:w="146"/>
        <w:gridCol w:w="1801"/>
      </w:tblGrid>
      <w:tr>
        <w:trPr/>
        <w:tc>
          <w:tcPr>
            <w:tcW w:w="1262"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433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Option Awards</w:t>
            </w:r>
          </w:p>
        </w:tc>
        <w:tc>
          <w:tcPr>
            <w:tcW w:w="146" w:type="dxa"/>
            <w:tcBorders/>
            <w:shd w:fill="auto" w:val="clear"/>
            <w:vAlign w:val="bottom"/>
          </w:tcPr>
          <w:p>
            <w:pPr>
              <w:pStyle w:val="TableContents"/>
              <w:spacing w:before="0" w:after="283"/>
              <w:rPr/>
            </w:pPr>
            <w:r>
              <w:rPr/>
              <w:t> </w:t>
            </w:r>
          </w:p>
        </w:tc>
        <w:tc>
          <w:tcPr>
            <w:tcW w:w="431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Stock Awards</w:t>
            </w:r>
          </w:p>
        </w:tc>
      </w:tr>
      <w:tr>
        <w:trPr/>
        <w:tc>
          <w:tcPr>
            <w:tcW w:w="1262"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shd w:fill="auto" w:val="clear"/>
            <w:vAlign w:val="bottom"/>
          </w:tcPr>
          <w:p>
            <w:pPr>
              <w:pStyle w:val="TableContents"/>
              <w:spacing w:before="0" w:after="283"/>
              <w:rPr/>
            </w:pPr>
            <w:r>
              <w:rPr/>
              <w:t> </w:t>
            </w:r>
          </w:p>
        </w:tc>
        <w:tc>
          <w:tcPr>
            <w:tcW w:w="24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Shares</w:t>
              <w:br/>
              <w:t>Acquired on Exercise (#)</w:t>
            </w:r>
          </w:p>
        </w:tc>
        <w:tc>
          <w:tcPr>
            <w:tcW w:w="146" w:type="dxa"/>
            <w:tcBorders/>
            <w:shd w:fill="auto" w:val="clear"/>
            <w:vAlign w:val="bottom"/>
          </w:tcPr>
          <w:p>
            <w:pPr>
              <w:pStyle w:val="TableContents"/>
              <w:spacing w:before="0" w:after="283"/>
              <w:rPr/>
            </w:pPr>
            <w:r>
              <w:rPr/>
              <w:t> </w:t>
            </w:r>
          </w:p>
        </w:tc>
        <w:tc>
          <w:tcPr>
            <w:tcW w:w="175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Value Realized on</w:t>
              <w:br/>
              <w:t>Exercise ($)(1)</w:t>
            </w:r>
          </w:p>
        </w:tc>
        <w:tc>
          <w:tcPr>
            <w:tcW w:w="146" w:type="dxa"/>
            <w:tcBorders/>
            <w:shd w:fill="auto" w:val="clear"/>
            <w:vAlign w:val="bottom"/>
          </w:tcPr>
          <w:p>
            <w:pPr>
              <w:pStyle w:val="TableContents"/>
              <w:spacing w:before="0" w:after="283"/>
              <w:rPr/>
            </w:pPr>
            <w:r>
              <w:rPr/>
              <w:t> </w:t>
            </w:r>
          </w:p>
        </w:tc>
        <w:tc>
          <w:tcPr>
            <w:tcW w:w="237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Shares</w:t>
              <w:br/>
              <w:t>Acquired on Vesting (#)</w:t>
            </w:r>
          </w:p>
        </w:tc>
        <w:tc>
          <w:tcPr>
            <w:tcW w:w="146" w:type="dxa"/>
            <w:tcBorders/>
            <w:shd w:fill="auto" w:val="clear"/>
            <w:vAlign w:val="bottom"/>
          </w:tcPr>
          <w:p>
            <w:pPr>
              <w:pStyle w:val="TableContents"/>
              <w:spacing w:before="0" w:after="283"/>
              <w:rPr/>
            </w:pPr>
            <w:r>
              <w:rPr/>
              <w:t> </w:t>
            </w:r>
          </w:p>
        </w:tc>
        <w:tc>
          <w:tcPr>
            <w:tcW w:w="18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Value Realized on</w:t>
              <w:br/>
              <w:t>Vesting ($)(2)</w:t>
            </w:r>
          </w:p>
        </w:tc>
      </w:tr>
      <w:tr>
        <w:trPr/>
        <w:tc>
          <w:tcPr>
            <w:tcW w:w="126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c>
          <w:tcPr>
            <w:tcW w:w="146" w:type="dxa"/>
            <w:tcBorders/>
            <w:shd w:fill="CCEEFF" w:val="clear"/>
            <w:vAlign w:val="bottom"/>
          </w:tcPr>
          <w:p>
            <w:pPr>
              <w:pStyle w:val="TableContents"/>
              <w:spacing w:before="0" w:after="283"/>
              <w:rPr/>
            </w:pPr>
            <w:r>
              <w:rPr/>
              <w:t> </w:t>
            </w:r>
          </w:p>
        </w:tc>
        <w:tc>
          <w:tcPr>
            <w:tcW w:w="24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w:t>
            </w:r>
          </w:p>
        </w:tc>
        <w:tc>
          <w:tcPr>
            <w:tcW w:w="146" w:type="dxa"/>
            <w:tcBorders/>
            <w:shd w:fill="CCEEFF" w:val="clear"/>
            <w:vAlign w:val="bottom"/>
          </w:tcPr>
          <w:p>
            <w:pPr>
              <w:pStyle w:val="TableContents"/>
              <w:spacing w:before="0" w:after="283"/>
              <w:rPr/>
            </w:pPr>
            <w:r>
              <w:rPr/>
              <w:t> </w:t>
            </w:r>
          </w:p>
        </w:tc>
        <w:tc>
          <w:tcPr>
            <w:tcW w:w="17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14,251,200</w:t>
            </w:r>
          </w:p>
        </w:tc>
        <w:tc>
          <w:tcPr>
            <w:tcW w:w="146" w:type="dxa"/>
            <w:tcBorders/>
            <w:shd w:fill="CCEEFF" w:val="clear"/>
            <w:vAlign w:val="bottom"/>
          </w:tcPr>
          <w:p>
            <w:pPr>
              <w:pStyle w:val="TableContents"/>
              <w:spacing w:before="0" w:after="283"/>
              <w:rPr/>
            </w:pPr>
            <w:r>
              <w:rPr/>
              <w:t> </w:t>
            </w:r>
          </w:p>
        </w:tc>
        <w:tc>
          <w:tcPr>
            <w:tcW w:w="23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207,565</w:t>
            </w:r>
          </w:p>
        </w:tc>
        <w:tc>
          <w:tcPr>
            <w:tcW w:w="146" w:type="dxa"/>
            <w:tcBorders/>
            <w:shd w:fill="CCEEFF" w:val="clear"/>
            <w:vAlign w:val="bottom"/>
          </w:tcPr>
          <w:p>
            <w:pPr>
              <w:pStyle w:val="TableContents"/>
              <w:spacing w:before="0" w:after="283"/>
              <w:rPr/>
            </w:pPr>
            <w:r>
              <w:rPr/>
              <w:t> </w:t>
            </w:r>
          </w:p>
        </w:tc>
        <w:tc>
          <w:tcPr>
            <w:tcW w:w="18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12,266,995</w:t>
            </w:r>
          </w:p>
        </w:tc>
      </w:tr>
      <w:tr>
        <w:trPr/>
        <w:tc>
          <w:tcPr>
            <w:tcW w:w="126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Xie</w:t>
            </w:r>
          </w:p>
        </w:tc>
        <w:tc>
          <w:tcPr>
            <w:tcW w:w="146" w:type="dxa"/>
            <w:tcBorders/>
            <w:shd w:fill="auto" w:val="clear"/>
            <w:vAlign w:val="bottom"/>
          </w:tcPr>
          <w:p>
            <w:pPr>
              <w:pStyle w:val="TableContents"/>
              <w:spacing w:before="0" w:after="283"/>
              <w:rPr/>
            </w:pPr>
            <w:r>
              <w:rPr/>
              <w:t> </w:t>
            </w:r>
          </w:p>
        </w:tc>
        <w:tc>
          <w:tcPr>
            <w:tcW w:w="24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7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3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88,135</w:t>
            </w:r>
          </w:p>
        </w:tc>
        <w:tc>
          <w:tcPr>
            <w:tcW w:w="146" w:type="dxa"/>
            <w:tcBorders/>
            <w:shd w:fill="auto" w:val="clear"/>
            <w:vAlign w:val="bottom"/>
          </w:tcPr>
          <w:p>
            <w:pPr>
              <w:pStyle w:val="TableContents"/>
              <w:spacing w:before="0" w:after="283"/>
              <w:rPr/>
            </w:pPr>
            <w:r>
              <w:rPr/>
              <w:t> </w:t>
            </w:r>
          </w:p>
        </w:tc>
        <w:tc>
          <w:tcPr>
            <w:tcW w:w="18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5,211,300</w:t>
            </w:r>
          </w:p>
        </w:tc>
      </w:tr>
      <w:tr>
        <w:trPr/>
        <w:tc>
          <w:tcPr>
            <w:tcW w:w="126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Keith Jensen</w:t>
            </w:r>
          </w:p>
        </w:tc>
        <w:tc>
          <w:tcPr>
            <w:tcW w:w="146" w:type="dxa"/>
            <w:tcBorders/>
            <w:shd w:fill="CCEEFF" w:val="clear"/>
            <w:vAlign w:val="bottom"/>
          </w:tcPr>
          <w:p>
            <w:pPr>
              <w:pStyle w:val="TableContents"/>
              <w:spacing w:before="0" w:after="283"/>
              <w:rPr/>
            </w:pPr>
            <w:r>
              <w:rPr/>
              <w:t> </w:t>
            </w:r>
          </w:p>
        </w:tc>
        <w:tc>
          <w:tcPr>
            <w:tcW w:w="24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166,780</w:t>
            </w:r>
          </w:p>
        </w:tc>
        <w:tc>
          <w:tcPr>
            <w:tcW w:w="146" w:type="dxa"/>
            <w:tcBorders/>
            <w:shd w:fill="CCEEFF" w:val="clear"/>
            <w:vAlign w:val="bottom"/>
          </w:tcPr>
          <w:p>
            <w:pPr>
              <w:pStyle w:val="TableContents"/>
              <w:spacing w:before="0" w:after="283"/>
              <w:rPr/>
            </w:pPr>
            <w:r>
              <w:rPr/>
              <w:t> </w:t>
            </w:r>
          </w:p>
        </w:tc>
        <w:tc>
          <w:tcPr>
            <w:tcW w:w="17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5,359,394</w:t>
            </w:r>
          </w:p>
        </w:tc>
        <w:tc>
          <w:tcPr>
            <w:tcW w:w="146" w:type="dxa"/>
            <w:tcBorders/>
            <w:shd w:fill="CCEEFF" w:val="clear"/>
            <w:vAlign w:val="bottom"/>
          </w:tcPr>
          <w:p>
            <w:pPr>
              <w:pStyle w:val="TableContents"/>
              <w:spacing w:before="0" w:after="283"/>
              <w:rPr/>
            </w:pPr>
            <w:r>
              <w:rPr/>
              <w:t> </w:t>
            </w:r>
          </w:p>
        </w:tc>
        <w:tc>
          <w:tcPr>
            <w:tcW w:w="23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70,820</w:t>
            </w:r>
          </w:p>
        </w:tc>
        <w:tc>
          <w:tcPr>
            <w:tcW w:w="146" w:type="dxa"/>
            <w:tcBorders/>
            <w:shd w:fill="CCEEFF" w:val="clear"/>
            <w:vAlign w:val="bottom"/>
          </w:tcPr>
          <w:p>
            <w:pPr>
              <w:pStyle w:val="TableContents"/>
              <w:spacing w:before="0" w:after="283"/>
              <w:rPr/>
            </w:pPr>
            <w:r>
              <w:rPr/>
              <w:t> </w:t>
            </w:r>
          </w:p>
        </w:tc>
        <w:tc>
          <w:tcPr>
            <w:tcW w:w="18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4,187,701</w:t>
            </w:r>
          </w:p>
        </w:tc>
      </w:tr>
      <w:tr>
        <w:trPr/>
        <w:tc>
          <w:tcPr>
            <w:tcW w:w="126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Patrice Perche</w:t>
            </w:r>
          </w:p>
        </w:tc>
        <w:tc>
          <w:tcPr>
            <w:tcW w:w="146" w:type="dxa"/>
            <w:tcBorders/>
            <w:shd w:fill="auto" w:val="clear"/>
            <w:vAlign w:val="bottom"/>
          </w:tcPr>
          <w:p>
            <w:pPr>
              <w:pStyle w:val="TableContents"/>
              <w:spacing w:before="0" w:after="283"/>
              <w:rPr/>
            </w:pPr>
            <w:r>
              <w:rPr/>
              <w:t> </w:t>
            </w:r>
          </w:p>
        </w:tc>
        <w:tc>
          <w:tcPr>
            <w:tcW w:w="24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7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3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58,425</w:t>
            </w:r>
          </w:p>
        </w:tc>
        <w:tc>
          <w:tcPr>
            <w:tcW w:w="146" w:type="dxa"/>
            <w:tcBorders/>
            <w:shd w:fill="auto" w:val="clear"/>
            <w:vAlign w:val="bottom"/>
          </w:tcPr>
          <w:p>
            <w:pPr>
              <w:pStyle w:val="TableContents"/>
              <w:spacing w:before="0" w:after="283"/>
              <w:rPr/>
            </w:pPr>
            <w:r>
              <w:rPr/>
              <w:t> </w:t>
            </w:r>
          </w:p>
        </w:tc>
        <w:tc>
          <w:tcPr>
            <w:tcW w:w="18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3,453,475</w:t>
            </w:r>
          </w:p>
        </w:tc>
      </w:tr>
      <w:tr>
        <w:trPr/>
        <w:tc>
          <w:tcPr>
            <w:tcW w:w="126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Whittle</w:t>
            </w:r>
          </w:p>
        </w:tc>
        <w:tc>
          <w:tcPr>
            <w:tcW w:w="146" w:type="dxa"/>
            <w:tcBorders/>
            <w:shd w:fill="CCEEFF" w:val="clear"/>
            <w:vAlign w:val="bottom"/>
          </w:tcPr>
          <w:p>
            <w:pPr>
              <w:pStyle w:val="TableContents"/>
              <w:spacing w:before="0" w:after="283"/>
              <w:rPr/>
            </w:pPr>
            <w:r>
              <w:rPr/>
              <w:t> </w:t>
            </w:r>
          </w:p>
        </w:tc>
        <w:tc>
          <w:tcPr>
            <w:tcW w:w="24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66,275</w:t>
            </w:r>
          </w:p>
        </w:tc>
        <w:tc>
          <w:tcPr>
            <w:tcW w:w="146" w:type="dxa"/>
            <w:tcBorders/>
            <w:shd w:fill="CCEEFF" w:val="clear"/>
            <w:vAlign w:val="bottom"/>
          </w:tcPr>
          <w:p>
            <w:pPr>
              <w:pStyle w:val="TableContents"/>
              <w:spacing w:before="0" w:after="283"/>
              <w:rPr/>
            </w:pPr>
            <w:r>
              <w:rPr/>
              <w:t> </w:t>
            </w:r>
          </w:p>
        </w:tc>
        <w:tc>
          <w:tcPr>
            <w:tcW w:w="17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2,345,689</w:t>
            </w:r>
          </w:p>
        </w:tc>
        <w:tc>
          <w:tcPr>
            <w:tcW w:w="146" w:type="dxa"/>
            <w:tcBorders/>
            <w:shd w:fill="CCEEFF" w:val="clear"/>
            <w:vAlign w:val="bottom"/>
          </w:tcPr>
          <w:p>
            <w:pPr>
              <w:pStyle w:val="TableContents"/>
              <w:spacing w:before="0" w:after="283"/>
              <w:rPr/>
            </w:pPr>
            <w:r>
              <w:rPr/>
              <w:t> </w:t>
            </w:r>
          </w:p>
        </w:tc>
        <w:tc>
          <w:tcPr>
            <w:tcW w:w="23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47,185</w:t>
            </w:r>
          </w:p>
        </w:tc>
        <w:tc>
          <w:tcPr>
            <w:tcW w:w="146" w:type="dxa"/>
            <w:tcBorders/>
            <w:shd w:fill="CCEEFF" w:val="clear"/>
            <w:vAlign w:val="bottom"/>
          </w:tcPr>
          <w:p>
            <w:pPr>
              <w:pStyle w:val="TableContents"/>
              <w:spacing w:before="0" w:after="283"/>
              <w:rPr/>
            </w:pPr>
            <w:r>
              <w:rPr/>
              <w:t> </w:t>
            </w:r>
          </w:p>
        </w:tc>
        <w:tc>
          <w:tcPr>
            <w:tcW w:w="18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2,791,822</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value realized on exercise reflects the difference between the fair market value of Fortinet common stock at the time of exercise on the exercise date and the exercise price of the stock option. Amounts shown are presented on an aggregate basis for all exercises that occurred during 2022.</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value realized on vesting reflects the aggregate fair market value of all Fortinet common stock issued pursuant to vested RSUs during 2022.</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76" w:name="T15"/>
      <w:bookmarkEnd w:id="76"/>
      <w:r>
        <w:rPr>
          <w:rFonts w:ascii="Times New Roman PS Std;serif" w:hAnsi="Times New Roman PS Std;serif"/>
          <w:b/>
          <w:i w:val="false"/>
          <w:caps w:val="false"/>
          <w:smallCaps w:val="false"/>
          <w:sz w:val="20"/>
        </w:rPr>
        <w:t>Potential Payments Upon Termination or Change of Control</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Termination or Change of Control Arrangements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a Change of Control Severance Agreement with each of our named executive officers, under which each named executive officer may receive certain payments and benefits upon certain terminations of employment, provided that the named executive officer has provided us with an executed release of claims and subject to non-solicitation and non-competition for a period of 12 months. The term of each named executive officer’s Change of Control Severance Agreement expires on August 7, 2024.</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each Change of Control Agreement, if a named executive officer is terminated without Cause (as defined below) or if a named executive officer terminates the named executive officer’s employment with us for Good Reason (as defined below) prior to, or absent, a Change of Control (as defined below), or after 12 months following a Change of Control, the named executive officer will be entitled to: (i) a severance payment in an amount equal to 12 months of the named executive officer’s then-current base salary; (ii) acceleration of the unvested equity awards then held by the named executive officer that would have vested over the next 12 months; and (iii) 12 months of medical, dental and/or vision benefits for the named executive officer and/or the named executive officer’s eligible dependents.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Also pursuant to each Change of Control Agreement, if a named executive officer is terminated without Cause or if a named executive officer terminates the named executive officer’s employment with us for Good Reason within 12 months following a Change of Control, the named executive officer will be entitled to: (i) a severance payment in an amount equal to 12 months of the named executive officer’s then-current base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salary; (ii) acceleration of 100% of the unvested equity awards then held by the named executive officer; and (iii) 12 months of medical, dental and/or vision benefits for the named executive officer and/or the named executive officer’s eligible dependents.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acceleration of a named executive officer’s unvested equity awards, the awards will remain exercisable, to the extent applicable, following the termination for the period prescribed in the respective stock plan and agreement for each award. In the event any payment to a named executive officer is subject to the excise tax imposed by Section 4999 of the Code (as a result of a payment being classified as a “parachute payment” under Section 280G of the Code), the named executive officer will be entitled to receive such payment as would entitle the named executive officer to receive the greatest after-tax benefit of either the full payment or a lesser payment which would result in no portion of such severance benefits being subject to excise tax.</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 of our Change of Control Severance Agreements:</w:t>
      </w:r>
    </w:p>
    <w:p>
      <w:pPr>
        <w:pStyle w:val="TextBody"/>
        <w:keepNext w:val="false"/>
        <w:pageBreakBefore w:val="false"/>
        <w:widowControl/>
        <w:pBdr/>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“Change of Control” generally means:</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acquisition by one person or group of persons of Fortinet securities representing 50% or more of total voting power at the time of acquisition;</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change in the composition of the Board of Directors occurring within a 12-month period, which results in fewer than a majority of the directors on the Board of Directors being incumbent directors;</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date of the consummation of a merger or consolidation between Fortinet and any other corporation that has been approved by our stockholders, other than a merger or consolidation that would result in our voting securities representing 50% or more of the total voting power immediately after such merger or consolidation, or if our stockholders approve a plan of Fortinet’s complete liquidation; or</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 change in the ownership of a substantial portion of Fortinet’s assets, having a total gross fair market value equal to or more than 50% of the total fair market value of all of Fortinet’s assets immediately prior to such acquisition.</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a transaction that does not constitute a change of control event under Treasury Regulation 1.409A-3(i)(5)(v) or (vii) shall not be considered a Change of Control.</w:t>
      </w:r>
    </w:p>
    <w:p>
      <w:pPr>
        <w:pStyle w:val="TextBody"/>
        <w:keepNext w:val="false"/>
        <w:pageBreakBefore w:val="false"/>
        <w:widowControl/>
        <w:pBdr/>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“Cause” generally means:</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act of dishonesty by the named executive officer in connection with the named executive officer’s responsibilities as an employee that materially and adversely affects Fortinet;</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named executive officer’s conviction of, or plea of nolo contendere to, a felony or any crime involving fraud, embezzlement or any other act of moral turpitude;</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named executive officer’s gross misconduct that materially and adversely affects Fortinet’s reputation or business; or</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named executive officer’s continued intentional refusal to perform employment duties in a material fashion that materially and adversely affects Fortinet’s reputation or business, after the named executive officer has received a written demand of performance from Fortinet that specifically sets forth the factual basis for Fortinet’s belief that the named executive officer has not substantially performed the named executive officer’s duties and the named executive officer continues to refuse to cure such non-performance within thirty days after receiving such notice.</w:t>
      </w:r>
    </w:p>
    <w:p>
      <w:pPr>
        <w:pStyle w:val="TextBody"/>
        <w:keepNext w:val="false"/>
        <w:pageBreakBefore w:val="false"/>
        <w:widowControl/>
        <w:pBdr/>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“Good Reason” generally means the occurrence of one of more of the following events without the named executive officer’s express written consent:</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material diminution in the named executive officer’s position or responsibilities with Fortinet;</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material reduction in the base salary of the named executive officer;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 material change in the geographic location of the named executive officer of 25 miles or more;</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any material breach by Fortinet of any material provision of the Change of Control Severance Agreement; or</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Fortinet’s failure to obtain the assumption of the Change of Control Severance Agreement by any successor to substantially all of Fortinet’s business and/or assets.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named executive officer may not resign for Good Reason without first providing us with written notice of the acts or omissions constituting the grounds for “Good Reason” within 90 days of the initial existence of the grounds for Good Reason and a reasonable cure period of not less than 30 days following the date of such notice, and the named executive officer’s resignation of employment must occur no later than 30 days following the end of such 30-day cure period.</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Estimated Payments upon Termination or Change in Control</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concerning the estimated payments and benefits that would be provided in the circumstances described above for each of the named executive officers. Except where otherwise noted, payments and benefits are estimated assuming that the triggering event took place on the last business day of 2022, which was December 30, 2022, and the price per share of Fortinet’s common stock was the closing price on Nasdaq as of that date, which was $48.89 per share. There can be no assurance that a triggering event would produce the same or similar results as those estimated below if such event occurs on any other date or at any other price, of if any other assumption used to estimate potential payments and benefits is not correct. Due to the number of factors that affect the nature and amount of any potential payments or benefits, any actual payments and benefits may be different.</w:t>
      </w:r>
    </w:p>
    <w:tbl>
      <w:tblPr>
        <w:tblW w:w="10669" w:type="dxa"/>
        <w:jc w:val="left"/>
        <w:tblInd w:w="0" w:type="dxa"/>
        <w:tblCellMar>
          <w:top w:w="0" w:type="dxa"/>
          <w:left w:w="0" w:type="dxa"/>
          <w:bottom w:w="0" w:type="dxa"/>
          <w:right w:w="0" w:type="dxa"/>
        </w:tblCellMar>
      </w:tblPr>
      <w:tblGrid>
        <w:gridCol w:w="691"/>
        <w:gridCol w:w="146"/>
        <w:gridCol w:w="1276"/>
        <w:gridCol w:w="146"/>
        <w:gridCol w:w="2017"/>
        <w:gridCol w:w="146"/>
        <w:gridCol w:w="1276"/>
        <w:gridCol w:w="146"/>
        <w:gridCol w:w="1201"/>
        <w:gridCol w:w="146"/>
        <w:gridCol w:w="2011"/>
        <w:gridCol w:w="146"/>
        <w:gridCol w:w="1321"/>
      </w:tblGrid>
      <w:tr>
        <w:trPr/>
        <w:tc>
          <w:tcPr>
            <w:tcW w:w="69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4861"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Qualifying Termination Not Within One Year after a</w:t>
              <w:br/>
              <w:t>Change of Control(1)</w:t>
            </w:r>
          </w:p>
        </w:tc>
        <w:tc>
          <w:tcPr>
            <w:tcW w:w="146" w:type="dxa"/>
            <w:tcBorders/>
            <w:shd w:fill="auto" w:val="clear"/>
            <w:vAlign w:val="bottom"/>
          </w:tcPr>
          <w:p>
            <w:pPr>
              <w:pStyle w:val="TableContents"/>
              <w:spacing w:before="0" w:after="283"/>
              <w:rPr/>
            </w:pPr>
            <w:r>
              <w:rPr/>
              <w:t> </w:t>
            </w:r>
          </w:p>
        </w:tc>
        <w:tc>
          <w:tcPr>
            <w:tcW w:w="482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Qualifying Termination Within One Year after a </w:t>
              <w:br/>
              <w:t>Change of Control(1)</w:t>
            </w:r>
          </w:p>
        </w:tc>
      </w:tr>
      <w:tr>
        <w:trPr/>
        <w:tc>
          <w:tcPr>
            <w:tcW w:w="691"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Salary ($)(2)</w:t>
            </w:r>
          </w:p>
        </w:tc>
        <w:tc>
          <w:tcPr>
            <w:tcW w:w="146" w:type="dxa"/>
            <w:tcBorders/>
            <w:shd w:fill="auto" w:val="clear"/>
            <w:vAlign w:val="bottom"/>
          </w:tcPr>
          <w:p>
            <w:pPr>
              <w:pStyle w:val="TableContents"/>
              <w:spacing w:before="0" w:after="283"/>
              <w:rPr/>
            </w:pPr>
            <w:r>
              <w:rPr/>
              <w:t> </w:t>
            </w:r>
          </w:p>
        </w:tc>
        <w:tc>
          <w:tcPr>
            <w:tcW w:w="2017"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Acceleration of</w:t>
              <w:br/>
              <w:t>Equity Vesting ($)(3)</w:t>
            </w:r>
          </w:p>
        </w:tc>
        <w:tc>
          <w:tcPr>
            <w:tcW w:w="146"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COBRA</w:t>
              <w:br/>
              <w:t>Benefit ($)(4)</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Salary ($)(2)</w:t>
            </w:r>
          </w:p>
        </w:tc>
        <w:tc>
          <w:tcPr>
            <w:tcW w:w="146" w:type="dxa"/>
            <w:tcBorders/>
            <w:shd w:fill="auto" w:val="clear"/>
            <w:vAlign w:val="bottom"/>
          </w:tcPr>
          <w:p>
            <w:pPr>
              <w:pStyle w:val="TableContents"/>
              <w:spacing w:before="0" w:after="283"/>
              <w:rPr/>
            </w:pPr>
            <w:r>
              <w:rPr/>
              <w:t> </w:t>
            </w:r>
          </w:p>
        </w:tc>
        <w:tc>
          <w:tcPr>
            <w:tcW w:w="20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Acceleration of</w:t>
              <w:br/>
              <w:t>Equity Vesting ($)(5)</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COBRA</w:t>
              <w:br/>
              <w:t>Benefit ($)(4)</w:t>
            </w:r>
          </w:p>
        </w:tc>
      </w:tr>
      <w:tr>
        <w:trPr/>
        <w:tc>
          <w:tcPr>
            <w:tcW w:w="6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c>
          <w:tcPr>
            <w:tcW w:w="146"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797,000</w:t>
            </w:r>
          </w:p>
        </w:tc>
        <w:tc>
          <w:tcPr>
            <w:tcW w:w="146" w:type="dxa"/>
            <w:tcBorders/>
            <w:shd w:fill="CCEEFF" w:val="clear"/>
            <w:vAlign w:val="bottom"/>
          </w:tcPr>
          <w:p>
            <w:pPr>
              <w:pStyle w:val="TableContents"/>
              <w:spacing w:before="0" w:after="283"/>
              <w:rPr/>
            </w:pPr>
            <w:r>
              <w:rPr/>
              <w:t> </w:t>
            </w:r>
          </w:p>
        </w:tc>
        <w:tc>
          <w:tcPr>
            <w:tcW w:w="201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14,494,227</w:t>
            </w:r>
          </w:p>
        </w:tc>
        <w:tc>
          <w:tcPr>
            <w:tcW w:w="146"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34,299</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797,000</w:t>
            </w:r>
          </w:p>
        </w:tc>
        <w:tc>
          <w:tcPr>
            <w:tcW w:w="146" w:type="dxa"/>
            <w:tcBorders/>
            <w:shd w:fill="CCEEFF" w:val="clear"/>
            <w:vAlign w:val="bottom"/>
          </w:tcPr>
          <w:p>
            <w:pPr>
              <w:pStyle w:val="TableContents"/>
              <w:spacing w:before="0" w:after="283"/>
              <w:rPr/>
            </w:pPr>
            <w:r>
              <w:rPr/>
              <w:t> </w:t>
            </w:r>
          </w:p>
        </w:tc>
        <w:tc>
          <w:tcPr>
            <w:tcW w:w="20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23,509,344</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34,299</w:t>
            </w:r>
          </w:p>
        </w:tc>
      </w:tr>
      <w:tr>
        <w:trPr/>
        <w:tc>
          <w:tcPr>
            <w:tcW w:w="69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Xie</w:t>
            </w:r>
          </w:p>
        </w:tc>
        <w:tc>
          <w:tcPr>
            <w:tcW w:w="146"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445,000</w:t>
            </w:r>
          </w:p>
        </w:tc>
        <w:tc>
          <w:tcPr>
            <w:tcW w:w="146" w:type="dxa"/>
            <w:tcBorders/>
            <w:shd w:fill="auto" w:val="clear"/>
            <w:vAlign w:val="bottom"/>
          </w:tcPr>
          <w:p>
            <w:pPr>
              <w:pStyle w:val="TableContents"/>
              <w:spacing w:before="0" w:after="283"/>
              <w:rPr/>
            </w:pPr>
            <w:r>
              <w:rPr/>
              <w:t> </w:t>
            </w:r>
          </w:p>
        </w:tc>
        <w:tc>
          <w:tcPr>
            <w:tcW w:w="201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7,177,572</w:t>
            </w:r>
          </w:p>
        </w:tc>
        <w:tc>
          <w:tcPr>
            <w:tcW w:w="146"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34,299</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445,000</w:t>
            </w:r>
          </w:p>
        </w:tc>
        <w:tc>
          <w:tcPr>
            <w:tcW w:w="146" w:type="dxa"/>
            <w:tcBorders/>
            <w:shd w:fill="auto" w:val="clear"/>
            <w:vAlign w:val="bottom"/>
          </w:tcPr>
          <w:p>
            <w:pPr>
              <w:pStyle w:val="TableContents"/>
              <w:spacing w:before="0" w:after="283"/>
              <w:rPr/>
            </w:pPr>
            <w:r>
              <w:rPr/>
              <w:t> </w:t>
            </w:r>
          </w:p>
        </w:tc>
        <w:tc>
          <w:tcPr>
            <w:tcW w:w="20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9,169,625</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34,299</w:t>
            </w:r>
          </w:p>
        </w:tc>
      </w:tr>
      <w:tr>
        <w:trPr/>
        <w:tc>
          <w:tcPr>
            <w:tcW w:w="6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Keith Jensen</w:t>
            </w:r>
          </w:p>
        </w:tc>
        <w:tc>
          <w:tcPr>
            <w:tcW w:w="146"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506,000</w:t>
            </w:r>
          </w:p>
        </w:tc>
        <w:tc>
          <w:tcPr>
            <w:tcW w:w="146" w:type="dxa"/>
            <w:tcBorders/>
            <w:shd w:fill="CCEEFF" w:val="clear"/>
            <w:vAlign w:val="bottom"/>
          </w:tcPr>
          <w:p>
            <w:pPr>
              <w:pStyle w:val="TableContents"/>
              <w:spacing w:before="0" w:after="283"/>
              <w:rPr/>
            </w:pPr>
            <w:r>
              <w:rPr/>
              <w:t> </w:t>
            </w:r>
          </w:p>
        </w:tc>
        <w:tc>
          <w:tcPr>
            <w:tcW w:w="201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4,831,033</w:t>
            </w:r>
          </w:p>
        </w:tc>
        <w:tc>
          <w:tcPr>
            <w:tcW w:w="146"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23,776</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506,000</w:t>
            </w:r>
          </w:p>
        </w:tc>
        <w:tc>
          <w:tcPr>
            <w:tcW w:w="146" w:type="dxa"/>
            <w:tcBorders/>
            <w:shd w:fill="CCEEFF" w:val="clear"/>
            <w:vAlign w:val="bottom"/>
          </w:tcPr>
          <w:p>
            <w:pPr>
              <w:pStyle w:val="TableContents"/>
              <w:spacing w:before="0" w:after="283"/>
              <w:rPr/>
            </w:pPr>
            <w:r>
              <w:rPr/>
              <w:t> </w:t>
            </w:r>
          </w:p>
        </w:tc>
        <w:tc>
          <w:tcPr>
            <w:tcW w:w="20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7,878,765</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23,776</w:t>
            </w:r>
          </w:p>
        </w:tc>
      </w:tr>
      <w:tr>
        <w:trPr/>
        <w:tc>
          <w:tcPr>
            <w:tcW w:w="69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Patrice Perche</w:t>
            </w:r>
          </w:p>
        </w:tc>
        <w:tc>
          <w:tcPr>
            <w:tcW w:w="146"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495,268</w:t>
            </w:r>
          </w:p>
        </w:tc>
        <w:tc>
          <w:tcPr>
            <w:tcW w:w="146" w:type="dxa"/>
            <w:tcBorders/>
            <w:shd w:fill="auto" w:val="clear"/>
            <w:vAlign w:val="bottom"/>
          </w:tcPr>
          <w:p>
            <w:pPr>
              <w:pStyle w:val="TableContents"/>
              <w:spacing w:before="0" w:after="283"/>
              <w:rPr/>
            </w:pPr>
            <w:r>
              <w:rPr/>
              <w:t> </w:t>
            </w:r>
          </w:p>
        </w:tc>
        <w:tc>
          <w:tcPr>
            <w:tcW w:w="201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4,351,314</w:t>
            </w:r>
          </w:p>
        </w:tc>
        <w:tc>
          <w:tcPr>
            <w:tcW w:w="146"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495,268</w:t>
            </w:r>
          </w:p>
        </w:tc>
        <w:tc>
          <w:tcPr>
            <w:tcW w:w="146" w:type="dxa"/>
            <w:tcBorders/>
            <w:shd w:fill="auto" w:val="clear"/>
            <w:vAlign w:val="bottom"/>
          </w:tcPr>
          <w:p>
            <w:pPr>
              <w:pStyle w:val="TableContents"/>
              <w:spacing w:before="0" w:after="283"/>
              <w:rPr/>
            </w:pPr>
            <w:r>
              <w:rPr/>
              <w:t> </w:t>
            </w:r>
          </w:p>
        </w:tc>
        <w:tc>
          <w:tcPr>
            <w:tcW w:w="20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7,234,741</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6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Whittle</w:t>
            </w:r>
          </w:p>
        </w:tc>
        <w:tc>
          <w:tcPr>
            <w:tcW w:w="146"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482,000</w:t>
            </w:r>
          </w:p>
        </w:tc>
        <w:tc>
          <w:tcPr>
            <w:tcW w:w="146" w:type="dxa"/>
            <w:tcBorders/>
            <w:shd w:fill="CCEEFF" w:val="clear"/>
            <w:vAlign w:val="bottom"/>
          </w:tcPr>
          <w:p>
            <w:pPr>
              <w:pStyle w:val="TableContents"/>
              <w:spacing w:before="0" w:after="283"/>
              <w:rPr/>
            </w:pPr>
            <w:r>
              <w:rPr/>
              <w:t> </w:t>
            </w:r>
          </w:p>
        </w:tc>
        <w:tc>
          <w:tcPr>
            <w:tcW w:w="201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2,997,116</w:t>
            </w:r>
          </w:p>
        </w:tc>
        <w:tc>
          <w:tcPr>
            <w:tcW w:w="146"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34,299</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482,000</w:t>
            </w:r>
          </w:p>
        </w:tc>
        <w:tc>
          <w:tcPr>
            <w:tcW w:w="146" w:type="dxa"/>
            <w:tcBorders/>
            <w:shd w:fill="CCEEFF" w:val="clear"/>
            <w:vAlign w:val="bottom"/>
          </w:tcPr>
          <w:p>
            <w:pPr>
              <w:pStyle w:val="TableContents"/>
              <w:spacing w:before="0" w:after="283"/>
              <w:rPr/>
            </w:pPr>
            <w:r>
              <w:rPr/>
              <w:t> </w:t>
            </w:r>
          </w:p>
        </w:tc>
        <w:tc>
          <w:tcPr>
            <w:tcW w:w="20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4,905,217</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34,299</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 “Qualifying Termination” under the Change of Control Severance Agreement is an involuntary termination of employment without “Cause” or a voluntary resignation for “Good Reason,” in each case as defined above.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severance amount related to base salary was determined based on base salaries in effect on December 30, 2022, the last business day of 2022.</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value is calculated by multiplying (i) the number of the named executive officer’s unvested shares that would have vested over the 12 months after December 30, 2022 by (ii) (a) the difference between $48.89 (the per share closing stock price on December 30, 2022) and the exercise price for stock options or (b) $48.89 for RSUs. Stock options outstanding as of December 30, 2022 for which the exercise price was greater than $48.89 are not included in the acceleration of equity vesting calculations.</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value represents the total value for reimbursement for insurance premium expenses incurred for group health insurance continuation coverage under Title X of the Consolidated Omnibus Budget Reconciliation Act of 1985, as amended, for a period of up to 12 months. Mr. Perche is not eligible for such reimbursement as a non-U.S. employee.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value is calculated by multiplying (i) the number of the named executive officer’s total unvested shares by (ii) (a) the difference between $48.89 (the per share closing stock price on December 30, 2022) and the exercise price for stock options or (b) $48.89 for RSUs. Stock options outstanding as of December 30, 2022 for which the exercise price was greater than $48.89 are not included in the acceleration of equity vesting calculations.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77" w:name="T14"/>
      <w:bookmarkEnd w:id="77"/>
      <w:r>
        <w:rPr>
          <w:rFonts w:ascii="Times New Roman PS Std;serif" w:hAnsi="Times New Roman PS Std;serif"/>
          <w:b/>
          <w:i w:val="false"/>
          <w:caps w:val="false"/>
          <w:smallCaps w:val="false"/>
          <w:sz w:val="20"/>
        </w:rPr>
        <w:t>Pay Versus Performance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required under Item 402(v) of Regulation S-K disclosing (i) a measure of total compensation and a measure reflecting “compensation actually paid” for our principal executive officer (our “PEO”) and, as an average, for our other named executive officers (our “NEOs”), and (ii) select financial performance measures, in each case, for our three most recently completed fiscal years. The Human Resources Committee did not consider the pay versus performance disclosure below in making its pay decisions for any of the years shown. The amounts shown for Compensation Actually Paid have been calculated in accordance with Item 402(v) of Regulation S-K and do not reflect compensation actually earned, realized or received by our NEOs; these amounts reflect the Summary Compensation Table totals with certain adjustments as described in the following table and footnotes.</w:t>
      </w:r>
    </w:p>
    <w:tbl>
      <w:tblPr>
        <w:tblW w:w="13447" w:type="dxa"/>
        <w:jc w:val="left"/>
        <w:tblInd w:w="0" w:type="dxa"/>
        <w:tblCellMar>
          <w:top w:w="0" w:type="dxa"/>
          <w:left w:w="0" w:type="dxa"/>
          <w:bottom w:w="0" w:type="dxa"/>
          <w:right w:w="0" w:type="dxa"/>
        </w:tblCellMar>
      </w:tblPr>
      <w:tblGrid>
        <w:gridCol w:w="586"/>
        <w:gridCol w:w="146"/>
        <w:gridCol w:w="1486"/>
        <w:gridCol w:w="146"/>
        <w:gridCol w:w="1381"/>
        <w:gridCol w:w="210"/>
        <w:gridCol w:w="146"/>
        <w:gridCol w:w="1441"/>
        <w:gridCol w:w="146"/>
        <w:gridCol w:w="1241"/>
        <w:gridCol w:w="200"/>
        <w:gridCol w:w="146"/>
        <w:gridCol w:w="1231"/>
        <w:gridCol w:w="146"/>
        <w:gridCol w:w="1681"/>
        <w:gridCol w:w="146"/>
        <w:gridCol w:w="1486"/>
        <w:gridCol w:w="146"/>
        <w:gridCol w:w="1336"/>
      </w:tblGrid>
      <w:tr>
        <w:trPr/>
        <w:tc>
          <w:tcPr>
            <w:tcW w:w="586" w:type="dxa"/>
            <w:vMerge w:val="restart"/>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vMerge w:val="restart"/>
            <w:tcBorders/>
            <w:shd w:fill="auto" w:val="clear"/>
            <w:vAlign w:val="bottom"/>
          </w:tcPr>
          <w:p>
            <w:pPr>
              <w:pStyle w:val="TableContents"/>
              <w:spacing w:before="0" w:after="283"/>
              <w:rPr/>
            </w:pPr>
            <w:r>
              <w:rPr/>
              <w:t> </w:t>
            </w:r>
          </w:p>
        </w:tc>
        <w:tc>
          <w:tcPr>
            <w:tcW w:w="1486"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Summary</w:t>
              <w:br/>
              <w:t>Compensation</w:t>
              <w:br/>
              <w:t>Table Total for</w:t>
              <w:br/>
              <w:t>PEO ($)</w:t>
            </w:r>
          </w:p>
        </w:tc>
        <w:tc>
          <w:tcPr>
            <w:tcW w:w="146" w:type="dxa"/>
            <w:vMerge w:val="restart"/>
            <w:tcBorders/>
            <w:shd w:fill="auto" w:val="clear"/>
            <w:vAlign w:val="bottom"/>
          </w:tcPr>
          <w:p>
            <w:pPr>
              <w:pStyle w:val="TableContents"/>
              <w:spacing w:before="0" w:after="283"/>
              <w:rPr/>
            </w:pPr>
            <w:r>
              <w:rPr/>
              <w:t> </w:t>
            </w:r>
          </w:p>
        </w:tc>
        <w:tc>
          <w:tcPr>
            <w:tcW w:w="1591" w:type="dxa"/>
            <w:gridSpan w:val="2"/>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Compensation</w:t>
              <w:br/>
              <w:t>Actually Paid to</w:t>
              <w:br/>
              <w:t>PEO ($)</w:t>
            </w:r>
          </w:p>
        </w:tc>
        <w:tc>
          <w:tcPr>
            <w:tcW w:w="146" w:type="dxa"/>
            <w:vMerge w:val="restart"/>
            <w:tcBorders/>
            <w:shd w:fill="auto" w:val="clear"/>
            <w:vAlign w:val="bottom"/>
          </w:tcPr>
          <w:p>
            <w:pPr>
              <w:pStyle w:val="TableContents"/>
              <w:spacing w:before="0" w:after="283"/>
              <w:rPr/>
            </w:pPr>
            <w:r>
              <w:rPr/>
              <w:t> </w:t>
            </w:r>
          </w:p>
        </w:tc>
        <w:tc>
          <w:tcPr>
            <w:tcW w:w="1441"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Average</w:t>
              <w:br/>
              <w:t>Summary</w:t>
              <w:br/>
              <w:t>Compensation</w:t>
              <w:br/>
              <w:t>Table Total</w:t>
              <w:br/>
              <w:t>for Non-PEO</w:t>
              <w:br/>
              <w:t>NEOs ($)</w:t>
            </w:r>
          </w:p>
        </w:tc>
        <w:tc>
          <w:tcPr>
            <w:tcW w:w="146" w:type="dxa"/>
            <w:vMerge w:val="restart"/>
            <w:tcBorders/>
            <w:shd w:fill="auto" w:val="clear"/>
            <w:vAlign w:val="bottom"/>
          </w:tcPr>
          <w:p>
            <w:pPr>
              <w:pStyle w:val="TableContents"/>
              <w:spacing w:before="0" w:after="283"/>
              <w:rPr/>
            </w:pPr>
            <w:r>
              <w:rPr/>
              <w:t> </w:t>
            </w:r>
          </w:p>
        </w:tc>
        <w:tc>
          <w:tcPr>
            <w:tcW w:w="1441" w:type="dxa"/>
            <w:gridSpan w:val="2"/>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Average</w:t>
              <w:br/>
              <w:t>Compensation</w:t>
              <w:br/>
              <w:t>Actually Paid</w:t>
              <w:br/>
              <w:t>to Non-PEO</w:t>
              <w:br/>
              <w:t>NEOs ($)</w:t>
            </w:r>
          </w:p>
        </w:tc>
        <w:tc>
          <w:tcPr>
            <w:tcW w:w="146" w:type="dxa"/>
            <w:vMerge w:val="restart"/>
            <w:tcBorders/>
            <w:shd w:fill="auto" w:val="clear"/>
            <w:vAlign w:val="bottom"/>
          </w:tcPr>
          <w:p>
            <w:pPr>
              <w:pStyle w:val="TableContents"/>
              <w:spacing w:before="0" w:after="283"/>
              <w:rPr/>
            </w:pPr>
            <w:r>
              <w:rPr/>
              <w:t> </w:t>
            </w:r>
          </w:p>
        </w:tc>
        <w:tc>
          <w:tcPr>
            <w:tcW w:w="305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Value of Initial Fixed $100</w:t>
              <w:br/>
              <w:t>Investment Based On:</w:t>
            </w:r>
          </w:p>
        </w:tc>
        <w:tc>
          <w:tcPr>
            <w:tcW w:w="146" w:type="dxa"/>
            <w:tcBorders/>
            <w:shd w:fill="auto" w:val="clear"/>
            <w:vAlign w:val="bottom"/>
          </w:tcPr>
          <w:p>
            <w:pPr>
              <w:pStyle w:val="TableContents"/>
              <w:spacing w:before="0" w:after="283"/>
              <w:rPr/>
            </w:pPr>
            <w:r>
              <w:rPr/>
              <w:t> </w:t>
            </w:r>
          </w:p>
        </w:tc>
        <w:tc>
          <w:tcPr>
            <w:tcW w:w="1486"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Net Income ($)</w:t>
            </w:r>
          </w:p>
        </w:tc>
        <w:tc>
          <w:tcPr>
            <w:tcW w:w="146" w:type="dxa"/>
            <w:vMerge w:val="restart"/>
            <w:tcBorders/>
            <w:shd w:fill="auto" w:val="clear"/>
            <w:vAlign w:val="bottom"/>
          </w:tcPr>
          <w:p>
            <w:pPr>
              <w:pStyle w:val="TableContents"/>
              <w:spacing w:before="0" w:after="283"/>
              <w:rPr/>
            </w:pPr>
            <w:r>
              <w:rPr/>
              <w:t> </w:t>
            </w:r>
          </w:p>
        </w:tc>
        <w:tc>
          <w:tcPr>
            <w:tcW w:w="1336"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Company</w:t>
              <w:br/>
              <w:t>Selected</w:t>
              <w:br/>
              <w:t>Measure:</w:t>
              <w:br/>
              <w:t>Revenue ($)</w:t>
            </w:r>
          </w:p>
        </w:tc>
      </w:tr>
      <w:tr>
        <w:trPr/>
        <w:tc>
          <w:tcPr>
            <w:tcW w:w="586"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86"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591" w:type="dxa"/>
            <w:gridSpan w:val="2"/>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41"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41" w:type="dxa"/>
            <w:gridSpan w:val="2"/>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br/>
              <w:t>Stockholder</w:t>
              <w:br/>
              <w:t>Return ($)</w:t>
            </w:r>
          </w:p>
        </w:tc>
        <w:tc>
          <w:tcPr>
            <w:tcW w:w="146" w:type="dxa"/>
            <w:tcBorders/>
            <w:shd w:fill="auto" w:val="clear"/>
            <w:vAlign w:val="bottom"/>
          </w:tcPr>
          <w:p>
            <w:pPr>
              <w:pStyle w:val="TableContents"/>
              <w:spacing w:before="0" w:after="283"/>
              <w:rPr/>
            </w:pPr>
            <w:r>
              <w:rPr/>
              <w:t> </w:t>
            </w:r>
          </w:p>
        </w:tc>
        <w:tc>
          <w:tcPr>
            <w:tcW w:w="168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Peer Group Total</w:t>
              <w:br/>
              <w:t>Stockholder</w:t>
              <w:br/>
              <w:t>Return ($)</w:t>
            </w:r>
          </w:p>
        </w:tc>
        <w:tc>
          <w:tcPr>
            <w:tcW w:w="146" w:type="dxa"/>
            <w:tcBorders/>
            <w:shd w:fill="auto" w:val="clear"/>
            <w:vAlign w:val="bottom"/>
          </w:tcPr>
          <w:p>
            <w:pPr>
              <w:pStyle w:val="TableContents"/>
              <w:spacing w:before="0" w:after="283"/>
              <w:rPr/>
            </w:pPr>
            <w:r>
              <w:rPr/>
              <w:t> </w:t>
            </w:r>
          </w:p>
        </w:tc>
        <w:tc>
          <w:tcPr>
            <w:tcW w:w="1486"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36" w:type="dxa"/>
            <w:vMerge w:val="continue"/>
            <w:tcBorders/>
            <w:shd w:fill="auto" w:val="clear"/>
            <w:vAlign w:val="bottom"/>
          </w:tcPr>
          <w:p>
            <w:pPr>
              <w:pStyle w:val="Normal"/>
              <w:rPr/>
            </w:pPr>
            <w:r>
              <w:rPr/>
            </w:r>
          </w:p>
        </w:tc>
      </w:tr>
      <w:tr>
        <w:trPr/>
        <w:tc>
          <w:tcPr>
            <w:tcW w:w="58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w:t>
            </w:r>
          </w:p>
        </w:tc>
        <w:tc>
          <w:tcPr>
            <w:tcW w:w="146" w:type="dxa"/>
            <w:tcBorders/>
            <w:shd w:fill="auto" w:val="clear"/>
            <w:vAlign w:val="bottom"/>
          </w:tcPr>
          <w:p>
            <w:pPr>
              <w:pStyle w:val="TableContents"/>
              <w:spacing w:before="0" w:after="283"/>
              <w:rPr/>
            </w:pPr>
            <w:r>
              <w:rPr/>
              <w:t> </w:t>
            </w:r>
          </w:p>
        </w:tc>
        <w:tc>
          <w:tcPr>
            <w:tcW w:w="148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w:t>
            </w:r>
            <w:r>
              <w:rPr>
                <w:rFonts w:ascii="Times New Roman PS Std;serif" w:hAnsi="Times New Roman PS Std;serif"/>
                <w:b w:val="false"/>
                <w:i w:val="false"/>
                <w:caps w:val="false"/>
                <w:smallCaps w:val="false"/>
                <w:sz w:val="12"/>
              </w:rPr>
              <w:t>(1)</w:t>
            </w:r>
          </w:p>
        </w:tc>
        <w:tc>
          <w:tcPr>
            <w:tcW w:w="146" w:type="dxa"/>
            <w:tcBorders/>
            <w:shd w:fill="auto" w:val="clear"/>
            <w:vAlign w:val="bottom"/>
          </w:tcPr>
          <w:p>
            <w:pPr>
              <w:pStyle w:val="TableContents"/>
              <w:spacing w:before="0" w:after="283"/>
              <w:rPr/>
            </w:pPr>
            <w:r>
              <w:rPr/>
              <w:t> </w:t>
            </w:r>
          </w:p>
        </w:tc>
        <w:tc>
          <w:tcPr>
            <w:tcW w:w="1591" w:type="dxa"/>
            <w:gridSpan w:val="2"/>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w:t>
            </w:r>
            <w:r>
              <w:rPr>
                <w:rFonts w:ascii="Times New Roman PS Std;serif" w:hAnsi="Times New Roman PS Std;serif"/>
                <w:b w:val="false"/>
                <w:i w:val="false"/>
                <w:caps w:val="false"/>
                <w:smallCaps w:val="false"/>
                <w:sz w:val="12"/>
              </w:rPr>
              <w:t>(2)(5)</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(d)</w:t>
            </w:r>
            <w:r>
              <w:rPr>
                <w:rFonts w:ascii="Times New Roman PS Std;serif" w:hAnsi="Times New Roman PS Std;serif"/>
                <w:b w:val="false"/>
                <w:i w:val="false"/>
                <w:caps w:val="false"/>
                <w:smallCaps w:val="false"/>
                <w:sz w:val="12"/>
              </w:rPr>
              <w:t>(3)</w:t>
            </w:r>
          </w:p>
        </w:tc>
        <w:tc>
          <w:tcPr>
            <w:tcW w:w="146" w:type="dxa"/>
            <w:tcBorders/>
            <w:shd w:fill="auto" w:val="clear"/>
            <w:vAlign w:val="bottom"/>
          </w:tcPr>
          <w:p>
            <w:pPr>
              <w:pStyle w:val="TableContents"/>
              <w:spacing w:before="0" w:after="283"/>
              <w:rPr/>
            </w:pPr>
            <w:r>
              <w:rPr/>
              <w:t> </w:t>
            </w:r>
          </w:p>
        </w:tc>
        <w:tc>
          <w:tcPr>
            <w:tcW w:w="1441" w:type="dxa"/>
            <w:gridSpan w:val="2"/>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(e)</w:t>
            </w:r>
            <w:r>
              <w:rPr>
                <w:rFonts w:ascii="Times New Roman PS Std;serif" w:hAnsi="Times New Roman PS Std;serif"/>
                <w:b w:val="false"/>
                <w:i w:val="false"/>
                <w:caps w:val="false"/>
                <w:smallCaps w:val="false"/>
                <w:sz w:val="12"/>
              </w:rPr>
              <w:t>(4)(5)</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w:t>
            </w:r>
            <w:r>
              <w:rPr>
                <w:rFonts w:ascii="Times New Roman PS Std;serif" w:hAnsi="Times New Roman PS Std;serif"/>
                <w:b w:val="false"/>
                <w:i w:val="false"/>
                <w:caps w:val="false"/>
                <w:smallCaps w:val="false"/>
                <w:sz w:val="12"/>
              </w:rPr>
              <w:t>(6)</w:t>
            </w:r>
          </w:p>
        </w:tc>
        <w:tc>
          <w:tcPr>
            <w:tcW w:w="146" w:type="dxa"/>
            <w:tcBorders/>
            <w:shd w:fill="auto" w:val="clear"/>
            <w:vAlign w:val="bottom"/>
          </w:tcPr>
          <w:p>
            <w:pPr>
              <w:pStyle w:val="TableContents"/>
              <w:spacing w:before="0" w:after="283"/>
              <w:rPr/>
            </w:pPr>
            <w:r>
              <w:rPr/>
              <w:t> </w:t>
            </w:r>
          </w:p>
        </w:tc>
        <w:tc>
          <w:tcPr>
            <w:tcW w:w="168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(g)</w:t>
            </w:r>
            <w:r>
              <w:rPr>
                <w:rFonts w:ascii="Times New Roman PS Std;serif" w:hAnsi="Times New Roman PS Std;serif"/>
                <w:b w:val="false"/>
                <w:i w:val="false"/>
                <w:caps w:val="false"/>
                <w:smallCaps w:val="false"/>
                <w:sz w:val="12"/>
              </w:rPr>
              <w:t>(7)</w:t>
            </w:r>
          </w:p>
        </w:tc>
        <w:tc>
          <w:tcPr>
            <w:tcW w:w="146" w:type="dxa"/>
            <w:tcBorders/>
            <w:shd w:fill="auto" w:val="clear"/>
            <w:vAlign w:val="bottom"/>
          </w:tcPr>
          <w:p>
            <w:pPr>
              <w:pStyle w:val="TableContents"/>
              <w:spacing w:before="0" w:after="283"/>
              <w:rPr/>
            </w:pPr>
            <w:r>
              <w:rPr/>
              <w:t> </w:t>
            </w:r>
          </w:p>
        </w:tc>
        <w:tc>
          <w:tcPr>
            <w:tcW w:w="148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(h)</w:t>
            </w:r>
            <w:r>
              <w:rPr>
                <w:rFonts w:ascii="Times New Roman PS Std;serif" w:hAnsi="Times New Roman PS Std;serif"/>
                <w:b w:val="false"/>
                <w:i w:val="false"/>
                <w:caps w:val="false"/>
                <w:smallCaps w:val="false"/>
                <w:sz w:val="12"/>
              </w:rPr>
              <w:t>(8)</w:t>
            </w:r>
          </w:p>
        </w:tc>
        <w:tc>
          <w:tcPr>
            <w:tcW w:w="146"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w:t>
            </w:r>
            <w:r>
              <w:rPr>
                <w:rFonts w:ascii="Times New Roman PS Std;serif" w:hAnsi="Times New Roman PS Std;serif"/>
                <w:b w:val="false"/>
                <w:i w:val="false"/>
                <w:caps w:val="false"/>
                <w:smallCaps w:val="false"/>
                <w:sz w:val="12"/>
              </w:rPr>
              <w:t>(9)</w:t>
            </w:r>
          </w:p>
        </w:tc>
      </w:tr>
      <w:tr>
        <w:trPr/>
        <w:tc>
          <w:tcPr>
            <w:tcW w:w="58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2022</w:t>
            </w:r>
          </w:p>
        </w:tc>
        <w:tc>
          <w:tcPr>
            <w:tcW w:w="146" w:type="dxa"/>
            <w:tcBorders/>
            <w:shd w:fill="CCEEFF" w:val="clear"/>
            <w:vAlign w:val="bottom"/>
          </w:tcPr>
          <w:p>
            <w:pPr>
              <w:pStyle w:val="TableContents"/>
              <w:spacing w:before="0" w:after="283"/>
              <w:rPr/>
            </w:pPr>
            <w:r>
              <w:rPr/>
              <w:t> </w:t>
            </w:r>
          </w:p>
        </w:tc>
        <w:tc>
          <w:tcPr>
            <w:tcW w:w="14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14,200,453</w:t>
            </w:r>
          </w:p>
        </w:tc>
        <w:tc>
          <w:tcPr>
            <w:tcW w:w="146" w:type="dxa"/>
            <w:tcBorders/>
            <w:shd w:fill="CCEEFF" w:val="clear"/>
            <w:vAlign w:val="bottom"/>
          </w:tcPr>
          <w:p>
            <w:pPr>
              <w:pStyle w:val="TableContents"/>
              <w:spacing w:before="0" w:after="283"/>
              <w:rPr/>
            </w:pPr>
            <w:r>
              <w:rPr/>
              <w:t> </w:t>
            </w:r>
          </w:p>
        </w:tc>
        <w:tc>
          <w:tcPr>
            <w:tcW w:w="138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(15,190,085</w:t>
            </w:r>
          </w:p>
        </w:tc>
        <w:tc>
          <w:tcPr>
            <w:tcW w:w="210"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4,499,671</w:t>
            </w:r>
          </w:p>
        </w:tc>
        <w:tc>
          <w:tcPr>
            <w:tcW w:w="146" w:type="dxa"/>
            <w:tcBorders/>
            <w:shd w:fill="CCEEFF" w:val="clear"/>
            <w:vAlign w:val="bottom"/>
          </w:tcPr>
          <w:p>
            <w:pPr>
              <w:pStyle w:val="TableContents"/>
              <w:spacing w:before="0" w:after="283"/>
              <w:rPr/>
            </w:pPr>
            <w:r>
              <w:rPr/>
              <w:t> </w:t>
            </w:r>
          </w:p>
        </w:tc>
        <w:tc>
          <w:tcPr>
            <w:tcW w:w="124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(4,899,823</w:t>
            </w:r>
          </w:p>
        </w:tc>
        <w:tc>
          <w:tcPr>
            <w:tcW w:w="200"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228.97</w:t>
            </w:r>
          </w:p>
        </w:tc>
        <w:tc>
          <w:tcPr>
            <w:tcW w:w="146" w:type="dxa"/>
            <w:tcBorders/>
            <w:shd w:fill="CCEEFF" w:val="clear"/>
            <w:vAlign w:val="bottom"/>
          </w:tcPr>
          <w:p>
            <w:pPr>
              <w:pStyle w:val="TableContents"/>
              <w:spacing w:before="0" w:after="283"/>
              <w:rPr/>
            </w:pPr>
            <w:r>
              <w:rPr/>
              <w:t> </w:t>
            </w:r>
          </w:p>
        </w:tc>
        <w:tc>
          <w:tcPr>
            <w:tcW w:w="16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132.79</w:t>
            </w:r>
          </w:p>
        </w:tc>
        <w:tc>
          <w:tcPr>
            <w:tcW w:w="146" w:type="dxa"/>
            <w:tcBorders/>
            <w:shd w:fill="CCEEFF" w:val="clear"/>
            <w:vAlign w:val="bottom"/>
          </w:tcPr>
          <w:p>
            <w:pPr>
              <w:pStyle w:val="TableContents"/>
              <w:spacing w:before="0" w:after="283"/>
              <w:rPr/>
            </w:pPr>
            <w:r>
              <w:rPr/>
              <w:t> </w:t>
            </w:r>
          </w:p>
        </w:tc>
        <w:tc>
          <w:tcPr>
            <w:tcW w:w="14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857,302,079</w:t>
            </w:r>
          </w:p>
        </w:tc>
        <w:tc>
          <w:tcPr>
            <w:tcW w:w="146"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4,417,356,061</w:t>
            </w:r>
          </w:p>
        </w:tc>
      </w:tr>
      <w:tr>
        <w:trPr/>
        <w:tc>
          <w:tcPr>
            <w:tcW w:w="58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2021</w:t>
            </w:r>
          </w:p>
        </w:tc>
        <w:tc>
          <w:tcPr>
            <w:tcW w:w="146" w:type="dxa"/>
            <w:tcBorders/>
            <w:shd w:fill="auto" w:val="clear"/>
            <w:vAlign w:val="bottom"/>
          </w:tcPr>
          <w:p>
            <w:pPr>
              <w:pStyle w:val="TableContents"/>
              <w:spacing w:before="0" w:after="283"/>
              <w:rPr/>
            </w:pPr>
            <w:r>
              <w:rPr/>
              <w:t> </w:t>
            </w:r>
          </w:p>
        </w:tc>
        <w:tc>
          <w:tcPr>
            <w:tcW w:w="14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14,203,211</w:t>
            </w:r>
          </w:p>
        </w:tc>
        <w:tc>
          <w:tcPr>
            <w:tcW w:w="146" w:type="dxa"/>
            <w:tcBorders/>
            <w:shd w:fill="auto" w:val="clear"/>
            <w:vAlign w:val="bottom"/>
          </w:tcPr>
          <w:p>
            <w:pPr>
              <w:pStyle w:val="TableContents"/>
              <w:spacing w:before="0" w:after="283"/>
              <w:rPr/>
            </w:pPr>
            <w:r>
              <w:rPr/>
              <w:t> </w:t>
            </w:r>
          </w:p>
        </w:tc>
        <w:tc>
          <w:tcPr>
            <w:tcW w:w="13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84,745,190</w:t>
            </w:r>
          </w:p>
        </w:tc>
        <w:tc>
          <w:tcPr>
            <w:tcW w:w="21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4,867,616</w:t>
            </w:r>
          </w:p>
        </w:tc>
        <w:tc>
          <w:tcPr>
            <w:tcW w:w="146"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27,685,473</w:t>
            </w:r>
          </w:p>
        </w:tc>
        <w:tc>
          <w:tcPr>
            <w:tcW w:w="20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336.64</w:t>
            </w:r>
          </w:p>
        </w:tc>
        <w:tc>
          <w:tcPr>
            <w:tcW w:w="146" w:type="dxa"/>
            <w:tcBorders/>
            <w:shd w:fill="auto" w:val="clear"/>
            <w:vAlign w:val="bottom"/>
          </w:tcPr>
          <w:p>
            <w:pPr>
              <w:pStyle w:val="TableContents"/>
              <w:spacing w:before="0" w:after="283"/>
              <w:rPr/>
            </w:pPr>
            <w:r>
              <w:rPr/>
              <w:t> </w:t>
            </w:r>
          </w:p>
        </w:tc>
        <w:tc>
          <w:tcPr>
            <w:tcW w:w="16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206.76</w:t>
            </w:r>
          </w:p>
        </w:tc>
        <w:tc>
          <w:tcPr>
            <w:tcW w:w="146" w:type="dxa"/>
            <w:tcBorders/>
            <w:shd w:fill="auto" w:val="clear"/>
            <w:vAlign w:val="bottom"/>
          </w:tcPr>
          <w:p>
            <w:pPr>
              <w:pStyle w:val="TableContents"/>
              <w:spacing w:before="0" w:after="283"/>
              <w:rPr/>
            </w:pPr>
            <w:r>
              <w:rPr/>
              <w:t> </w:t>
            </w:r>
          </w:p>
        </w:tc>
        <w:tc>
          <w:tcPr>
            <w:tcW w:w="14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606,792,011</w:t>
            </w:r>
          </w:p>
        </w:tc>
        <w:tc>
          <w:tcPr>
            <w:tcW w:w="146"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3,342,217,533</w:t>
            </w:r>
          </w:p>
        </w:tc>
      </w:tr>
      <w:tr>
        <w:trPr/>
        <w:tc>
          <w:tcPr>
            <w:tcW w:w="58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2020</w:t>
            </w:r>
          </w:p>
        </w:tc>
        <w:tc>
          <w:tcPr>
            <w:tcW w:w="146" w:type="dxa"/>
            <w:tcBorders/>
            <w:shd w:fill="CCEEFF" w:val="clear"/>
            <w:vAlign w:val="bottom"/>
          </w:tcPr>
          <w:p>
            <w:pPr>
              <w:pStyle w:val="TableContents"/>
              <w:spacing w:before="0" w:after="283"/>
              <w:rPr/>
            </w:pPr>
            <w:r>
              <w:rPr/>
              <w:t> </w:t>
            </w:r>
          </w:p>
        </w:tc>
        <w:tc>
          <w:tcPr>
            <w:tcW w:w="14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10,650,714</w:t>
            </w:r>
          </w:p>
        </w:tc>
        <w:tc>
          <w:tcPr>
            <w:tcW w:w="146" w:type="dxa"/>
            <w:tcBorders/>
            <w:shd w:fill="CCEEFF" w:val="clear"/>
            <w:vAlign w:val="bottom"/>
          </w:tcPr>
          <w:p>
            <w:pPr>
              <w:pStyle w:val="TableContents"/>
              <w:spacing w:before="0" w:after="283"/>
              <w:rPr/>
            </w:pPr>
            <w:r>
              <w:rPr/>
              <w:t> </w:t>
            </w:r>
          </w:p>
        </w:tc>
        <w:tc>
          <w:tcPr>
            <w:tcW w:w="13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24,460,298</w:t>
            </w:r>
          </w:p>
        </w:tc>
        <w:tc>
          <w:tcPr>
            <w:tcW w:w="21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3,501,770</w:t>
            </w:r>
          </w:p>
        </w:tc>
        <w:tc>
          <w:tcPr>
            <w:tcW w:w="146" w:type="dxa"/>
            <w:tcBorders/>
            <w:shd w:fill="CCEEFF" w:val="clear"/>
            <w:vAlign w:val="bottom"/>
          </w:tcPr>
          <w:p>
            <w:pPr>
              <w:pStyle w:val="TableContents"/>
              <w:spacing w:before="0" w:after="283"/>
              <w:rPr/>
            </w:pPr>
            <w:r>
              <w:rPr/>
              <w:t> </w:t>
            </w:r>
          </w:p>
        </w:tc>
        <w:tc>
          <w:tcPr>
            <w:tcW w:w="12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8,120,795</w:t>
            </w:r>
          </w:p>
        </w:tc>
        <w:tc>
          <w:tcPr>
            <w:tcW w:w="20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139.13</w:t>
            </w:r>
          </w:p>
        </w:tc>
        <w:tc>
          <w:tcPr>
            <w:tcW w:w="146" w:type="dxa"/>
            <w:tcBorders/>
            <w:shd w:fill="CCEEFF" w:val="clear"/>
            <w:vAlign w:val="bottom"/>
          </w:tcPr>
          <w:p>
            <w:pPr>
              <w:pStyle w:val="TableContents"/>
              <w:spacing w:before="0" w:after="283"/>
              <w:rPr/>
            </w:pPr>
            <w:r>
              <w:rPr/>
              <w:t> </w:t>
            </w:r>
          </w:p>
        </w:tc>
        <w:tc>
          <w:tcPr>
            <w:tcW w:w="16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149.98</w:t>
            </w:r>
          </w:p>
        </w:tc>
        <w:tc>
          <w:tcPr>
            <w:tcW w:w="146" w:type="dxa"/>
            <w:tcBorders/>
            <w:shd w:fill="CCEEFF" w:val="clear"/>
            <w:vAlign w:val="bottom"/>
          </w:tcPr>
          <w:p>
            <w:pPr>
              <w:pStyle w:val="TableContents"/>
              <w:spacing w:before="0" w:after="283"/>
              <w:rPr/>
            </w:pPr>
            <w:r>
              <w:rPr/>
              <w:t> </w:t>
            </w:r>
          </w:p>
        </w:tc>
        <w:tc>
          <w:tcPr>
            <w:tcW w:w="14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488,482,961</w:t>
            </w:r>
          </w:p>
        </w:tc>
        <w:tc>
          <w:tcPr>
            <w:tcW w:w="146"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2,594,367,174</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dollar amounts reported in column (b) are the amounts of total compensation reported for our PEO for each corresponding year in the “Total” column of the Summary Compensation Table. Our PEO for fiscal years 2022, 2021 and 2020 was Ken Xie.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dollar amounts reported in column (c) represent the amount of “compensation actually paid” (which is sometimes referred to as the “CAP”) for our PEO for the corresponding fiscal year, as calculated in accordance with Item 402(v) of Regulation S-K and as further described below.</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dollar amounts reported in column (d) represent the average of the amounts reported for our non-PEO NEOs as a group in the “Total” column of the Summary Compensation Table for the corresponding year. Our non-PEO NEOs included for purposes of such calculations are as follows: (i) for fiscal year 2022, Michael Xie, Keith Jensen, Patrice Perche and John Whittle; (ii) for fiscal year 2021, Michael Xie, Keith Jensen and John Whittle; and (iii) for fiscal year 2020, Michael Xie, Keith Jensen and John Whittle.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dollar amounts reported in column (e) represent the average amount of “compensation actually paid” to our non-PEO NEOs specified in footnote (3) as a group, as further described below.</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calculation of “compensation actually paid” uses the “Total” compensation reported in the Summary Compensation Table for the applicable fiscal year, with certain adjustments (i.e., additions or subtractions) with respect to the fair value of equity awards. 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methodology used to develop the valuation assumptions as of each applicable measurement date is consistent with those disclosed at the time of grant.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40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reconciling information for the amounts reported in the Summary Compensation Table for our PEO for each of the years set forth below to the amount of “compensation actually paid.”</w:t>
      </w:r>
    </w:p>
    <w:tbl>
      <w:tblPr>
        <w:tblW w:w="10205" w:type="dxa"/>
        <w:jc w:val="left"/>
        <w:tblInd w:w="0" w:type="dxa"/>
        <w:tblCellMar>
          <w:top w:w="0" w:type="dxa"/>
          <w:left w:w="0" w:type="dxa"/>
          <w:bottom w:w="0" w:type="dxa"/>
          <w:right w:w="0" w:type="dxa"/>
        </w:tblCellMar>
      </w:tblPr>
      <w:tblGrid>
        <w:gridCol w:w="124"/>
        <w:gridCol w:w="146"/>
        <w:gridCol w:w="583"/>
        <w:gridCol w:w="146"/>
        <w:gridCol w:w="1266"/>
        <w:gridCol w:w="146"/>
        <w:gridCol w:w="2980"/>
        <w:gridCol w:w="146"/>
        <w:gridCol w:w="2495"/>
        <w:gridCol w:w="358"/>
        <w:gridCol w:w="146"/>
        <w:gridCol w:w="1426"/>
        <w:gridCol w:w="243"/>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shd w:fill="auto" w:val="clear"/>
            <w:vAlign w:val="bottom"/>
          </w:tcPr>
          <w:p>
            <w:pPr>
              <w:pStyle w:val="TableContents"/>
              <w:spacing w:before="0" w:after="283"/>
              <w:rPr/>
            </w:pPr>
            <w:r>
              <w:rPr/>
              <w:t> </w:t>
            </w:r>
          </w:p>
        </w:tc>
        <w:tc>
          <w:tcPr>
            <w:tcW w:w="126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SCT Total ($)</w:t>
            </w:r>
          </w:p>
        </w:tc>
        <w:tc>
          <w:tcPr>
            <w:tcW w:w="146" w:type="dxa"/>
            <w:tcBorders/>
            <w:shd w:fill="auto" w:val="clear"/>
            <w:vAlign w:val="bottom"/>
          </w:tcPr>
          <w:p>
            <w:pPr>
              <w:pStyle w:val="TableContents"/>
              <w:spacing w:before="0" w:after="283"/>
              <w:rPr/>
            </w:pPr>
            <w:r>
              <w:rPr/>
              <w:t> </w:t>
            </w:r>
          </w:p>
        </w:tc>
        <w:tc>
          <w:tcPr>
            <w:tcW w:w="2980"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Deductions of Equity Value from SCT Total ($)</w:t>
            </w:r>
          </w:p>
        </w:tc>
        <w:tc>
          <w:tcPr>
            <w:tcW w:w="146" w:type="dxa"/>
            <w:tcBorders/>
            <w:shd w:fill="auto" w:val="clear"/>
            <w:vAlign w:val="bottom"/>
          </w:tcPr>
          <w:p>
            <w:pPr>
              <w:pStyle w:val="TableContents"/>
              <w:spacing w:before="0" w:after="283"/>
              <w:rPr/>
            </w:pPr>
            <w:r>
              <w:rPr/>
              <w:t> </w:t>
            </w:r>
          </w:p>
        </w:tc>
        <w:tc>
          <w:tcPr>
            <w:tcW w:w="2853"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Additions of Equity Value to SCT Total ($)</w:t>
            </w:r>
          </w:p>
        </w:tc>
        <w:tc>
          <w:tcPr>
            <w:tcW w:w="146" w:type="dxa"/>
            <w:tcBorders/>
            <w:shd w:fill="auto" w:val="clear"/>
            <w:vAlign w:val="bottom"/>
          </w:tcPr>
          <w:p>
            <w:pPr>
              <w:pStyle w:val="TableContents"/>
              <w:spacing w:before="0" w:after="283"/>
              <w:rPr/>
            </w:pPr>
            <w:r>
              <w:rPr/>
              <w:t> </w:t>
            </w:r>
          </w:p>
        </w:tc>
        <w:tc>
          <w:tcPr>
            <w:tcW w:w="1669"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CAP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8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6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980"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w:t>
            </w:r>
          </w:p>
        </w:tc>
        <w:tc>
          <w:tcPr>
            <w:tcW w:w="146" w:type="dxa"/>
            <w:tcBorders/>
            <w:shd w:fill="auto" w:val="clear"/>
            <w:vAlign w:val="bottom"/>
          </w:tcPr>
          <w:p>
            <w:pPr>
              <w:pStyle w:val="TableContents"/>
              <w:spacing w:before="0" w:after="283"/>
              <w:rPr/>
            </w:pPr>
            <w:r>
              <w:rPr/>
              <w:t> </w:t>
            </w:r>
          </w:p>
        </w:tc>
        <w:tc>
          <w:tcPr>
            <w:tcW w:w="2853"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(ii)</w:t>
            </w:r>
          </w:p>
        </w:tc>
        <w:tc>
          <w:tcPr>
            <w:tcW w:w="146" w:type="dxa"/>
            <w:tcBorders/>
            <w:shd w:fill="auto" w:val="clear"/>
            <w:vAlign w:val="bottom"/>
          </w:tcPr>
          <w:p>
            <w:pPr>
              <w:pStyle w:val="TableContents"/>
              <w:spacing w:before="0" w:after="283"/>
              <w:rPr/>
            </w:pPr>
            <w:r>
              <w:rPr/>
              <w:t> </w:t>
            </w:r>
          </w:p>
        </w:tc>
        <w:tc>
          <w:tcPr>
            <w:tcW w:w="1669" w:type="dxa"/>
            <w:gridSpan w:val="2"/>
            <w:tcBorders/>
            <w:shd w:fill="auto" w:val="clear"/>
            <w:vAlign w:val="bottom"/>
          </w:tcPr>
          <w:p>
            <w:pPr>
              <w:pStyle w:val="TableContents"/>
              <w:spacing w:before="0" w:after="283"/>
              <w:rPr/>
            </w:pPr>
            <w:r>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83"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2022</w:t>
            </w:r>
          </w:p>
        </w:tc>
        <w:tc>
          <w:tcPr>
            <w:tcW w:w="146" w:type="dxa"/>
            <w:tcBorders/>
            <w:shd w:fill="CCEEFF" w:val="clear"/>
            <w:vAlign w:val="bottom"/>
          </w:tcPr>
          <w:p>
            <w:pPr>
              <w:pStyle w:val="TableContents"/>
              <w:spacing w:before="0" w:after="283"/>
              <w:rPr/>
            </w:pPr>
            <w:r>
              <w:rPr/>
              <w:t> </w:t>
            </w:r>
          </w:p>
        </w:tc>
        <w:tc>
          <w:tcPr>
            <w:tcW w:w="12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14,200,453</w:t>
            </w:r>
          </w:p>
        </w:tc>
        <w:tc>
          <w:tcPr>
            <w:tcW w:w="146" w:type="dxa"/>
            <w:tcBorders/>
            <w:shd w:fill="CCEEFF" w:val="clear"/>
            <w:vAlign w:val="bottom"/>
          </w:tcPr>
          <w:p>
            <w:pPr>
              <w:pStyle w:val="TableContents"/>
              <w:spacing w:before="0" w:after="283"/>
              <w:rPr/>
            </w:pPr>
            <w:r>
              <w:rPr/>
              <w:t> </w:t>
            </w:r>
          </w:p>
        </w:tc>
        <w:tc>
          <w:tcPr>
            <w:tcW w:w="298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(12,426,112)</w:t>
            </w:r>
          </w:p>
        </w:tc>
        <w:tc>
          <w:tcPr>
            <w:tcW w:w="146" w:type="dxa"/>
            <w:tcBorders/>
            <w:shd w:fill="CCEEFF" w:val="clear"/>
            <w:vAlign w:val="bottom"/>
          </w:tcPr>
          <w:p>
            <w:pPr>
              <w:pStyle w:val="TableContents"/>
              <w:spacing w:before="0" w:after="283"/>
              <w:rPr/>
            </w:pPr>
            <w:r>
              <w:rPr/>
              <w:t> </w:t>
            </w:r>
          </w:p>
        </w:tc>
        <w:tc>
          <w:tcPr>
            <w:tcW w:w="2495"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(16,964,426</w:t>
            </w:r>
          </w:p>
        </w:tc>
        <w:tc>
          <w:tcPr>
            <w:tcW w:w="358"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1426" w:type="dxa"/>
            <w:tcBorders/>
            <w:shd w:fill="CCEEFF" w:val="clear"/>
            <w:vAlign w:val="bottom"/>
          </w:tcPr>
          <w:p>
            <w:pPr>
              <w:pStyle w:val="TableContents"/>
              <w:keepNext w:val="false"/>
              <w:widowControl/>
              <w:pBdr/>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(15,190,085</w:t>
            </w:r>
          </w:p>
        </w:tc>
        <w:tc>
          <w:tcPr>
            <w:tcW w:w="243" w:type="dxa"/>
            <w:tcBorders/>
            <w:shd w:fill="CCEEFF"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83"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2021</w:t>
            </w:r>
          </w:p>
        </w:tc>
        <w:tc>
          <w:tcPr>
            <w:tcW w:w="146" w:type="dxa"/>
            <w:tcBorders/>
            <w:shd w:fill="auto" w:val="clear"/>
            <w:vAlign w:val="bottom"/>
          </w:tcPr>
          <w:p>
            <w:pPr>
              <w:pStyle w:val="TableContents"/>
              <w:spacing w:before="0" w:after="283"/>
              <w:rPr/>
            </w:pPr>
            <w:r>
              <w:rPr/>
              <w:t> </w:t>
            </w:r>
          </w:p>
        </w:tc>
        <w:tc>
          <w:tcPr>
            <w:tcW w:w="12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14,203,211</w:t>
            </w:r>
          </w:p>
        </w:tc>
        <w:tc>
          <w:tcPr>
            <w:tcW w:w="146" w:type="dxa"/>
            <w:tcBorders/>
            <w:shd w:fill="auto" w:val="clear"/>
            <w:vAlign w:val="bottom"/>
          </w:tcPr>
          <w:p>
            <w:pPr>
              <w:pStyle w:val="TableContents"/>
              <w:spacing w:before="0" w:after="283"/>
              <w:rPr/>
            </w:pPr>
            <w:r>
              <w:rPr/>
              <w:t> </w:t>
            </w:r>
          </w:p>
        </w:tc>
        <w:tc>
          <w:tcPr>
            <w:tcW w:w="298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(12,381,260)</w:t>
            </w:r>
          </w:p>
        </w:tc>
        <w:tc>
          <w:tcPr>
            <w:tcW w:w="146" w:type="dxa"/>
            <w:tcBorders/>
            <w:shd w:fill="auto" w:val="clear"/>
            <w:vAlign w:val="bottom"/>
          </w:tcPr>
          <w:p>
            <w:pPr>
              <w:pStyle w:val="TableContents"/>
              <w:spacing w:before="0" w:after="283"/>
              <w:rPr/>
            </w:pPr>
            <w:r>
              <w:rPr/>
              <w:t> </w:t>
            </w:r>
          </w:p>
        </w:tc>
        <w:tc>
          <w:tcPr>
            <w:tcW w:w="249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82,923,239</w:t>
            </w:r>
          </w:p>
        </w:tc>
        <w:tc>
          <w:tcPr>
            <w:tcW w:w="35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42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84,745,190</w:t>
            </w:r>
          </w:p>
        </w:tc>
        <w:tc>
          <w:tcPr>
            <w:tcW w:w="24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83"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2020</w:t>
            </w:r>
          </w:p>
        </w:tc>
        <w:tc>
          <w:tcPr>
            <w:tcW w:w="146" w:type="dxa"/>
            <w:tcBorders/>
            <w:shd w:fill="CCEEFF" w:val="clear"/>
            <w:vAlign w:val="bottom"/>
          </w:tcPr>
          <w:p>
            <w:pPr>
              <w:pStyle w:val="TableContents"/>
              <w:spacing w:before="0" w:after="283"/>
              <w:rPr/>
            </w:pPr>
            <w:r>
              <w:rPr/>
              <w:t> </w:t>
            </w:r>
          </w:p>
        </w:tc>
        <w:tc>
          <w:tcPr>
            <w:tcW w:w="12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10,650,714</w:t>
            </w:r>
          </w:p>
        </w:tc>
        <w:tc>
          <w:tcPr>
            <w:tcW w:w="146" w:type="dxa"/>
            <w:tcBorders/>
            <w:shd w:fill="CCEEFF" w:val="clear"/>
            <w:vAlign w:val="bottom"/>
          </w:tcPr>
          <w:p>
            <w:pPr>
              <w:pStyle w:val="TableContents"/>
              <w:spacing w:before="0" w:after="283"/>
              <w:rPr/>
            </w:pPr>
            <w:r>
              <w:rPr/>
              <w:t> </w:t>
            </w:r>
          </w:p>
        </w:tc>
        <w:tc>
          <w:tcPr>
            <w:tcW w:w="298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(8,874,468)</w:t>
            </w:r>
          </w:p>
        </w:tc>
        <w:tc>
          <w:tcPr>
            <w:tcW w:w="146" w:type="dxa"/>
            <w:tcBorders/>
            <w:shd w:fill="CCEEFF" w:val="clear"/>
            <w:vAlign w:val="bottom"/>
          </w:tcPr>
          <w:p>
            <w:pPr>
              <w:pStyle w:val="TableContents"/>
              <w:spacing w:before="0" w:after="283"/>
              <w:rPr/>
            </w:pPr>
            <w:r>
              <w:rPr/>
              <w:t> </w:t>
            </w:r>
          </w:p>
        </w:tc>
        <w:tc>
          <w:tcPr>
            <w:tcW w:w="249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22,684,052</w:t>
            </w:r>
          </w:p>
        </w:tc>
        <w:tc>
          <w:tcPr>
            <w:tcW w:w="35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42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24,460,298</w:t>
            </w:r>
          </w:p>
        </w:tc>
        <w:tc>
          <w:tcPr>
            <w:tcW w:w="24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40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reconciling information for the average amounts reported in the Summary Compensation Table for our non-PEO NEOs for each of the years set forth below to the amount of “compensation actually paid.”</w:t>
      </w:r>
    </w:p>
    <w:tbl>
      <w:tblPr>
        <w:tblW w:w="10205" w:type="dxa"/>
        <w:jc w:val="left"/>
        <w:tblInd w:w="0" w:type="dxa"/>
        <w:tblCellMar>
          <w:top w:w="0" w:type="dxa"/>
          <w:left w:w="0" w:type="dxa"/>
          <w:bottom w:w="0" w:type="dxa"/>
          <w:right w:w="0" w:type="dxa"/>
        </w:tblCellMar>
      </w:tblPr>
      <w:tblGrid>
        <w:gridCol w:w="124"/>
        <w:gridCol w:w="146"/>
        <w:gridCol w:w="588"/>
        <w:gridCol w:w="146"/>
        <w:gridCol w:w="1220"/>
        <w:gridCol w:w="146"/>
        <w:gridCol w:w="3052"/>
        <w:gridCol w:w="146"/>
        <w:gridCol w:w="2526"/>
        <w:gridCol w:w="385"/>
        <w:gridCol w:w="146"/>
        <w:gridCol w:w="1336"/>
        <w:gridCol w:w="244"/>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58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SCT Total ($)</w:t>
            </w:r>
          </w:p>
        </w:tc>
        <w:tc>
          <w:tcPr>
            <w:tcW w:w="146" w:type="dxa"/>
            <w:tcBorders/>
            <w:shd w:fill="auto" w:val="clear"/>
            <w:vAlign w:val="bottom"/>
          </w:tcPr>
          <w:p>
            <w:pPr>
              <w:pStyle w:val="TableContents"/>
              <w:spacing w:before="0" w:after="283"/>
              <w:rPr/>
            </w:pPr>
            <w:r>
              <w:rPr/>
              <w:t> </w:t>
            </w:r>
          </w:p>
        </w:tc>
        <w:tc>
          <w:tcPr>
            <w:tcW w:w="3052"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Deductions of Equity Value from SCT Total ($)</w:t>
            </w:r>
          </w:p>
        </w:tc>
        <w:tc>
          <w:tcPr>
            <w:tcW w:w="146" w:type="dxa"/>
            <w:tcBorders/>
            <w:shd w:fill="auto" w:val="clear"/>
            <w:vAlign w:val="bottom"/>
          </w:tcPr>
          <w:p>
            <w:pPr>
              <w:pStyle w:val="TableContents"/>
              <w:spacing w:before="0" w:after="283"/>
              <w:rPr/>
            </w:pPr>
            <w:r>
              <w:rPr/>
              <w:t> </w:t>
            </w:r>
          </w:p>
        </w:tc>
        <w:tc>
          <w:tcPr>
            <w:tcW w:w="291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Additions of Equity Value to SCT Total ($)</w:t>
            </w:r>
          </w:p>
        </w:tc>
        <w:tc>
          <w:tcPr>
            <w:tcW w:w="146"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CAP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8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052"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w:t>
            </w:r>
          </w:p>
        </w:tc>
        <w:tc>
          <w:tcPr>
            <w:tcW w:w="146" w:type="dxa"/>
            <w:tcBorders/>
            <w:shd w:fill="auto" w:val="clear"/>
            <w:vAlign w:val="bottom"/>
          </w:tcPr>
          <w:p>
            <w:pPr>
              <w:pStyle w:val="TableContents"/>
              <w:spacing w:before="0" w:after="283"/>
              <w:rPr/>
            </w:pPr>
            <w:r>
              <w:rPr/>
              <w:t> </w:t>
            </w:r>
          </w:p>
        </w:tc>
        <w:tc>
          <w:tcPr>
            <w:tcW w:w="291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(ii)</w:t>
            </w:r>
          </w:p>
        </w:tc>
        <w:tc>
          <w:tcPr>
            <w:tcW w:w="146"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rPr/>
            </w:pPr>
            <w:r>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88"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2022</w:t>
            </w:r>
          </w:p>
        </w:tc>
        <w:tc>
          <w:tcPr>
            <w:tcW w:w="146"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4,499,671</w:t>
            </w:r>
          </w:p>
        </w:tc>
        <w:tc>
          <w:tcPr>
            <w:tcW w:w="146" w:type="dxa"/>
            <w:tcBorders/>
            <w:shd w:fill="CCEEFF" w:val="clear"/>
            <w:vAlign w:val="bottom"/>
          </w:tcPr>
          <w:p>
            <w:pPr>
              <w:pStyle w:val="TableContents"/>
              <w:spacing w:before="0" w:after="283"/>
              <w:rPr/>
            </w:pPr>
            <w:r>
              <w:rPr/>
              <w:t> </w:t>
            </w:r>
          </w:p>
        </w:tc>
        <w:tc>
          <w:tcPr>
            <w:tcW w:w="30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(3,610,110)</w:t>
            </w:r>
          </w:p>
        </w:tc>
        <w:tc>
          <w:tcPr>
            <w:tcW w:w="146" w:type="dxa"/>
            <w:tcBorders/>
            <w:shd w:fill="CCEEFF" w:val="clear"/>
            <w:vAlign w:val="bottom"/>
          </w:tcPr>
          <w:p>
            <w:pPr>
              <w:pStyle w:val="TableContents"/>
              <w:spacing w:before="0" w:after="283"/>
              <w:rPr/>
            </w:pPr>
            <w:r>
              <w:rPr/>
              <w:t> </w:t>
            </w:r>
          </w:p>
        </w:tc>
        <w:tc>
          <w:tcPr>
            <w:tcW w:w="2526"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(5,789,384</w:t>
            </w:r>
          </w:p>
        </w:tc>
        <w:tc>
          <w:tcPr>
            <w:tcW w:w="385"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keepNext w:val="false"/>
              <w:widowControl/>
              <w:pBdr/>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(4,899,823</w:t>
            </w:r>
          </w:p>
        </w:tc>
        <w:tc>
          <w:tcPr>
            <w:tcW w:w="244" w:type="dxa"/>
            <w:tcBorders/>
            <w:shd w:fill="CCEEFF"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88"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2021</w:t>
            </w:r>
          </w:p>
        </w:tc>
        <w:tc>
          <w:tcPr>
            <w:tcW w:w="146"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4,867,616</w:t>
            </w:r>
          </w:p>
        </w:tc>
        <w:tc>
          <w:tcPr>
            <w:tcW w:w="146" w:type="dxa"/>
            <w:tcBorders/>
            <w:shd w:fill="auto" w:val="clear"/>
            <w:vAlign w:val="bottom"/>
          </w:tcPr>
          <w:p>
            <w:pPr>
              <w:pStyle w:val="TableContents"/>
              <w:spacing w:before="0" w:after="283"/>
              <w:rPr/>
            </w:pPr>
            <w:r>
              <w:rPr/>
              <w:t> </w:t>
            </w:r>
          </w:p>
        </w:tc>
        <w:tc>
          <w:tcPr>
            <w:tcW w:w="30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(4,038,552)</w:t>
            </w:r>
          </w:p>
        </w:tc>
        <w:tc>
          <w:tcPr>
            <w:tcW w:w="146" w:type="dxa"/>
            <w:tcBorders/>
            <w:shd w:fill="auto" w:val="clear"/>
            <w:vAlign w:val="bottom"/>
          </w:tcPr>
          <w:p>
            <w:pPr>
              <w:pStyle w:val="TableContents"/>
              <w:spacing w:before="0" w:after="283"/>
              <w:rPr/>
            </w:pPr>
            <w:r>
              <w:rPr/>
              <w:t> </w:t>
            </w:r>
          </w:p>
        </w:tc>
        <w:tc>
          <w:tcPr>
            <w:tcW w:w="252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26,856,409</w:t>
            </w:r>
          </w:p>
        </w:tc>
        <w:tc>
          <w:tcPr>
            <w:tcW w:w="38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27,685,473</w:t>
            </w:r>
          </w:p>
        </w:tc>
        <w:tc>
          <w:tcPr>
            <w:tcW w:w="24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88"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2020</w:t>
            </w:r>
          </w:p>
        </w:tc>
        <w:tc>
          <w:tcPr>
            <w:tcW w:w="146"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3,501,770</w:t>
            </w:r>
          </w:p>
        </w:tc>
        <w:tc>
          <w:tcPr>
            <w:tcW w:w="146" w:type="dxa"/>
            <w:tcBorders/>
            <w:shd w:fill="CCEEFF" w:val="clear"/>
            <w:vAlign w:val="bottom"/>
          </w:tcPr>
          <w:p>
            <w:pPr>
              <w:pStyle w:val="TableContents"/>
              <w:spacing w:before="0" w:after="283"/>
              <w:rPr/>
            </w:pPr>
            <w:r>
              <w:rPr/>
              <w:t> </w:t>
            </w:r>
          </w:p>
        </w:tc>
        <w:tc>
          <w:tcPr>
            <w:tcW w:w="30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(2,721,204)</w:t>
            </w:r>
          </w:p>
        </w:tc>
        <w:tc>
          <w:tcPr>
            <w:tcW w:w="146" w:type="dxa"/>
            <w:tcBorders/>
            <w:shd w:fill="CCEEFF" w:val="clear"/>
            <w:vAlign w:val="bottom"/>
          </w:tcPr>
          <w:p>
            <w:pPr>
              <w:pStyle w:val="TableContents"/>
              <w:spacing w:before="0" w:after="283"/>
              <w:rPr/>
            </w:pPr>
            <w:r>
              <w:rPr/>
              <w:t> </w:t>
            </w:r>
          </w:p>
        </w:tc>
        <w:tc>
          <w:tcPr>
            <w:tcW w:w="252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7,340,228</w:t>
            </w:r>
          </w:p>
        </w:tc>
        <w:tc>
          <w:tcPr>
            <w:tcW w:w="38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8,120,795</w:t>
            </w:r>
          </w:p>
        </w:tc>
        <w:tc>
          <w:tcPr>
            <w:tcW w:w="24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dollar amounts represent the grant date fair value of equity-based awards granted each year to our PEO, and the average grant date fair value of equity-based awards granted each year for our non-PEO NEOs, as reported in the “Stock Awards” and “Option Awards” columns of the Summary Compensation Table for fiscal years 2022, 2021 and 2020.</w:t>
      </w:r>
    </w:p>
    <w:p>
      <w:pPr>
        <w:pStyle w:val="TextBody"/>
        <w:keepNext w:val="false"/>
        <w:pageBreakBefore w:val="false"/>
        <w:widowControl/>
        <w:pBdr/>
        <w:spacing w:before="8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dollar amounts reflect the value of equity-based awards granted to our PEO, and the average value of the equity-based awards for our non-PEO NEOs, calculated in accordance with the methodology contained in the SEC’s rules for determining CAP for each year shown. The equity-based awards component of CAP for fiscal years 2022, 2021 and 2020 is detailed in the supplemental table below.</w:t>
      </w:r>
    </w:p>
    <w:p>
      <w:pPr>
        <w:pStyle w:val="TextBody"/>
        <w:keepNext w:val="false"/>
        <w:pageBreakBefore w:val="false"/>
        <w:widowControl/>
        <w:pBdr/>
        <w:spacing w:before="160" w:after="283"/>
        <w:ind w:left="40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illustrates the calculations described in this footnote (5) with respect to the equity component of our PEO’s CAP for fiscal years 2022, 2021 and 2020:</w:t>
      </w:r>
    </w:p>
    <w:tbl>
      <w:tblPr>
        <w:tblW w:w="10258" w:type="dxa"/>
        <w:jc w:val="left"/>
        <w:tblInd w:w="0" w:type="dxa"/>
        <w:tblCellMar>
          <w:top w:w="0" w:type="dxa"/>
          <w:left w:w="0" w:type="dxa"/>
          <w:bottom w:w="0" w:type="dxa"/>
          <w:right w:w="0" w:type="dxa"/>
        </w:tblCellMar>
      </w:tblPr>
      <w:tblGrid>
        <w:gridCol w:w="124"/>
        <w:gridCol w:w="146"/>
        <w:gridCol w:w="511"/>
        <w:gridCol w:w="146"/>
        <w:gridCol w:w="1036"/>
        <w:gridCol w:w="146"/>
        <w:gridCol w:w="1096"/>
        <w:gridCol w:w="166"/>
        <w:gridCol w:w="146"/>
        <w:gridCol w:w="841"/>
        <w:gridCol w:w="146"/>
        <w:gridCol w:w="1096"/>
        <w:gridCol w:w="166"/>
        <w:gridCol w:w="146"/>
        <w:gridCol w:w="1126"/>
        <w:gridCol w:w="146"/>
        <w:gridCol w:w="1441"/>
        <w:gridCol w:w="146"/>
        <w:gridCol w:w="1261"/>
        <w:gridCol w:w="226"/>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 End Fair Value of Equity Awards Granted During Year that Remained Unvested as of Last Day of Year ($)</w:t>
            </w:r>
          </w:p>
        </w:tc>
        <w:tc>
          <w:tcPr>
            <w:tcW w:w="146" w:type="dxa"/>
            <w:tcBorders/>
            <w:shd w:fill="auto" w:val="clear"/>
            <w:vAlign w:val="bottom"/>
          </w:tcPr>
          <w:p>
            <w:pPr>
              <w:pStyle w:val="TableContents"/>
              <w:spacing w:before="0" w:after="283"/>
              <w:rPr/>
            </w:pPr>
            <w:r>
              <w:rPr/>
              <w:t> </w:t>
            </w:r>
          </w:p>
        </w:tc>
        <w:tc>
          <w:tcPr>
            <w:tcW w:w="126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 over Year Change in Fair Value from Last Day of Prior Year to Last Day of Year of Equity Awards Granted in Prior Years that remained Unvested as of Last Day of Year ($)</w:t>
            </w:r>
          </w:p>
        </w:tc>
        <w:tc>
          <w:tcPr>
            <w:tcW w:w="146"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Fair Value as of Vesting Date of Equity Awards Granted During Year and Vested in the Year ($)</w:t>
            </w:r>
          </w:p>
        </w:tc>
        <w:tc>
          <w:tcPr>
            <w:tcW w:w="146" w:type="dxa"/>
            <w:tcBorders/>
            <w:shd w:fill="auto" w:val="clear"/>
            <w:vAlign w:val="bottom"/>
          </w:tcPr>
          <w:p>
            <w:pPr>
              <w:pStyle w:val="TableContents"/>
              <w:spacing w:before="0" w:after="283"/>
              <w:rPr/>
            </w:pPr>
            <w:r>
              <w:rPr/>
              <w:t> </w:t>
            </w:r>
          </w:p>
        </w:tc>
        <w:tc>
          <w:tcPr>
            <w:tcW w:w="126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 over Year Change in Fair Value from Last Day of Prior Year to Vesting Date of Equity Awards Granted in Prior Years that Vested in the Year ($)</w:t>
            </w:r>
          </w:p>
        </w:tc>
        <w:tc>
          <w:tcPr>
            <w:tcW w:w="146" w:type="dxa"/>
            <w:tcBorders/>
            <w:shd w:fill="auto" w:val="clear"/>
            <w:vAlign w:val="bottom"/>
          </w:tcPr>
          <w:p>
            <w:pPr>
              <w:pStyle w:val="TableContents"/>
              <w:spacing w:before="0" w:after="283"/>
              <w:rPr/>
            </w:pPr>
            <w:r>
              <w:rPr/>
              <w:t> </w:t>
            </w:r>
          </w:p>
        </w:tc>
        <w:tc>
          <w:tcPr>
            <w:tcW w:w="112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Fair Value at the End of the Prior Year of Equity Awards that Failed to Meet Vesting Conditions in the Year ($)</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Value of Dividends or other Earnings Paid on Stock or Option Awards not Otherwise Reflected in Fair Value or Total Compensation ($)</w:t>
            </w:r>
          </w:p>
        </w:tc>
        <w:tc>
          <w:tcPr>
            <w:tcW w:w="146" w:type="dxa"/>
            <w:tcBorders/>
            <w:shd w:fill="auto" w:val="clear"/>
            <w:vAlign w:val="bottom"/>
          </w:tcPr>
          <w:p>
            <w:pPr>
              <w:pStyle w:val="TableContents"/>
              <w:spacing w:before="0" w:after="283"/>
              <w:rPr/>
            </w:pPr>
            <w:r>
              <w:rPr/>
              <w:t> </w:t>
            </w:r>
          </w:p>
        </w:tc>
        <w:tc>
          <w:tcPr>
            <w:tcW w:w="148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Equity Award Adjustments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1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w:t>
            </w:r>
          </w:p>
        </w:tc>
        <w:tc>
          <w:tcPr>
            <w:tcW w:w="146" w:type="dxa"/>
            <w:tcBorders/>
            <w:shd w:fill="auto" w:val="clear"/>
            <w:vAlign w:val="bottom"/>
          </w:tcPr>
          <w:p>
            <w:pPr>
              <w:pStyle w:val="TableContents"/>
              <w:spacing w:before="0" w:after="283"/>
              <w:rPr/>
            </w:pPr>
            <w:r>
              <w:rPr/>
              <w:t> </w:t>
            </w:r>
          </w:p>
        </w:tc>
        <w:tc>
          <w:tcPr>
            <w:tcW w:w="126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(ii)</w:t>
            </w:r>
          </w:p>
        </w:tc>
        <w:tc>
          <w:tcPr>
            <w:tcW w:w="146"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(iii)</w:t>
            </w:r>
          </w:p>
        </w:tc>
        <w:tc>
          <w:tcPr>
            <w:tcW w:w="146" w:type="dxa"/>
            <w:tcBorders/>
            <w:shd w:fill="auto" w:val="clear"/>
            <w:vAlign w:val="bottom"/>
          </w:tcPr>
          <w:p>
            <w:pPr>
              <w:pStyle w:val="TableContents"/>
              <w:spacing w:before="0" w:after="283"/>
              <w:rPr/>
            </w:pPr>
            <w:r>
              <w:rPr/>
              <w:t> </w:t>
            </w:r>
          </w:p>
        </w:tc>
        <w:tc>
          <w:tcPr>
            <w:tcW w:w="126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(iv)</w:t>
            </w:r>
          </w:p>
        </w:tc>
        <w:tc>
          <w:tcPr>
            <w:tcW w:w="146" w:type="dxa"/>
            <w:tcBorders/>
            <w:shd w:fill="auto" w:val="clear"/>
            <w:vAlign w:val="bottom"/>
          </w:tcPr>
          <w:p>
            <w:pPr>
              <w:pStyle w:val="TableContents"/>
              <w:spacing w:before="0" w:after="283"/>
              <w:rPr/>
            </w:pPr>
            <w:r>
              <w:rPr/>
              <w:t> </w:t>
            </w:r>
          </w:p>
        </w:tc>
        <w:tc>
          <w:tcPr>
            <w:tcW w:w="112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(vi)</w:t>
            </w:r>
          </w:p>
        </w:tc>
        <w:tc>
          <w:tcPr>
            <w:tcW w:w="146" w:type="dxa"/>
            <w:tcBorders/>
            <w:shd w:fill="auto" w:val="clear"/>
            <w:vAlign w:val="bottom"/>
          </w:tcPr>
          <w:p>
            <w:pPr>
              <w:pStyle w:val="TableContents"/>
              <w:spacing w:before="0" w:after="283"/>
              <w:rPr/>
            </w:pPr>
            <w:r>
              <w:rPr/>
              <w:t> </w:t>
            </w:r>
          </w:p>
        </w:tc>
        <w:tc>
          <w:tcPr>
            <w:tcW w:w="1487" w:type="dxa"/>
            <w:gridSpan w:val="2"/>
            <w:tcBorders/>
            <w:shd w:fill="auto" w:val="clear"/>
            <w:vAlign w:val="bottom"/>
          </w:tcPr>
          <w:p>
            <w:pPr>
              <w:pStyle w:val="TableContents"/>
              <w:spacing w:before="0" w:after="283"/>
              <w:rPr/>
            </w:pPr>
            <w:r>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2022</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9,012,564</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(15,153,818</w:t>
            </w:r>
          </w:p>
        </w:tc>
        <w:tc>
          <w:tcPr>
            <w:tcW w:w="166"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(10,823,172</w:t>
            </w:r>
          </w:p>
        </w:tc>
        <w:tc>
          <w:tcPr>
            <w:tcW w:w="166"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11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keepNext w:val="false"/>
              <w:widowControl/>
              <w:pBdr/>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(16,964,426</w:t>
            </w:r>
          </w:p>
        </w:tc>
        <w:tc>
          <w:tcPr>
            <w:tcW w:w="226" w:type="dxa"/>
            <w:tcBorders/>
            <w:shd w:fill="CCEEFF"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1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2021</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35,720,792</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32,042,959</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15,159,488</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1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82,923,239</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2020</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13,214,545</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7,103,910</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2,365,598</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1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22,684,052</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55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40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illustrates the calculations described in this footnote (5) with respect to the average equity component of our non-PEO NEO’s CAP for fiscal years 2022, 2021 and 2020:</w:t>
      </w:r>
    </w:p>
    <w:tbl>
      <w:tblPr>
        <w:tblW w:w="10205" w:type="dxa"/>
        <w:jc w:val="left"/>
        <w:tblInd w:w="0" w:type="dxa"/>
        <w:tblCellMar>
          <w:top w:w="0" w:type="dxa"/>
          <w:left w:w="0" w:type="dxa"/>
          <w:bottom w:w="0" w:type="dxa"/>
          <w:right w:w="0" w:type="dxa"/>
        </w:tblCellMar>
      </w:tblPr>
      <w:tblGrid>
        <w:gridCol w:w="124"/>
        <w:gridCol w:w="146"/>
        <w:gridCol w:w="517"/>
        <w:gridCol w:w="146"/>
        <w:gridCol w:w="1060"/>
        <w:gridCol w:w="146"/>
        <w:gridCol w:w="1047"/>
        <w:gridCol w:w="167"/>
        <w:gridCol w:w="146"/>
        <w:gridCol w:w="873"/>
        <w:gridCol w:w="146"/>
        <w:gridCol w:w="1016"/>
        <w:gridCol w:w="170"/>
        <w:gridCol w:w="146"/>
        <w:gridCol w:w="1153"/>
        <w:gridCol w:w="146"/>
        <w:gridCol w:w="1470"/>
        <w:gridCol w:w="146"/>
        <w:gridCol w:w="1205"/>
        <w:gridCol w:w="235"/>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Year End </w:t>
              <w:br/>
              <w:t xml:space="preserve">Fair Value </w:t>
              <w:br/>
              <w:t xml:space="preserve">of Equity </w:t>
              <w:br/>
              <w:t xml:space="preserve">Awards </w:t>
              <w:br/>
              <w:t xml:space="preserve">Granted </w:t>
              <w:br/>
              <w:t xml:space="preserve">During </w:t>
              <w:br/>
              <w:t xml:space="preserve">Year that </w:t>
              <w:br/>
              <w:t xml:space="preserve">Remained </w:t>
              <w:br/>
              <w:t xml:space="preserve">Unvested as </w:t>
              <w:br/>
              <w:t xml:space="preserve">of Last Day </w:t>
              <w:br/>
              <w:t>of Year ($)</w:t>
            </w:r>
          </w:p>
        </w:tc>
        <w:tc>
          <w:tcPr>
            <w:tcW w:w="146" w:type="dxa"/>
            <w:tcBorders/>
            <w:shd w:fill="auto" w:val="clear"/>
            <w:vAlign w:val="bottom"/>
          </w:tcPr>
          <w:p>
            <w:pPr>
              <w:pStyle w:val="TableContents"/>
              <w:spacing w:before="0" w:after="283"/>
              <w:rPr/>
            </w:pPr>
            <w:r>
              <w:rPr/>
              <w:t> </w:t>
            </w:r>
          </w:p>
        </w:tc>
        <w:tc>
          <w:tcPr>
            <w:tcW w:w="1214"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Year over </w:t>
              <w:br/>
              <w:t xml:space="preserve">Year Change </w:t>
              <w:br/>
              <w:t xml:space="preserve">in Fair Value </w:t>
              <w:br/>
              <w:t xml:space="preserve">from Last </w:t>
              <w:br/>
              <w:t xml:space="preserve">Day of Prior </w:t>
              <w:br/>
              <w:t xml:space="preserve">Year to Last </w:t>
              <w:br/>
              <w:t xml:space="preserve">Day of Year </w:t>
              <w:br/>
              <w:t xml:space="preserve">of Equity </w:t>
              <w:br/>
              <w:t xml:space="preserve">Awards </w:t>
              <w:br/>
              <w:t xml:space="preserve">Granted </w:t>
              <w:br/>
              <w:t xml:space="preserve">in Prior </w:t>
              <w:br/>
              <w:t xml:space="preserve">Years that </w:t>
              <w:br/>
              <w:t xml:space="preserve">remained </w:t>
              <w:br/>
              <w:t xml:space="preserve">Unvested as </w:t>
              <w:br/>
              <w:t xml:space="preserve">of Last Day </w:t>
              <w:br/>
              <w:t>of Year ($)</w:t>
            </w:r>
          </w:p>
        </w:tc>
        <w:tc>
          <w:tcPr>
            <w:tcW w:w="146"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Fair Value </w:t>
              <w:br/>
              <w:t xml:space="preserve">as of </w:t>
              <w:br/>
              <w:t xml:space="preserve">Vesting </w:t>
              <w:br/>
              <w:t xml:space="preserve">Date of </w:t>
              <w:br/>
              <w:t xml:space="preserve">Equity </w:t>
              <w:br/>
              <w:t xml:space="preserve">Awards </w:t>
              <w:br/>
              <w:t xml:space="preserve">Granted </w:t>
              <w:br/>
              <w:t xml:space="preserve">During </w:t>
              <w:br/>
              <w:t xml:space="preserve">Year and </w:t>
              <w:br/>
              <w:t xml:space="preserve">Vested in </w:t>
              <w:br/>
              <w:t>the Year ($)</w:t>
            </w:r>
          </w:p>
        </w:tc>
        <w:tc>
          <w:tcPr>
            <w:tcW w:w="146" w:type="dxa"/>
            <w:tcBorders/>
            <w:shd w:fill="auto" w:val="clear"/>
            <w:vAlign w:val="bottom"/>
          </w:tcPr>
          <w:p>
            <w:pPr>
              <w:pStyle w:val="TableContents"/>
              <w:spacing w:before="0" w:after="283"/>
              <w:rPr/>
            </w:pPr>
            <w:r>
              <w:rPr/>
              <w:t> </w:t>
            </w:r>
          </w:p>
        </w:tc>
        <w:tc>
          <w:tcPr>
            <w:tcW w:w="118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Year over </w:t>
              <w:br/>
              <w:t xml:space="preserve">Year Change </w:t>
              <w:br/>
              <w:t xml:space="preserve">in Fair Value </w:t>
              <w:br/>
              <w:t xml:space="preserve">from Last </w:t>
              <w:br/>
              <w:t xml:space="preserve">Day of Prior </w:t>
              <w:br/>
              <w:t xml:space="preserve">Year to </w:t>
              <w:br/>
              <w:t xml:space="preserve">Vesting Date </w:t>
              <w:br/>
              <w:t xml:space="preserve">of Equity </w:t>
              <w:br/>
              <w:t xml:space="preserve">Awards </w:t>
              <w:br/>
              <w:t xml:space="preserve">Granted in </w:t>
              <w:br/>
              <w:t xml:space="preserve">Prior Years </w:t>
              <w:br/>
              <w:t xml:space="preserve">that Vested in </w:t>
              <w:br/>
              <w:t>the Year ($)</w:t>
            </w:r>
          </w:p>
        </w:tc>
        <w:tc>
          <w:tcPr>
            <w:tcW w:w="146" w:type="dxa"/>
            <w:tcBorders/>
            <w:shd w:fill="auto" w:val="clear"/>
            <w:vAlign w:val="bottom"/>
          </w:tcPr>
          <w:p>
            <w:pPr>
              <w:pStyle w:val="TableContents"/>
              <w:spacing w:before="0" w:after="283"/>
              <w:rPr/>
            </w:pPr>
            <w:r>
              <w:rPr/>
              <w:t> </w:t>
            </w:r>
          </w:p>
        </w:tc>
        <w:tc>
          <w:tcPr>
            <w:tcW w:w="1153"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Fair Value </w:t>
              <w:br/>
              <w:t xml:space="preserve">at the End </w:t>
              <w:br/>
              <w:t xml:space="preserve">of the </w:t>
              <w:br/>
              <w:t xml:space="preserve">Prior Year </w:t>
              <w:br/>
              <w:t xml:space="preserve">of Equity </w:t>
              <w:br/>
              <w:t xml:space="preserve">Awards that </w:t>
              <w:br/>
              <w:t xml:space="preserve">Failed to </w:t>
              <w:br/>
              <w:t xml:space="preserve">Meet Vesting </w:t>
              <w:br/>
              <w:t xml:space="preserve">Conditions in </w:t>
              <w:br/>
              <w:t>the Year ($)</w:t>
            </w:r>
          </w:p>
        </w:tc>
        <w:tc>
          <w:tcPr>
            <w:tcW w:w="146" w:type="dxa"/>
            <w:tcBorders/>
            <w:shd w:fill="auto" w:val="clear"/>
            <w:vAlign w:val="bottom"/>
          </w:tcPr>
          <w:p>
            <w:pPr>
              <w:pStyle w:val="TableContents"/>
              <w:spacing w:before="0" w:after="283"/>
              <w:rPr/>
            </w:pPr>
            <w:r>
              <w:rPr/>
              <w:t> </w:t>
            </w:r>
          </w:p>
        </w:tc>
        <w:tc>
          <w:tcPr>
            <w:tcW w:w="1470"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Value of </w:t>
              <w:br/>
              <w:t xml:space="preserve">Dividends or </w:t>
              <w:br/>
              <w:t xml:space="preserve">other Earnings </w:t>
              <w:br/>
              <w:t xml:space="preserve">Paid on Stock or </w:t>
              <w:br/>
              <w:t xml:space="preserve">Option Awards </w:t>
              <w:br/>
              <w:t xml:space="preserve">not Otherwise </w:t>
              <w:br/>
              <w:t xml:space="preserve">Reflected in Fair </w:t>
              <w:br/>
              <w:t xml:space="preserve">Value or Total </w:t>
              <w:br/>
              <w:t>Compensation ($)</w:t>
            </w:r>
          </w:p>
        </w:tc>
        <w:tc>
          <w:tcPr>
            <w:tcW w:w="146" w:type="dxa"/>
            <w:tcBorders/>
            <w:shd w:fill="auto" w:val="clear"/>
            <w:vAlign w:val="bottom"/>
          </w:tcPr>
          <w:p>
            <w:pPr>
              <w:pStyle w:val="TableContents"/>
              <w:spacing w:before="0" w:after="283"/>
              <w:rPr/>
            </w:pPr>
            <w:r>
              <w:rPr/>
              <w:t> </w:t>
            </w:r>
          </w:p>
        </w:tc>
        <w:tc>
          <w:tcPr>
            <w:tcW w:w="144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Equity </w:t>
              <w:br/>
              <w:t xml:space="preserve">Award </w:t>
              <w:br/>
              <w:t>Adjustments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1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w:t>
            </w:r>
          </w:p>
        </w:tc>
        <w:tc>
          <w:tcPr>
            <w:tcW w:w="146" w:type="dxa"/>
            <w:tcBorders/>
            <w:shd w:fill="auto" w:val="clear"/>
            <w:vAlign w:val="bottom"/>
          </w:tcPr>
          <w:p>
            <w:pPr>
              <w:pStyle w:val="TableContents"/>
              <w:spacing w:before="0" w:after="283"/>
              <w:rPr/>
            </w:pPr>
            <w:r>
              <w:rPr/>
              <w:t> </w:t>
            </w:r>
          </w:p>
        </w:tc>
        <w:tc>
          <w:tcPr>
            <w:tcW w:w="1214"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(ii)</w:t>
            </w:r>
          </w:p>
        </w:tc>
        <w:tc>
          <w:tcPr>
            <w:tcW w:w="146"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(iii)</w:t>
            </w:r>
          </w:p>
        </w:tc>
        <w:tc>
          <w:tcPr>
            <w:tcW w:w="146" w:type="dxa"/>
            <w:tcBorders/>
            <w:shd w:fill="auto" w:val="clear"/>
            <w:vAlign w:val="bottom"/>
          </w:tcPr>
          <w:p>
            <w:pPr>
              <w:pStyle w:val="TableContents"/>
              <w:spacing w:before="0" w:after="283"/>
              <w:rPr/>
            </w:pPr>
            <w:r>
              <w:rPr/>
              <w:t> </w:t>
            </w:r>
          </w:p>
        </w:tc>
        <w:tc>
          <w:tcPr>
            <w:tcW w:w="118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(iv)</w:t>
            </w:r>
          </w:p>
        </w:tc>
        <w:tc>
          <w:tcPr>
            <w:tcW w:w="146" w:type="dxa"/>
            <w:tcBorders/>
            <w:shd w:fill="auto" w:val="clear"/>
            <w:vAlign w:val="bottom"/>
          </w:tcPr>
          <w:p>
            <w:pPr>
              <w:pStyle w:val="TableContents"/>
              <w:spacing w:before="0" w:after="283"/>
              <w:rPr/>
            </w:pPr>
            <w:r>
              <w:rPr/>
              <w:t> </w:t>
            </w:r>
          </w:p>
        </w:tc>
        <w:tc>
          <w:tcPr>
            <w:tcW w:w="1153"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w:t>
            </w:r>
          </w:p>
        </w:tc>
        <w:tc>
          <w:tcPr>
            <w:tcW w:w="146" w:type="dxa"/>
            <w:tcBorders/>
            <w:shd w:fill="auto" w:val="clear"/>
            <w:vAlign w:val="bottom"/>
          </w:tcPr>
          <w:p>
            <w:pPr>
              <w:pStyle w:val="TableContents"/>
              <w:spacing w:before="0" w:after="283"/>
              <w:rPr/>
            </w:pPr>
            <w:r>
              <w:rPr/>
              <w:t> </w:t>
            </w:r>
          </w:p>
        </w:tc>
        <w:tc>
          <w:tcPr>
            <w:tcW w:w="1470"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(vi)</w:t>
            </w:r>
          </w:p>
        </w:tc>
        <w:tc>
          <w:tcPr>
            <w:tcW w:w="146" w:type="dxa"/>
            <w:tcBorders/>
            <w:shd w:fill="auto" w:val="clear"/>
            <w:vAlign w:val="bottom"/>
          </w:tcPr>
          <w:p>
            <w:pPr>
              <w:pStyle w:val="TableContents"/>
              <w:spacing w:before="0" w:after="283"/>
              <w:rPr/>
            </w:pPr>
            <w:r>
              <w:rPr/>
              <w:t> </w:t>
            </w:r>
          </w:p>
        </w:tc>
        <w:tc>
          <w:tcPr>
            <w:tcW w:w="1440" w:type="dxa"/>
            <w:gridSpan w:val="2"/>
            <w:tcBorders/>
            <w:shd w:fill="auto" w:val="clear"/>
            <w:vAlign w:val="bottom"/>
          </w:tcPr>
          <w:p>
            <w:pPr>
              <w:pStyle w:val="TableContents"/>
              <w:spacing w:before="0" w:after="283"/>
              <w:rPr/>
            </w:pPr>
            <w:r>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1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2022</w:t>
            </w:r>
          </w:p>
        </w:tc>
        <w:tc>
          <w:tcPr>
            <w:tcW w:w="146"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2,392,897</w:t>
            </w:r>
          </w:p>
        </w:tc>
        <w:tc>
          <w:tcPr>
            <w:tcW w:w="146"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(4,807,501</w:t>
            </w:r>
          </w:p>
        </w:tc>
        <w:tc>
          <w:tcPr>
            <w:tcW w:w="167"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(3,374,780</w:t>
            </w:r>
          </w:p>
        </w:tc>
        <w:tc>
          <w:tcPr>
            <w:tcW w:w="170"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11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47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keepNext w:val="false"/>
              <w:widowControl/>
              <w:pBdr/>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(5,789,384</w:t>
            </w:r>
          </w:p>
        </w:tc>
        <w:tc>
          <w:tcPr>
            <w:tcW w:w="235" w:type="dxa"/>
            <w:tcBorders/>
            <w:shd w:fill="CCEEFF"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17"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2021</w:t>
            </w:r>
          </w:p>
        </w:tc>
        <w:tc>
          <w:tcPr>
            <w:tcW w:w="146"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11,651,503</w:t>
            </w:r>
          </w:p>
        </w:tc>
        <w:tc>
          <w:tcPr>
            <w:tcW w:w="146"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10,220,943</w:t>
            </w:r>
          </w:p>
        </w:tc>
        <w:tc>
          <w:tcPr>
            <w:tcW w:w="16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4,983,963</w:t>
            </w:r>
          </w:p>
        </w:tc>
        <w:tc>
          <w:tcPr>
            <w:tcW w:w="17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15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47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26,856,409</w:t>
            </w:r>
          </w:p>
        </w:tc>
        <w:tc>
          <w:tcPr>
            <w:tcW w:w="23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1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2020</w:t>
            </w:r>
          </w:p>
        </w:tc>
        <w:tc>
          <w:tcPr>
            <w:tcW w:w="146"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4,052,015</w:t>
            </w:r>
          </w:p>
        </w:tc>
        <w:tc>
          <w:tcPr>
            <w:tcW w:w="146"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2,438,678</w:t>
            </w:r>
          </w:p>
        </w:tc>
        <w:tc>
          <w:tcPr>
            <w:tcW w:w="16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849,536</w:t>
            </w:r>
          </w:p>
        </w:tc>
        <w:tc>
          <w:tcPr>
            <w:tcW w:w="17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1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47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7,340,228</w:t>
            </w:r>
          </w:p>
        </w:tc>
        <w:tc>
          <w:tcPr>
            <w:tcW w:w="23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Amounts represent the cumulative total stockholder return of our common stock for the period beginning on the market close on December 31, 2019, the last trading day before the earliest fiscal year in the table, through and including December 31, 2022, the end of the last fiscal year in the table for which cumulative total stockholder return is being calculated. Amount assumes that $100 was invested for the period starting December 31, 2019. The amount included in the table is the value of such fixed investment based on the cumulative total stockholder return as of the end of each year, including reinvestment of dividends (if any).</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The peer group used for this purpose is NASDAQ Computer Index, which we also use in the stock performance graph required by Item 201(e) of Regulation S-K included in our Annual Report for the year ended December 31, 2022. Amount assumes $100 was invested for the period starting December 31, 2019, through the end of the listed year in our common stock and in the NASDAQ Computer Index, respectively.</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The dollar amounts are our net income as reflected in our audited consolidated financial statements for the applicable year.</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We determined Revenue to be the most important financial measure used to link our performance to Compensation Actually Paid for our PEO and Non-PEO NEOs for fiscal year 2022.</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Description of Relationship Between PEO and Non-PEO</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NEO Compensation Actually Paid and Company Total Stockholder Return (“TSR”)</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chart sets forth the relationship between Compensation Actually Paid to our PEOs, the average of Compensation Actually Paid to our Non-PEO NEOs, our cumulative TSR and the index TSR over the three most recently completed fiscal years.</w:t>
      </w:r>
    </w:p>
    <w:p>
      <w:pPr>
        <w:pStyle w:val="TextBody"/>
        <w:keepNext w:val="false"/>
        <w:pageBreakBefore w:val="false"/>
        <w:widowControl/>
        <w:pBdr/>
        <w:spacing w:before="160" w:after="283"/>
        <w:ind w:left="0" w:right="0" w:hanging="0"/>
        <w:jc w:val="center"/>
        <w:rPr>
          <w:caps w:val="false"/>
          <w:smallCaps w:val="false"/>
        </w:rPr>
      </w:pPr>
      <w:r>
        <w:rPr>
          <w:caps w:val="false"/>
          <w:smallCaps w:val="false"/>
        </w:rPr>
        <w:drawing>
          <wp:inline distT="0" distB="0" distL="0" distR="0">
            <wp:extent cx="5153025" cy="309054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153025" cy="3090545"/>
                    </a:xfrm>
                    <a:prstGeom prst="rect">
                      <a:avLst/>
                    </a:prstGeom>
                  </pic:spPr>
                </pic:pic>
              </a:graphicData>
            </a:graphic>
          </wp:inline>
        </w:drawing>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Description of Relationship Between PEO and Non-PEO</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NEO Compensation Actually Paid and Net Income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chart sets forth the relationship between Compensation Actually Paid to our PEOs, the average of Compensation Actually Paid to our Non-PEO NEOs and our net income during the three most recently completed fiscal years.</w:t>
      </w:r>
    </w:p>
    <w:p>
      <w:pPr>
        <w:pStyle w:val="TextBody"/>
        <w:keepNext w:val="false"/>
        <w:pageBreakBefore w:val="false"/>
        <w:widowControl/>
        <w:pBdr/>
        <w:spacing w:before="160" w:after="283"/>
        <w:ind w:left="0" w:right="0" w:hanging="0"/>
        <w:jc w:val="center"/>
        <w:rPr>
          <w:caps w:val="false"/>
          <w:smallCaps w:val="false"/>
        </w:rPr>
      </w:pPr>
      <w:r>
        <w:rPr>
          <w:caps w:val="false"/>
          <w:smallCaps w:val="false"/>
        </w:rPr>
        <w:drawing>
          <wp:inline distT="0" distB="0" distL="0" distR="0">
            <wp:extent cx="5067300" cy="313944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067300" cy="3139440"/>
                    </a:xfrm>
                    <a:prstGeom prst="rect">
                      <a:avLst/>
                    </a:prstGeom>
                  </pic:spPr>
                </pic:pic>
              </a:graphicData>
            </a:graphic>
          </wp:inline>
        </w:drawing>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Description of Relationship Between PEO and Non-PEO</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NEO Compensation Actually Paid and Revenue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chart sets forth the relationship between Compensation Actually Paid to our PEO, the average of Compensation Actually Paid to our Non-PEO NEOs and our revenue during the three most recently completed fiscal years.</w:t>
      </w:r>
    </w:p>
    <w:p>
      <w:pPr>
        <w:pStyle w:val="TextBody"/>
        <w:keepNext w:val="false"/>
        <w:pageBreakBefore w:val="false"/>
        <w:widowControl/>
        <w:pBdr/>
        <w:spacing w:before="160" w:after="283"/>
        <w:ind w:left="0" w:right="0" w:hanging="0"/>
        <w:jc w:val="center"/>
        <w:rPr>
          <w:caps w:val="false"/>
          <w:smallCaps w:val="false"/>
        </w:rPr>
      </w:pPr>
      <w:r>
        <w:rPr>
          <w:caps w:val="false"/>
          <w:smallCaps w:val="false"/>
        </w:rPr>
        <w:drawing>
          <wp:inline distT="0" distB="0" distL="0" distR="0">
            <wp:extent cx="5143500" cy="321881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143500" cy="3218815"/>
                    </a:xfrm>
                    <a:prstGeom prst="rect">
                      <a:avLst/>
                    </a:prstGeom>
                  </pic:spPr>
                </pic:pic>
              </a:graphicData>
            </a:graphic>
          </wp:inline>
        </w:drawing>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List of Most Important Performance Measures to Determine 2022 CAP</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more detail in in “</w:t>
      </w:r>
      <w:r>
        <w:rPr>
          <w:rFonts w:ascii="Times New Roman PS Std;serif" w:hAnsi="Times New Roman PS Std;serif"/>
          <w:b w:val="false"/>
          <w:i/>
          <w:caps w:val="false"/>
          <w:smallCaps w:val="false"/>
          <w:sz w:val="20"/>
        </w:rPr>
        <w:t>Executive Compensation — Compensation Discussion and Analysis,</w:t>
      </w:r>
      <w:r>
        <w:rPr>
          <w:rFonts w:ascii="Times New Roman PS Std;serif" w:hAnsi="Times New Roman PS Std;serif"/>
          <w:b w:val="false"/>
          <w:i w:val="false"/>
          <w:caps w:val="false"/>
          <w:smallCaps w:val="false"/>
          <w:sz w:val="20"/>
        </w:rPr>
        <w:t>” our executive compensation program reflects a pay-for-performance philosophy and includes performance metrics that are intended to incentivize our NEOs and align our NEOs’ interests with those of our stockholders. The most important performance measures used to link executive compensation actually paid, for the 2022 fiscal year, to our performance overall are as follows:</w:t>
      </w:r>
    </w:p>
    <w:tbl>
      <w:tblPr>
        <w:tblW w:w="4193" w:type="dxa"/>
        <w:jc w:val="left"/>
        <w:tblInd w:w="0" w:type="dxa"/>
        <w:tblCellMar>
          <w:top w:w="0" w:type="dxa"/>
          <w:left w:w="0" w:type="dxa"/>
          <w:bottom w:w="0" w:type="dxa"/>
          <w:right w:w="0" w:type="dxa"/>
        </w:tblCellMar>
      </w:tblPr>
      <w:tblGrid>
        <w:gridCol w:w="3796"/>
        <w:gridCol w:w="146"/>
        <w:gridCol w:w="251"/>
      </w:tblGrid>
      <w:tr>
        <w:trPr/>
        <w:tc>
          <w:tcPr>
            <w:tcW w:w="3796" w:type="dxa"/>
            <w:tcBorders/>
            <w:shd w:fill="auto" w:val="clear"/>
            <w:vAlign w:val="bottom"/>
          </w:tcPr>
          <w:p>
            <w:pPr>
              <w:pStyle w:val="TableContents"/>
              <w:keepNext w:val="false"/>
              <w:widowControl/>
              <w:pBdr/>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Most Important Performance Measures</w:t>
            </w:r>
          </w:p>
        </w:tc>
        <w:tc>
          <w:tcPr>
            <w:tcW w:w="146"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keepNext w:val="false"/>
              <w:widowControl/>
              <w:pBdr/>
              <w:spacing w:before="0" w:after="283"/>
              <w:ind w:left="200" w:right="0" w:hanging="200"/>
              <w:jc w:val="left"/>
              <w:rPr>
                <w:caps w:val="false"/>
                <w:smallCaps w:val="false"/>
              </w:rPr>
            </w:pPr>
            <w:r>
              <w:rPr>
                <w:caps w:val="false"/>
                <w:smallCaps w:val="false"/>
              </w:rPr>
              <w:t>  </w:t>
            </w:r>
          </w:p>
        </w:tc>
      </w:tr>
      <w:tr>
        <w:trPr/>
        <w:tc>
          <w:tcPr>
            <w:tcW w:w="379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keepNext w:val="false"/>
              <w:widowControl/>
              <w:pBdr/>
              <w:spacing w:before="0" w:after="283"/>
              <w:ind w:left="200" w:right="0" w:hanging="200"/>
              <w:jc w:val="left"/>
              <w:rPr>
                <w:caps w:val="false"/>
                <w:smallCaps w:val="false"/>
              </w:rPr>
            </w:pPr>
            <w:r>
              <w:rPr>
                <w:caps w:val="false"/>
                <w:smallCaps w:val="false"/>
              </w:rPr>
              <w:t>  </w:t>
            </w:r>
          </w:p>
        </w:tc>
      </w:tr>
      <w:tr>
        <w:trPr/>
        <w:tc>
          <w:tcPr>
            <w:tcW w:w="379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Income</w:t>
            </w:r>
          </w:p>
        </w:tc>
        <w:tc>
          <w:tcPr>
            <w:tcW w:w="146"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keepNext w:val="false"/>
              <w:widowControl/>
              <w:pBdr/>
              <w:spacing w:before="0" w:after="283"/>
              <w:ind w:left="200" w:right="0" w:hanging="200"/>
              <w:jc w:val="left"/>
              <w:rPr>
                <w:caps w:val="false"/>
                <w:smallCaps w:val="false"/>
              </w:rPr>
            </w:pPr>
            <w:r>
              <w:rPr>
                <w:caps w:val="false"/>
                <w:smallCaps w:val="false"/>
              </w:rPr>
              <w:t>  </w:t>
            </w:r>
          </w:p>
        </w:tc>
      </w:tr>
      <w:tr>
        <w:trPr/>
        <w:tc>
          <w:tcPr>
            <w:tcW w:w="379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Relative TSR</w:t>
            </w:r>
          </w:p>
        </w:tc>
        <w:tc>
          <w:tcPr>
            <w:tcW w:w="146"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keepNext w:val="false"/>
              <w:widowControl/>
              <w:pBdr/>
              <w:spacing w:before="0" w:after="283"/>
              <w:ind w:left="200" w:right="0" w:hanging="200"/>
              <w:jc w:val="left"/>
              <w:rPr>
                <w:caps w:val="false"/>
                <w:smallCaps w:val="false"/>
              </w:rPr>
            </w:pPr>
            <w:r>
              <w:rPr>
                <w:caps w:val="false"/>
                <w:smallCaps w:val="false"/>
              </w:rPr>
              <w:t>  </w:t>
            </w:r>
          </w:p>
        </w:tc>
      </w:tr>
    </w:tbl>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78" w:name="T13"/>
      <w:bookmarkEnd w:id="78"/>
      <w:r>
        <w:rPr>
          <w:rFonts w:ascii="Times New Roman PS Std;serif" w:hAnsi="Times New Roman PS Std;serif"/>
          <w:b/>
          <w:i w:val="false"/>
          <w:caps w:val="false"/>
          <w:smallCaps w:val="false"/>
          <w:sz w:val="20"/>
        </w:rPr>
        <w:t>CEO Pay Ratio Disclosure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Item 402(u) of Regulation S-K, we are providing the following information about the relationship of the annual total compensation our Chief Executive Officer, Mr. Ken Xie (our “CEO”), and the median of the annual total compensation of all our employees of, excluding our CEO. For 2022:</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annual total compensation of our median employee was $123,122;</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annual total compensation of our CEO as disclosed in the 2022 Summary Compensation Table was $14,200,453;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ratio of the annual total compensation of our CEO to the median of the annual total compensation of our employees was 115 to 1. This ratio is a reasonable estimate calculated in a manner consistent with SEC rules.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required to reidentify our median employee for 2022. For 2022, we identified the employee with compensation at the median of the annual total compensation of all our employees, using the following methodology.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2022, we identified the employee with compensation at the median of the annual total compensation of all our employees using as our consistently applied compensation measure each employee’s base salary, allowances, bonuses, sales commissions paid and the grant date fair value of equity awards granted during the 12-month period from January 1, 2022 through December 31, 2022. We calculated annual base salary by annualizing this amount using a reasonable estimate of the hours worked during 2022 for hourly employees and the actual annual salary rate on December 31, 2022 for our remaining employees. We calculated annual target variable pay (bonus and/or commissions) using the target amount as of December 31, 2022.</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annual equity awards for 2022, we computed the value in accordance with FASB ASC Topic 718. The assumptions used in the valuation of these awards are set forth in note 13 to our consolidated financial statements, which are included in our Annual Report on Form 10-K for the year ended December 31, 2022, filed with the SEC on February 24, 2023.</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determining our employee population, we considered the individuals, excluding our CEO, who were employed by us and our consolidated subsidiaries on December 31, 2022, whether employed on a full-time, part-time, seasonal or temporary basis. We did not include any contractors or other non-employee workers in our employee population. For employees paid other than in U.S. dollars, we converted their compensation to U.S. dollars using the applicable exchange rates in effect on December 31, 2022. We did not make any cost-of-living adjustment.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Using this methodology, we identified the individual at the median of our employee population. We then calculated the annual total compensation for this individual using the same methodology we use to calculate the amount reported for our CEO in the “Total” column of the 2022 Summary Compensation Table as set forth in this Proxy Statement.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SEC rules for identifying the median of the annual total compensation of all employees allow companies to adopt a variety of methodologies, apply certain exclusions, and make reasonable estimates and assumptions that reflect their employee population and compensation practices, the pay ratio reported by other companies may not be comparable to our pay ratio, as other companies have different employee populations and compensation practices and may have used different methodologies, exclusions, estimates and assumptions in calculating their pay ratios. As explained by the SEC when it adopted these rules, the rule was not designed to facilitate comparisons of pay ratios among different companies, even companies within the same industry, but rather to allow stockholders to better understand and assess each particular company’s compensation practices and pay ratio disclosures.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79" w:name="T12"/>
      <w:bookmarkEnd w:id="79"/>
      <w:r>
        <w:rPr>
          <w:rFonts w:ascii="Times New Roman PS Std;serif" w:hAnsi="Times New Roman PS Std;serif"/>
          <w:b/>
          <w:i w:val="false"/>
          <w:caps w:val="false"/>
          <w:smallCaps w:val="false"/>
          <w:sz w:val="20"/>
        </w:rPr>
        <w:t>Compensation of Directors</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Compensation Table for 2022</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concerning the compensation earned by each of our non-employee directors for service on the Board of Directors in fiscal 2022. Messrs. Ken Xie and Michael Xie, who are employees of Fortinet, do not receive additional compensation for their services as directors.</w:t>
      </w:r>
    </w:p>
    <w:tbl>
      <w:tblPr>
        <w:tblW w:w="8512" w:type="dxa"/>
        <w:jc w:val="left"/>
        <w:tblInd w:w="0" w:type="dxa"/>
        <w:tblCellMar>
          <w:top w:w="0" w:type="dxa"/>
          <w:left w:w="0" w:type="dxa"/>
          <w:bottom w:w="0" w:type="dxa"/>
          <w:right w:w="0" w:type="dxa"/>
        </w:tblCellMar>
      </w:tblPr>
      <w:tblGrid>
        <w:gridCol w:w="3271"/>
        <w:gridCol w:w="146"/>
        <w:gridCol w:w="1861"/>
        <w:gridCol w:w="146"/>
        <w:gridCol w:w="1981"/>
        <w:gridCol w:w="146"/>
        <w:gridCol w:w="961"/>
      </w:tblGrid>
      <w:tr>
        <w:trPr/>
        <w:tc>
          <w:tcPr>
            <w:tcW w:w="3271"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shd w:fill="auto" w:val="clear"/>
            <w:vAlign w:val="bottom"/>
          </w:tcPr>
          <w:p>
            <w:pPr>
              <w:pStyle w:val="TableContents"/>
              <w:spacing w:before="0" w:after="283"/>
              <w:rPr/>
            </w:pPr>
            <w:r>
              <w:rPr/>
              <w:t> </w:t>
            </w:r>
          </w:p>
        </w:tc>
        <w:tc>
          <w:tcPr>
            <w:tcW w:w="186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Fees Earned or </w:t>
              <w:br/>
              <w:t>Paid in Cash ($)(1)</w:t>
            </w:r>
          </w:p>
        </w:tc>
        <w:tc>
          <w:tcPr>
            <w:tcW w:w="146" w:type="dxa"/>
            <w:tcBorders/>
            <w:shd w:fill="auto" w:val="clear"/>
            <w:vAlign w:val="bottom"/>
          </w:tcPr>
          <w:p>
            <w:pPr>
              <w:pStyle w:val="TableContents"/>
              <w:spacing w:before="0" w:after="283"/>
              <w:rPr/>
            </w:pPr>
            <w:r>
              <w:rPr/>
              <w:t> </w:t>
            </w:r>
          </w:p>
        </w:tc>
        <w:tc>
          <w:tcPr>
            <w:tcW w:w="198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Stock Awards ($)(2)</w:t>
            </w:r>
          </w:p>
        </w:tc>
        <w:tc>
          <w:tcPr>
            <w:tcW w:w="146"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w:t>
            </w:r>
          </w:p>
        </w:tc>
      </w:tr>
      <w:tr>
        <w:trPr/>
        <w:tc>
          <w:tcPr>
            <w:tcW w:w="32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Kelly Ducourty(3)</w:t>
            </w:r>
          </w:p>
        </w:tc>
        <w:tc>
          <w:tcPr>
            <w:tcW w:w="146" w:type="dxa"/>
            <w:tcBorders/>
            <w:shd w:fill="CCEEFF" w:val="clear"/>
            <w:vAlign w:val="bottom"/>
          </w:tcPr>
          <w:p>
            <w:pPr>
              <w:pStyle w:val="TableContents"/>
              <w:spacing w:before="0" w:after="283"/>
              <w:rPr/>
            </w:pPr>
            <w:r>
              <w:rPr/>
              <w:t> </w:t>
            </w:r>
          </w:p>
        </w:tc>
        <w:tc>
          <w:tcPr>
            <w:tcW w:w="18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33,632</w:t>
            </w:r>
          </w:p>
        </w:tc>
        <w:tc>
          <w:tcPr>
            <w:tcW w:w="146" w:type="dxa"/>
            <w:tcBorders/>
            <w:shd w:fill="CCEEFF" w:val="clear"/>
            <w:vAlign w:val="bottom"/>
          </w:tcPr>
          <w:p>
            <w:pPr>
              <w:pStyle w:val="TableContents"/>
              <w:spacing w:before="0" w:after="283"/>
              <w:rPr/>
            </w:pPr>
            <w:r>
              <w:rPr/>
              <w:t> </w:t>
            </w:r>
          </w:p>
        </w:tc>
        <w:tc>
          <w:tcPr>
            <w:tcW w:w="19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33,632</w:t>
            </w:r>
          </w:p>
        </w:tc>
      </w:tr>
      <w:tr>
        <w:trPr/>
        <w:tc>
          <w:tcPr>
            <w:tcW w:w="327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Kenneth A. Goldman(4)</w:t>
            </w:r>
          </w:p>
        </w:tc>
        <w:tc>
          <w:tcPr>
            <w:tcW w:w="146" w:type="dxa"/>
            <w:tcBorders/>
            <w:shd w:fill="auto" w:val="clear"/>
            <w:vAlign w:val="bottom"/>
          </w:tcPr>
          <w:p>
            <w:pPr>
              <w:pStyle w:val="TableContents"/>
              <w:spacing w:before="0" w:after="283"/>
              <w:rPr/>
            </w:pPr>
            <w:r>
              <w:rPr/>
              <w:t> </w:t>
            </w:r>
          </w:p>
        </w:tc>
        <w:tc>
          <w:tcPr>
            <w:tcW w:w="18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76,901</w:t>
            </w:r>
          </w:p>
        </w:tc>
        <w:tc>
          <w:tcPr>
            <w:tcW w:w="146" w:type="dxa"/>
            <w:tcBorders/>
            <w:shd w:fill="auto" w:val="clear"/>
            <w:vAlign w:val="bottom"/>
          </w:tcPr>
          <w:p>
            <w:pPr>
              <w:pStyle w:val="TableContents"/>
              <w:spacing w:before="0" w:after="283"/>
              <w:rPr/>
            </w:pPr>
            <w:r>
              <w:rPr/>
              <w:t> </w:t>
            </w:r>
          </w:p>
        </w:tc>
        <w:tc>
          <w:tcPr>
            <w:tcW w:w="19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214,523</w:t>
            </w:r>
          </w:p>
        </w:tc>
        <w:tc>
          <w:tcPr>
            <w:tcW w:w="146"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291,424</w:t>
            </w:r>
          </w:p>
        </w:tc>
      </w:tr>
      <w:tr>
        <w:trPr/>
        <w:tc>
          <w:tcPr>
            <w:tcW w:w="32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Ming Hsieh(5)</w:t>
            </w:r>
          </w:p>
        </w:tc>
        <w:tc>
          <w:tcPr>
            <w:tcW w:w="146" w:type="dxa"/>
            <w:tcBorders/>
            <w:shd w:fill="CCEEFF" w:val="clear"/>
            <w:vAlign w:val="bottom"/>
          </w:tcPr>
          <w:p>
            <w:pPr>
              <w:pStyle w:val="TableContents"/>
              <w:spacing w:before="0" w:after="283"/>
              <w:rPr/>
            </w:pPr>
            <w:r>
              <w:rPr/>
              <w:t> </w:t>
            </w:r>
          </w:p>
        </w:tc>
        <w:tc>
          <w:tcPr>
            <w:tcW w:w="18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83,887</w:t>
            </w:r>
          </w:p>
        </w:tc>
        <w:tc>
          <w:tcPr>
            <w:tcW w:w="146" w:type="dxa"/>
            <w:tcBorders/>
            <w:shd w:fill="CCEEFF" w:val="clear"/>
            <w:vAlign w:val="bottom"/>
          </w:tcPr>
          <w:p>
            <w:pPr>
              <w:pStyle w:val="TableContents"/>
              <w:spacing w:before="0" w:after="283"/>
              <w:rPr/>
            </w:pPr>
            <w:r>
              <w:rPr/>
              <w:t> </w:t>
            </w:r>
          </w:p>
        </w:tc>
        <w:tc>
          <w:tcPr>
            <w:tcW w:w="19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214,523</w:t>
            </w:r>
          </w:p>
        </w:tc>
        <w:tc>
          <w:tcPr>
            <w:tcW w:w="146"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298,410</w:t>
            </w:r>
          </w:p>
        </w:tc>
      </w:tr>
      <w:tr>
        <w:trPr/>
        <w:tc>
          <w:tcPr>
            <w:tcW w:w="327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Hu(6)</w:t>
            </w:r>
          </w:p>
        </w:tc>
        <w:tc>
          <w:tcPr>
            <w:tcW w:w="146" w:type="dxa"/>
            <w:tcBorders/>
            <w:shd w:fill="auto" w:val="clear"/>
            <w:vAlign w:val="bottom"/>
          </w:tcPr>
          <w:p>
            <w:pPr>
              <w:pStyle w:val="TableContents"/>
              <w:spacing w:before="0" w:after="283"/>
              <w:rPr/>
            </w:pPr>
            <w:r>
              <w:rPr/>
              <w:t> </w:t>
            </w:r>
          </w:p>
        </w:tc>
        <w:tc>
          <w:tcPr>
            <w:tcW w:w="18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88,582</w:t>
            </w:r>
          </w:p>
        </w:tc>
        <w:tc>
          <w:tcPr>
            <w:tcW w:w="146" w:type="dxa"/>
            <w:tcBorders/>
            <w:shd w:fill="auto" w:val="clear"/>
            <w:vAlign w:val="bottom"/>
          </w:tcPr>
          <w:p>
            <w:pPr>
              <w:pStyle w:val="TableContents"/>
              <w:spacing w:before="0" w:after="283"/>
              <w:rPr/>
            </w:pPr>
            <w:r>
              <w:rPr/>
              <w:t> </w:t>
            </w:r>
          </w:p>
        </w:tc>
        <w:tc>
          <w:tcPr>
            <w:tcW w:w="19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214,523</w:t>
            </w:r>
          </w:p>
        </w:tc>
        <w:tc>
          <w:tcPr>
            <w:tcW w:w="146"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303,105</w:t>
            </w:r>
          </w:p>
        </w:tc>
      </w:tr>
      <w:tr>
        <w:trPr/>
        <w:tc>
          <w:tcPr>
            <w:tcW w:w="32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H. Neukom(7)</w:t>
            </w:r>
          </w:p>
        </w:tc>
        <w:tc>
          <w:tcPr>
            <w:tcW w:w="146" w:type="dxa"/>
            <w:tcBorders/>
            <w:shd w:fill="CCEEFF" w:val="clear"/>
            <w:vAlign w:val="bottom"/>
          </w:tcPr>
          <w:p>
            <w:pPr>
              <w:pStyle w:val="TableContents"/>
              <w:spacing w:before="0" w:after="283"/>
              <w:rPr/>
            </w:pPr>
            <w:r>
              <w:rPr/>
              <w:t> </w:t>
            </w:r>
          </w:p>
        </w:tc>
        <w:tc>
          <w:tcPr>
            <w:tcW w:w="18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100,746</w:t>
            </w:r>
          </w:p>
        </w:tc>
        <w:tc>
          <w:tcPr>
            <w:tcW w:w="146" w:type="dxa"/>
            <w:tcBorders/>
            <w:shd w:fill="CCEEFF" w:val="clear"/>
            <w:vAlign w:val="bottom"/>
          </w:tcPr>
          <w:p>
            <w:pPr>
              <w:pStyle w:val="TableContents"/>
              <w:spacing w:before="0" w:after="283"/>
              <w:rPr/>
            </w:pPr>
            <w:r>
              <w:rPr/>
              <w:t> </w:t>
            </w:r>
          </w:p>
        </w:tc>
        <w:tc>
          <w:tcPr>
            <w:tcW w:w="19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214,523</w:t>
            </w:r>
          </w:p>
        </w:tc>
        <w:tc>
          <w:tcPr>
            <w:tcW w:w="146"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315,269</w:t>
            </w:r>
          </w:p>
        </w:tc>
      </w:tr>
      <w:tr>
        <w:trPr/>
        <w:tc>
          <w:tcPr>
            <w:tcW w:w="327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Sim(8)</w:t>
            </w:r>
          </w:p>
        </w:tc>
        <w:tc>
          <w:tcPr>
            <w:tcW w:w="146" w:type="dxa"/>
            <w:tcBorders/>
            <w:shd w:fill="auto" w:val="clear"/>
            <w:vAlign w:val="bottom"/>
          </w:tcPr>
          <w:p>
            <w:pPr>
              <w:pStyle w:val="TableContents"/>
              <w:spacing w:before="0" w:after="283"/>
              <w:rPr/>
            </w:pPr>
            <w:r>
              <w:rPr/>
              <w:t> </w:t>
            </w:r>
          </w:p>
        </w:tc>
        <w:tc>
          <w:tcPr>
            <w:tcW w:w="18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86,928</w:t>
            </w:r>
          </w:p>
        </w:tc>
        <w:tc>
          <w:tcPr>
            <w:tcW w:w="146" w:type="dxa"/>
            <w:tcBorders/>
            <w:shd w:fill="auto" w:val="clear"/>
            <w:vAlign w:val="bottom"/>
          </w:tcPr>
          <w:p>
            <w:pPr>
              <w:pStyle w:val="TableContents"/>
              <w:spacing w:before="0" w:after="283"/>
              <w:rPr/>
            </w:pPr>
            <w:r>
              <w:rPr/>
              <w:t> </w:t>
            </w:r>
          </w:p>
        </w:tc>
        <w:tc>
          <w:tcPr>
            <w:tcW w:w="19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214,523</w:t>
            </w:r>
          </w:p>
        </w:tc>
        <w:tc>
          <w:tcPr>
            <w:tcW w:w="146"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301,451</w:t>
            </w:r>
          </w:p>
        </w:tc>
      </w:tr>
      <w:tr>
        <w:trPr/>
        <w:tc>
          <w:tcPr>
            <w:tcW w:w="32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Admiral James Stavridis (Ret)(9)</w:t>
            </w:r>
          </w:p>
        </w:tc>
        <w:tc>
          <w:tcPr>
            <w:tcW w:w="146" w:type="dxa"/>
            <w:tcBorders/>
            <w:shd w:fill="CCEEFF" w:val="clear"/>
            <w:vAlign w:val="bottom"/>
          </w:tcPr>
          <w:p>
            <w:pPr>
              <w:pStyle w:val="TableContents"/>
              <w:spacing w:before="0" w:after="283"/>
              <w:rPr/>
            </w:pPr>
            <w:r>
              <w:rPr/>
              <w:t> </w:t>
            </w:r>
          </w:p>
        </w:tc>
        <w:tc>
          <w:tcPr>
            <w:tcW w:w="18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66,071</w:t>
            </w:r>
          </w:p>
        </w:tc>
        <w:tc>
          <w:tcPr>
            <w:tcW w:w="146" w:type="dxa"/>
            <w:tcBorders/>
            <w:shd w:fill="CCEEFF" w:val="clear"/>
            <w:vAlign w:val="bottom"/>
          </w:tcPr>
          <w:p>
            <w:pPr>
              <w:pStyle w:val="TableContents"/>
              <w:spacing w:before="0" w:after="283"/>
              <w:rPr/>
            </w:pPr>
            <w:r>
              <w:rPr/>
              <w:t> </w:t>
            </w:r>
          </w:p>
        </w:tc>
        <w:tc>
          <w:tcPr>
            <w:tcW w:w="19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214,523</w:t>
            </w:r>
          </w:p>
        </w:tc>
        <w:tc>
          <w:tcPr>
            <w:tcW w:w="146"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280,594</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Reflects fees earned or paid in cash for services rendered in the last fiscal year.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amounts shown represent the aggregate grant date fair value of the RSU award made to each director during the year, computed in accordance with FASB ASC Topic 718. The assumptions used in the valuation of these awards are set forth in note 13 to our consolidated financial statements, which are included in our Annual Report on Form 10-K for the year ended December 31, 2022, filed with the SEC on February 24, 2023. The grant date fair value of these awards is determined for financial statement reporting purposes and does not correspond to the actual value that the directors will receive from the awards.</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Ms. Ducourty’s term as a director ended with the 2022 Annual Meeting.</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As of December 31, 2022, Mr. Goldman held 2,066 RSUs, 1,033 of which vested on March 31, 2023 and the remainder of which will vest in full on June 15, 2023, so long as Mr. Goldman is a member of the Board of Directors on such date.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As of December 31, 2022, Mr. Hsieh held 2,066 RSUs, 1,033 of which vested on March 31, 2023 and the remainder of which will vest in full on June 15, 2023, so long as Mr. Hsieh is a member of the Board of Directors on such date.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As of December 31, 2022, Ms. Hu held 2,066 RSUs, 1,033 of which vested on March 31, 2023 and the remainder of which will vest in full on June 15, 2023, so long as Ms. Hu is a member of the Board of Directors on such date.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As of December 31, 2022, Mr. Neukom held 2,066 RSUs, 1,033 of which vested on March 31, 2023 and the remainder of which will vest in full on June 15, 2023, so long as Mr. Neukom is a member of the Board of Directors on such date.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As of December 31, 2022, Ms. Sim held 2,066 RSUs, 1,033 of which vested on March 31, 2023 and the remainder of which will vest in full on June 15, 2023, so long as Ms. Sim is a member of the Board of Directors on such date.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As of December 31, 2022, Admiral Stavridis (Ret) held 2,066 RSUs, of which 1,033 vested on March 31, 2023 and the remainder of which will vest in full on June 1516, 2023, so long as Admiral Stavridis (Ret) is a member of the Board of Directors on such date.</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Standard Director Compensation Arrangements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a review by Compensia of our annual cash retainer policy and equity award grant policy for non-employee directors, in July 2022, the Human Resources Committee recommended, and the Board of Directors approved, various changes to our cash retainer policy and equity award grant policy for non-employee directors. In accordance with our annual cash retainer policy and equity award grant policy applicable to non-employee directors, each non-employee director is entitled to receive the following compensation for service on the Board of Directors: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annual cash retainer for serving on the Board of Directors of $55,000, paid quarterly, in addition to the annual cash retainer for service on the committees of the Board of Directors as discussed below;</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annual cash retainer for serving as lead independent director of the Board of Directors of $35,000, paid quarterly;</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annual cash retainer for serving in a non-chairperson position on the (i) Audit Committee of $14,000, (ii) Human Resources Committee of $10,000, (iii) Governance Committee of $7,500 and (iv) Social Responsibility Committee of $7,500;</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annual cash retainer of (i) $35,000 for serving as the chairperson of the Audit Committee, (ii) $25,000 for serving as the chairperson of the Human Resources Committee, (iii) $15,000 for serving as the chairperson of the Governance Committee and (iv) $15,000 for serving as the chairperson of the Social Responsibility Committee;</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after completion of each full year of service, an annual grant of a number of RSUs based on a total grant value equal to the peer 50th percentile per Compensia’s director compensation analysis (which for 2022 was $245,000), vesting quarterly on the last day of each quarter and with the final installment vesting on the earlier of the last day of the second quarter and the day prior to the next annual meeting of stockholders; and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newly appointed non-employee directors, an initial grant of a number of RSUs based on a total grant value equal to the then-applicable grant amount, pro-rated based on the projected days from the directors’ appointment date through the next annual meeting of stockholders, vesting in full on the day prior to the next annual meeting of stockholders.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July 2022, the annual cash retainer for serving in a non-chairperson position on the Audit Committee was $13,800, the annual cash retainer for serving as the chairperson of the Audit Committee was $32,500 and the annual cash retainer for serving as the chairperson of the Human Resources Committee was $22,500. Otherwise, the compensation described above remained unchanged from the date of the 2022 Annual Meeting.</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Non-Employee Director Stock Ownership Guidelines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Stock Ownership Guidelines for our non-employee directors (the “Stock Ownership Guidelines”). The Stock Ownership Guidelines are designed to further align the interests of our non-employee directors with those of our stockholders by requiring each non-employee director to maintain a certain financial stake in our company.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Stock Ownership Guidelines, each non-employee director is required to hold a number of shares of our common stock having a market value equal to at least five times such non-employee director’s annual base retainer (excluding fees paid for serving as the Lead Independent Director, Chairperson of the Board of Director or Chairperson or a member of a committee of the Board of Directors). Each non-employee director is required to acquire, and thereafter maintain, this minimum level of ownership by the end of the calendar year following such non-employee director’s fourth anniversary (or, if later, four years following the effective date of the Stock Ownership Guidelines).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our common stock that are beneficially owned by a non-employee director in the following forms are including in determining compliance with the Stock Ownership Guidelines: (i) shares owned by a non-employee director or their immediate family members residing in the same household; (ii) shares held in trust for the benefit of a non-employee director or their immediate family members residing in the same household; (iii) shares owned by a partnership, limited liability company or other entity to the extent of a non-employee director’s interest therein (or the interest therein of their immediate family members residing in the same household) and to the extent the non-employee director has or shares power to vote or dispose of the shares; (iv) vested and unexercised stock options; (v) vested RSUs and PSUs; (vi) other shares acquired through the 2009 Plan or other equity-based compensation plans; and (vii) shares owned in a 401(k) accounts.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Exceptions to the Stock Ownership Guidelines may be made for a particular non-employee director if the Human Resources Committee determines that the non-employee director would incur a hardship by complying with the Stock Ownership Guidelines. Failure to meet, or in unique circumstances, to show sustained progress toward meeting the Stock Ownership Guidelines may be a factor considered by the Human Resources Committee in determining future long-term incentive equity grants and/or appropriate levels of compensation.</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Termination or Change of Control Arrangements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change of control agreements with each of our non-employee directors. These agreements provide that, upon a Change of Control, 100% of the outstanding and unvested equity awards held by such directors will immediately vest in full.</w:t>
      </w:r>
    </w:p>
    <w:p>
      <w:pPr>
        <w:pStyle w:val="TextBody"/>
        <w:keepNext w:val="false"/>
        <w:pageBreakBefore w:val="false"/>
        <w:widowControl/>
        <w:pBdr/>
        <w:spacing w:before="160" w:after="283"/>
        <w:ind w:left="0" w:right="0" w:firstLine="4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Change of Control” in our change of control agreements with our non-employee directors has the same meaning as used in our Change of Control Severance Agreements with the named executive officers. See “— </w:t>
      </w:r>
      <w:r>
        <w:rPr>
          <w:rFonts w:ascii="Times New Roman PS Std;serif" w:hAnsi="Times New Roman PS Std;serif"/>
          <w:b w:val="false"/>
          <w:i/>
          <w:caps w:val="false"/>
          <w:smallCaps w:val="false"/>
          <w:sz w:val="20"/>
        </w:rPr>
        <w:t>Potential Payments Upon Termination or Change of Control — Termination or Change of Control Arrangements</w:t>
      </w:r>
      <w:r>
        <w:rPr>
          <w:rFonts w:ascii="Times New Roman PS Std;serif" w:hAnsi="Times New Roman PS Std;serif"/>
          <w:b w:val="false"/>
          <w:i w:val="false"/>
          <w:caps w:val="false"/>
          <w:smallCaps w:val="false"/>
          <w:sz w:val="20"/>
        </w:rPr>
        <w: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Arrangements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our non-employee directors are not typically paid or reimbursed for travel, lodging and related expenses associated with attending meetings of the Board of Directors or committees of the Board of Directors and for participating in activities related to service on the Board of Directors, we have from time-to-time paid or reimbursed our non-employee directors for reasonable expenses associated with attendance at meetings of the Board of Directors or committees of the Board of Directors.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80" w:name="T11"/>
      <w:bookmarkEnd w:id="80"/>
      <w:r>
        <w:rPr>
          <w:rFonts w:ascii="Times New Roman PS Std;serif" w:hAnsi="Times New Roman PS Std;serif"/>
          <w:b/>
          <w:i w:val="false"/>
          <w:caps w:val="false"/>
          <w:smallCaps w:val="false"/>
          <w:sz w:val="20"/>
        </w:rPr>
        <w:t>Equity Compensation Plan Information</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maintain the 2009 Plan, which provides for the issuance of shares of our common stock to our officers and other employees, directors and consultants and which has been approved by our stockholders.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number of outstanding options and rights and number of securities remaining available for future issuance under our equity compensation plans as of December 31, 2022.</w:t>
      </w:r>
    </w:p>
    <w:tbl>
      <w:tblPr>
        <w:tblW w:w="10205" w:type="dxa"/>
        <w:jc w:val="left"/>
        <w:tblInd w:w="0" w:type="dxa"/>
        <w:tblCellMar>
          <w:top w:w="0" w:type="dxa"/>
          <w:left w:w="0" w:type="dxa"/>
          <w:bottom w:w="0" w:type="dxa"/>
          <w:right w:w="0" w:type="dxa"/>
        </w:tblCellMar>
      </w:tblPr>
      <w:tblGrid>
        <w:gridCol w:w="1894"/>
        <w:gridCol w:w="146"/>
        <w:gridCol w:w="2239"/>
        <w:gridCol w:w="146"/>
        <w:gridCol w:w="507"/>
        <w:gridCol w:w="1451"/>
        <w:gridCol w:w="677"/>
        <w:gridCol w:w="146"/>
        <w:gridCol w:w="2999"/>
      </w:tblGrid>
      <w:tr>
        <w:trPr/>
        <w:tc>
          <w:tcPr>
            <w:tcW w:w="1894"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239"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w:t>
            </w:r>
          </w:p>
        </w:tc>
        <w:tc>
          <w:tcPr>
            <w:tcW w:w="146" w:type="dxa"/>
            <w:tcBorders/>
            <w:shd w:fill="auto" w:val="clear"/>
            <w:vAlign w:val="bottom"/>
          </w:tcPr>
          <w:p>
            <w:pPr>
              <w:pStyle w:val="TableContents"/>
              <w:spacing w:before="0" w:after="283"/>
              <w:rPr/>
            </w:pPr>
            <w:r>
              <w:rPr/>
              <w:t> </w:t>
            </w:r>
          </w:p>
        </w:tc>
        <w:tc>
          <w:tcPr>
            <w:tcW w:w="2635"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w:t>
            </w:r>
          </w:p>
        </w:tc>
        <w:tc>
          <w:tcPr>
            <w:tcW w:w="146" w:type="dxa"/>
            <w:tcBorders/>
            <w:shd w:fill="auto" w:val="clear"/>
            <w:vAlign w:val="bottom"/>
          </w:tcPr>
          <w:p>
            <w:pPr>
              <w:pStyle w:val="TableContents"/>
              <w:spacing w:before="0" w:after="283"/>
              <w:rPr/>
            </w:pPr>
            <w:r>
              <w:rPr/>
              <w:t> </w:t>
            </w:r>
          </w:p>
        </w:tc>
        <w:tc>
          <w:tcPr>
            <w:tcW w:w="2999"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w:t>
            </w:r>
          </w:p>
        </w:tc>
      </w:tr>
      <w:tr>
        <w:trPr/>
        <w:tc>
          <w:tcPr>
            <w:tcW w:w="1894"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Plan category</w:t>
            </w:r>
          </w:p>
        </w:tc>
        <w:tc>
          <w:tcPr>
            <w:tcW w:w="146" w:type="dxa"/>
            <w:tcBorders/>
            <w:shd w:fill="auto" w:val="clear"/>
            <w:vAlign w:val="bottom"/>
          </w:tcPr>
          <w:p>
            <w:pPr>
              <w:pStyle w:val="TableContents"/>
              <w:spacing w:before="0" w:after="283"/>
              <w:rPr/>
            </w:pPr>
            <w:r>
              <w:rPr/>
              <w:t> </w:t>
            </w:r>
          </w:p>
        </w:tc>
        <w:tc>
          <w:tcPr>
            <w:tcW w:w="2239"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securities to be issued upon exercise of outstanding options, warrants and rights (#)</w:t>
            </w:r>
          </w:p>
        </w:tc>
        <w:tc>
          <w:tcPr>
            <w:tcW w:w="146" w:type="dxa"/>
            <w:tcBorders/>
            <w:shd w:fill="auto" w:val="clear"/>
            <w:vAlign w:val="bottom"/>
          </w:tcPr>
          <w:p>
            <w:pPr>
              <w:pStyle w:val="TableContents"/>
              <w:spacing w:before="0" w:after="283"/>
              <w:rPr/>
            </w:pPr>
            <w:r>
              <w:rPr/>
              <w:t> </w:t>
            </w:r>
          </w:p>
        </w:tc>
        <w:tc>
          <w:tcPr>
            <w:tcW w:w="2635"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Weighted-average exercise price per share of outstanding options, warrants and rights ($)</w:t>
            </w:r>
          </w:p>
        </w:tc>
        <w:tc>
          <w:tcPr>
            <w:tcW w:w="146" w:type="dxa"/>
            <w:tcBorders/>
            <w:shd w:fill="auto" w:val="clear"/>
            <w:vAlign w:val="bottom"/>
          </w:tcPr>
          <w:p>
            <w:pPr>
              <w:pStyle w:val="TableContents"/>
              <w:spacing w:before="0" w:after="283"/>
              <w:rPr/>
            </w:pPr>
            <w:r>
              <w:rPr/>
              <w:t> </w:t>
            </w:r>
          </w:p>
        </w:tc>
        <w:tc>
          <w:tcPr>
            <w:tcW w:w="2999"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securities remaining available for future issuance under equity compensation plans (excluding securities reflected in column (a)) (#)</w:t>
            </w:r>
          </w:p>
        </w:tc>
      </w:tr>
      <w:tr>
        <w:trPr/>
        <w:tc>
          <w:tcPr>
            <w:tcW w:w="189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approved by security holders</w:t>
            </w:r>
          </w:p>
        </w:tc>
        <w:tc>
          <w:tcPr>
            <w:tcW w:w="146" w:type="dxa"/>
            <w:tcBorders/>
            <w:shd w:fill="CCEEFF" w:val="clear"/>
            <w:vAlign w:val="bottom"/>
          </w:tcPr>
          <w:p>
            <w:pPr>
              <w:pStyle w:val="TableContents"/>
              <w:spacing w:before="0" w:after="283"/>
              <w:rPr/>
            </w:pPr>
            <w:r>
              <w:rPr/>
              <w:t> </w:t>
            </w:r>
          </w:p>
        </w:tc>
        <w:tc>
          <w:tcPr>
            <w:tcW w:w="223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13,172,235</w:t>
            </w:r>
          </w:p>
        </w:tc>
        <w:tc>
          <w:tcPr>
            <w:tcW w:w="146"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5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24.37</w:t>
            </w:r>
          </w:p>
        </w:tc>
        <w:tc>
          <w:tcPr>
            <w:tcW w:w="677" w:type="dxa"/>
            <w:tcBorders/>
            <w:shd w:fill="CCEEFF" w:val="clear"/>
            <w:vAlign w:val="bottom"/>
          </w:tcPr>
          <w:p>
            <w:pPr>
              <w:pStyle w:val="TableContents"/>
              <w:keepNext w:val="false"/>
              <w:widowControl/>
              <w:pBdr/>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spacing w:before="0" w:after="283"/>
              <w:rPr/>
            </w:pPr>
            <w:r>
              <w:rPr/>
              <w:t> </w:t>
            </w:r>
          </w:p>
        </w:tc>
        <w:tc>
          <w:tcPr>
            <w:tcW w:w="299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57,205,479(2)</w:t>
            </w:r>
          </w:p>
        </w:tc>
      </w:tr>
      <w:tr>
        <w:trPr/>
        <w:tc>
          <w:tcPr>
            <w:tcW w:w="189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not approved by security holders</w:t>
            </w:r>
          </w:p>
        </w:tc>
        <w:tc>
          <w:tcPr>
            <w:tcW w:w="146" w:type="dxa"/>
            <w:tcBorders/>
            <w:shd w:fill="auto" w:val="clear"/>
            <w:vAlign w:val="bottom"/>
          </w:tcPr>
          <w:p>
            <w:pPr>
              <w:pStyle w:val="TableContents"/>
              <w:spacing w:before="0" w:after="283"/>
              <w:rPr/>
            </w:pPr>
            <w:r>
              <w:rPr/>
              <w:t> </w:t>
            </w:r>
          </w:p>
        </w:tc>
        <w:tc>
          <w:tcPr>
            <w:tcW w:w="223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5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67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99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89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223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13,172,235</w:t>
            </w:r>
          </w:p>
        </w:tc>
        <w:tc>
          <w:tcPr>
            <w:tcW w:w="146" w:type="dxa"/>
            <w:tcBorders/>
            <w:shd w:fill="CCEEFF" w:val="clear"/>
            <w:vAlign w:val="bottom"/>
          </w:tcPr>
          <w:p>
            <w:pPr>
              <w:pStyle w:val="TableContents"/>
              <w:spacing w:before="0" w:after="283"/>
              <w:rPr/>
            </w:pPr>
            <w:r>
              <w:rPr/>
              <w:t> </w:t>
            </w:r>
          </w:p>
        </w:tc>
        <w:tc>
          <w:tcPr>
            <w:tcW w:w="507"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5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24.37</w:t>
            </w:r>
          </w:p>
        </w:tc>
        <w:tc>
          <w:tcPr>
            <w:tcW w:w="67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99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57,205,479</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weighted-average exercise price does not reflect the shares that will be issued in connection with the settlement of RSUs, which have no exercise price.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Includes 57,205,479 shares of common stock available for issuance under the 2009 Plan, which was the only equity compensation plan that we maintained as of December 31, 2022.</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81" w:name="T4"/>
      <w:bookmarkEnd w:id="81"/>
      <w:r>
        <w:rPr>
          <w:rFonts w:ascii="Times New Roman PS Std;serif" w:hAnsi="Times New Roman PS Std;serif"/>
          <w:b/>
          <w:i w:val="false"/>
          <w:caps w:val="false"/>
          <w:smallCaps w:val="false"/>
          <w:sz w:val="20"/>
        </w:rPr>
        <w:t>CERTAIN RELATIONSHIPS AND RELATED TRANSACTIONS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82" w:name="T10"/>
      <w:bookmarkEnd w:id="82"/>
      <w:r>
        <w:rPr>
          <w:rFonts w:ascii="Times New Roman PS Std;serif" w:hAnsi="Times New Roman PS Std;serif"/>
          <w:b/>
          <w:i w:val="false"/>
          <w:caps w:val="false"/>
          <w:smallCaps w:val="false"/>
          <w:sz w:val="20"/>
        </w:rPr>
        <w:t>Related-Person Transactions</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Indemnification of Officers and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Certificate and Current Bylaws provide that we will indemnify each of our directors and officers to the fullest extent permitted by Delaware law. In addition, we have entered into indemnification agreements with each of our directors and executive officers.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83" w:name="T9"/>
      <w:bookmarkEnd w:id="83"/>
      <w:r>
        <w:rPr>
          <w:rFonts w:ascii="Times New Roman PS Std;serif" w:hAnsi="Times New Roman PS Std;serif"/>
          <w:b/>
          <w:i w:val="false"/>
          <w:caps w:val="false"/>
          <w:smallCaps w:val="false"/>
          <w:sz w:val="20"/>
        </w:rPr>
        <w:t>Review of Related-Person Transactions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its charter, the Audit Committee is responsible for approving and overseeing any related-person transaction. We intend to ensure that all future transactions between us and our officers, directors and principal stockholders and their affiliates are approved by the Audit Committee on terms no less favorable to us than those that we could obtain from unaffiliated third parties.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these procedures, the terms “related person” and “transaction” have the meanings contained in Item 404 of Regulation S-K.</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individuals and entities that are considered “related persons” include:</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Directors, nominees for director and executive officers of Fortinet;</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known to be the beneficial owner of more than five percent of Fortinet’s common stock (a “5% Stockholder”);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immediate family member, as defined in Item 404(a) of Regulation S-K, of a director, nominee for director, executive officer and 5% Stockholder.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84" w:name="T99134"/>
      <w:bookmarkEnd w:id="84"/>
      <w:r>
        <w:rPr>
          <w:rFonts w:ascii="Times New Roman PS Std;serif" w:hAnsi="Times New Roman PS Std;serif"/>
          <w:b/>
          <w:i w:val="false"/>
          <w:caps/>
          <w:sz w:val="20"/>
        </w:rPr>
        <w:t>Delinquent Section 16(a) Reports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16 of the Exchange Act, Fortinet’s directors, certain officers and any persons holding more than ten percent of Fortinet’s common stock are required to report initial ownership of Fortinet common stock and any subsequent changes in ownership to the SEC. Specific due dates have been established by the SEC, and Fortinet is required to disclose in this proxy statement any failure to file required ownership reports by these dates. Based solely on a review of the reports furnished to Fortinet, or written representations from reporting persons that all reportable transaction were reported, Fortinet believes that during the fiscal year ended December 31, 2022, Fortinet’s directors, certain officers and greater than ten percent owners timely filed all reports they were required to file under Section 16(a), except for a late Form 5 filed on April 14, 2023 by William H. Neukom, Fortinet’s Lead Independent Director, to report the purchases, due to a miscommunication with his broker, of: (i) 1,000 shares of common stock on November 23, 2020; (ii) 725 shares of common stock on March 5, 2021; (iii) 565 shares of common stock on May 26, 2021; (iv) 400 shares of common stock on August 25, 2021; (v) 400 shares of common stock on December 2, 2021; (vi) 375 shares of common stock on February 15, 2022; (vii) 500 shares of common stock on August 31, 2022; and (viii) 500 shares of common stock on November 30, 2022. Mr. Neukom has not sold any shares of Fortinet common stock since joining our Board of Directors and, as a result, none of the aforementioned purchases were matchable with other transactions and he has not realized any profit from such purchases.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85" w:name="T3"/>
      <w:bookmarkEnd w:id="85"/>
      <w:r>
        <w:rPr>
          <w:rFonts w:ascii="Times New Roman PS Std;serif" w:hAnsi="Times New Roman PS Std;serif"/>
          <w:b/>
          <w:i w:val="false"/>
          <w:caps w:val="false"/>
          <w:smallCaps w:val="false"/>
          <w:sz w:val="20"/>
        </w:rPr>
        <w:t>OWNERSHIP OF SECURITIES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certain information regarding the beneficial ownership of Fortinet’s common stock, as of March 31, 2023, for the following:</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(or group of affiliated persons) who is known by us to beneficially own more than 5% of the outstanding shares of our common stock;</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non-employee directors and nominees;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executive officers named in the Summary Compensation Table of this Proxy Statement;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directors and current executive officers of Fortinet as a group.</w:t>
      </w:r>
    </w:p>
    <w:tbl>
      <w:tblPr>
        <w:tblW w:w="10205" w:type="dxa"/>
        <w:jc w:val="left"/>
        <w:tblInd w:w="0" w:type="dxa"/>
        <w:tblCellMar>
          <w:top w:w="0" w:type="dxa"/>
          <w:left w:w="0" w:type="dxa"/>
          <w:bottom w:w="0" w:type="dxa"/>
          <w:right w:w="0" w:type="dxa"/>
        </w:tblCellMar>
      </w:tblPr>
      <w:tblGrid>
        <w:gridCol w:w="4377"/>
        <w:gridCol w:w="146"/>
        <w:gridCol w:w="2535"/>
        <w:gridCol w:w="146"/>
        <w:gridCol w:w="2013"/>
        <w:gridCol w:w="988"/>
      </w:tblGrid>
      <w:tr>
        <w:trPr/>
        <w:tc>
          <w:tcPr>
            <w:tcW w:w="4377"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 Stockholders, Directors, Director Nominees and Officers(1)</w:t>
            </w:r>
          </w:p>
        </w:tc>
        <w:tc>
          <w:tcPr>
            <w:tcW w:w="146" w:type="dxa"/>
            <w:tcBorders/>
            <w:shd w:fill="auto" w:val="clear"/>
            <w:vAlign w:val="bottom"/>
          </w:tcPr>
          <w:p>
            <w:pPr>
              <w:pStyle w:val="TableContents"/>
              <w:spacing w:before="0" w:after="283"/>
              <w:rPr/>
            </w:pPr>
            <w:r>
              <w:rPr/>
              <w:t> </w:t>
            </w:r>
          </w:p>
        </w:tc>
        <w:tc>
          <w:tcPr>
            <w:tcW w:w="2535"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 Beneficially Owned (#)(2)</w:t>
            </w:r>
          </w:p>
        </w:tc>
        <w:tc>
          <w:tcPr>
            <w:tcW w:w="146" w:type="dxa"/>
            <w:tcBorders/>
            <w:shd w:fill="auto" w:val="clear"/>
            <w:vAlign w:val="bottom"/>
          </w:tcPr>
          <w:p>
            <w:pPr>
              <w:pStyle w:val="TableContents"/>
              <w:spacing w:before="0" w:after="283"/>
              <w:rPr/>
            </w:pPr>
            <w:r>
              <w:rPr/>
              <w:t> </w:t>
            </w:r>
          </w:p>
        </w:tc>
        <w:tc>
          <w:tcPr>
            <w:tcW w:w="300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Percentage Beneficially Owned (%)(2)</w:t>
            </w:r>
          </w:p>
        </w:tc>
      </w:tr>
      <w:tr>
        <w:trPr/>
        <w:tc>
          <w:tcPr>
            <w:tcW w:w="437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 Stockholders:</w:t>
            </w:r>
          </w:p>
        </w:tc>
        <w:tc>
          <w:tcPr>
            <w:tcW w:w="146" w:type="dxa"/>
            <w:tcBorders/>
            <w:shd w:fill="CCEEFF" w:val="clear"/>
            <w:vAlign w:val="bottom"/>
          </w:tcPr>
          <w:p>
            <w:pPr>
              <w:pStyle w:val="TableContents"/>
              <w:spacing w:before="0" w:after="283"/>
              <w:rPr/>
            </w:pPr>
            <w:r>
              <w:rPr/>
              <w:t> </w:t>
            </w:r>
          </w:p>
        </w:tc>
        <w:tc>
          <w:tcPr>
            <w:tcW w:w="253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013"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377"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The Vanguard Group</w:t>
            </w:r>
            <w:r>
              <w:rPr>
                <w:rFonts w:ascii="Times New Roman PS Std;serif" w:hAnsi="Times New Roman PS Std;serif"/>
                <w:b w:val="false"/>
                <w:i w:val="false"/>
                <w:caps w:val="false"/>
                <w:smallCaps w:val="false"/>
                <w:sz w:val="12"/>
              </w:rPr>
              <w:t>(3)</w:t>
            </w:r>
          </w:p>
        </w:tc>
        <w:tc>
          <w:tcPr>
            <w:tcW w:w="146" w:type="dxa"/>
            <w:tcBorders/>
            <w:shd w:fill="auto" w:val="clear"/>
            <w:vAlign w:val="bottom"/>
          </w:tcPr>
          <w:p>
            <w:pPr>
              <w:pStyle w:val="TableContents"/>
              <w:spacing w:before="0" w:after="283"/>
              <w:rPr/>
            </w:pPr>
            <w:r>
              <w:rPr/>
              <w:t> </w:t>
            </w:r>
          </w:p>
        </w:tc>
        <w:tc>
          <w:tcPr>
            <w:tcW w:w="253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67,373,952</w:t>
            </w:r>
          </w:p>
        </w:tc>
        <w:tc>
          <w:tcPr>
            <w:tcW w:w="146" w:type="dxa"/>
            <w:tcBorders/>
            <w:shd w:fill="auto" w:val="clear"/>
            <w:vAlign w:val="bottom"/>
          </w:tcPr>
          <w:p>
            <w:pPr>
              <w:pStyle w:val="TableContents"/>
              <w:spacing w:before="0" w:after="283"/>
              <w:rPr/>
            </w:pPr>
            <w:r>
              <w:rPr/>
              <w:t> </w:t>
            </w:r>
          </w:p>
        </w:tc>
        <w:tc>
          <w:tcPr>
            <w:tcW w:w="201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w:t>
            </w:r>
          </w:p>
        </w:tc>
        <w:tc>
          <w:tcPr>
            <w:tcW w:w="98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BlackRock, Inc.</w:t>
            </w:r>
            <w:r>
              <w:rPr>
                <w:rFonts w:ascii="Times New Roman PS Std;serif" w:hAnsi="Times New Roman PS Std;serif"/>
                <w:b w:val="false"/>
                <w:i w:val="false"/>
                <w:caps w:val="false"/>
                <w:smallCaps w:val="false"/>
                <w:sz w:val="12"/>
              </w:rPr>
              <w:t>(4)</w:t>
            </w:r>
          </w:p>
        </w:tc>
        <w:tc>
          <w:tcPr>
            <w:tcW w:w="146" w:type="dxa"/>
            <w:tcBorders/>
            <w:shd w:fill="CCEEFF" w:val="clear"/>
            <w:vAlign w:val="bottom"/>
          </w:tcPr>
          <w:p>
            <w:pPr>
              <w:pStyle w:val="TableContents"/>
              <w:spacing w:before="0" w:after="283"/>
              <w:rPr/>
            </w:pPr>
            <w:r>
              <w:rPr/>
              <w:t> </w:t>
            </w:r>
          </w:p>
        </w:tc>
        <w:tc>
          <w:tcPr>
            <w:tcW w:w="253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50,584,230</w:t>
            </w:r>
          </w:p>
        </w:tc>
        <w:tc>
          <w:tcPr>
            <w:tcW w:w="146" w:type="dxa"/>
            <w:tcBorders/>
            <w:shd w:fill="CCEEFF" w:val="clear"/>
            <w:vAlign w:val="bottom"/>
          </w:tcPr>
          <w:p>
            <w:pPr>
              <w:pStyle w:val="TableContents"/>
              <w:spacing w:before="0" w:after="283"/>
              <w:rPr/>
            </w:pPr>
            <w:r>
              <w:rPr/>
              <w:t> </w:t>
            </w:r>
          </w:p>
        </w:tc>
        <w:tc>
          <w:tcPr>
            <w:tcW w:w="201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w:t>
            </w:r>
          </w:p>
        </w:tc>
        <w:tc>
          <w:tcPr>
            <w:tcW w:w="98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Non-Employee Directors and Nominees:</w:t>
            </w:r>
          </w:p>
        </w:tc>
        <w:tc>
          <w:tcPr>
            <w:tcW w:w="146" w:type="dxa"/>
            <w:tcBorders/>
            <w:shd w:fill="auto" w:val="clear"/>
            <w:vAlign w:val="bottom"/>
          </w:tcPr>
          <w:p>
            <w:pPr>
              <w:pStyle w:val="TableContents"/>
              <w:spacing w:before="0" w:after="283"/>
              <w:rPr/>
            </w:pPr>
            <w:r>
              <w:rPr/>
              <w:t> </w:t>
            </w:r>
          </w:p>
        </w:tc>
        <w:tc>
          <w:tcPr>
            <w:tcW w:w="25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013"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37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Kenneth A. Goldman</w:t>
            </w:r>
            <w:r>
              <w:rPr>
                <w:rFonts w:ascii="Times New Roman PS Std;serif" w:hAnsi="Times New Roman PS Std;serif"/>
                <w:b w:val="false"/>
                <w:i w:val="false"/>
                <w:caps w:val="false"/>
                <w:smallCaps w:val="false"/>
                <w:sz w:val="12"/>
              </w:rPr>
              <w:t>(5)</w:t>
            </w:r>
          </w:p>
        </w:tc>
        <w:tc>
          <w:tcPr>
            <w:tcW w:w="146" w:type="dxa"/>
            <w:tcBorders/>
            <w:shd w:fill="CCEEFF" w:val="clear"/>
            <w:vAlign w:val="bottom"/>
          </w:tcPr>
          <w:p>
            <w:pPr>
              <w:pStyle w:val="TableContents"/>
              <w:spacing w:before="0" w:after="283"/>
              <w:rPr/>
            </w:pPr>
            <w:r>
              <w:rPr/>
              <w:t> </w:t>
            </w:r>
          </w:p>
        </w:tc>
        <w:tc>
          <w:tcPr>
            <w:tcW w:w="253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36,763</w:t>
            </w:r>
          </w:p>
        </w:tc>
        <w:tc>
          <w:tcPr>
            <w:tcW w:w="146" w:type="dxa"/>
            <w:tcBorders/>
            <w:shd w:fill="CCEEFF" w:val="clear"/>
            <w:vAlign w:val="bottom"/>
          </w:tcPr>
          <w:p>
            <w:pPr>
              <w:pStyle w:val="TableContents"/>
              <w:spacing w:before="0" w:after="283"/>
              <w:rPr/>
            </w:pPr>
            <w:r>
              <w:rPr/>
              <w:t> </w:t>
            </w:r>
          </w:p>
        </w:tc>
        <w:tc>
          <w:tcPr>
            <w:tcW w:w="201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8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Ming Hsieh</w:t>
            </w:r>
          </w:p>
        </w:tc>
        <w:tc>
          <w:tcPr>
            <w:tcW w:w="146" w:type="dxa"/>
            <w:tcBorders/>
            <w:shd w:fill="auto" w:val="clear"/>
            <w:vAlign w:val="bottom"/>
          </w:tcPr>
          <w:p>
            <w:pPr>
              <w:pStyle w:val="TableContents"/>
              <w:spacing w:before="0" w:after="283"/>
              <w:rPr/>
            </w:pPr>
            <w:r>
              <w:rPr/>
              <w:t> </w:t>
            </w:r>
          </w:p>
        </w:tc>
        <w:tc>
          <w:tcPr>
            <w:tcW w:w="253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51,228</w:t>
            </w:r>
          </w:p>
        </w:tc>
        <w:tc>
          <w:tcPr>
            <w:tcW w:w="146" w:type="dxa"/>
            <w:tcBorders/>
            <w:shd w:fill="auto" w:val="clear"/>
            <w:vAlign w:val="bottom"/>
          </w:tcPr>
          <w:p>
            <w:pPr>
              <w:pStyle w:val="TableContents"/>
              <w:spacing w:before="0" w:after="283"/>
              <w:rPr/>
            </w:pPr>
            <w:r>
              <w:rPr/>
              <w:t> </w:t>
            </w:r>
          </w:p>
        </w:tc>
        <w:tc>
          <w:tcPr>
            <w:tcW w:w="201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8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Jean Hu</w:t>
            </w:r>
          </w:p>
        </w:tc>
        <w:tc>
          <w:tcPr>
            <w:tcW w:w="146" w:type="dxa"/>
            <w:tcBorders/>
            <w:shd w:fill="CCEEFF" w:val="clear"/>
            <w:vAlign w:val="bottom"/>
          </w:tcPr>
          <w:p>
            <w:pPr>
              <w:pStyle w:val="TableContents"/>
              <w:spacing w:before="0" w:after="283"/>
              <w:rPr/>
            </w:pPr>
            <w:r>
              <w:rPr/>
              <w:t> </w:t>
            </w:r>
          </w:p>
        </w:tc>
        <w:tc>
          <w:tcPr>
            <w:tcW w:w="253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27,593</w:t>
            </w:r>
          </w:p>
        </w:tc>
        <w:tc>
          <w:tcPr>
            <w:tcW w:w="146" w:type="dxa"/>
            <w:tcBorders/>
            <w:shd w:fill="CCEEFF" w:val="clear"/>
            <w:vAlign w:val="bottom"/>
          </w:tcPr>
          <w:p>
            <w:pPr>
              <w:pStyle w:val="TableContents"/>
              <w:spacing w:before="0" w:after="283"/>
              <w:rPr/>
            </w:pPr>
            <w:r>
              <w:rPr/>
              <w:t> </w:t>
            </w:r>
          </w:p>
        </w:tc>
        <w:tc>
          <w:tcPr>
            <w:tcW w:w="201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8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William H. Neukom</w:t>
            </w:r>
          </w:p>
        </w:tc>
        <w:tc>
          <w:tcPr>
            <w:tcW w:w="146" w:type="dxa"/>
            <w:tcBorders/>
            <w:shd w:fill="auto" w:val="clear"/>
            <w:vAlign w:val="bottom"/>
          </w:tcPr>
          <w:p>
            <w:pPr>
              <w:pStyle w:val="TableContents"/>
              <w:spacing w:before="0" w:after="283"/>
              <w:rPr/>
            </w:pPr>
            <w:r>
              <w:rPr/>
              <w:t> </w:t>
            </w:r>
          </w:p>
        </w:tc>
        <w:tc>
          <w:tcPr>
            <w:tcW w:w="253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289,543</w:t>
            </w:r>
          </w:p>
        </w:tc>
        <w:tc>
          <w:tcPr>
            <w:tcW w:w="146" w:type="dxa"/>
            <w:tcBorders/>
            <w:shd w:fill="auto" w:val="clear"/>
            <w:vAlign w:val="bottom"/>
          </w:tcPr>
          <w:p>
            <w:pPr>
              <w:pStyle w:val="TableContents"/>
              <w:spacing w:before="0" w:after="283"/>
              <w:rPr/>
            </w:pPr>
            <w:r>
              <w:rPr/>
              <w:t> </w:t>
            </w:r>
          </w:p>
        </w:tc>
        <w:tc>
          <w:tcPr>
            <w:tcW w:w="201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8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Judith Sim</w:t>
            </w:r>
          </w:p>
        </w:tc>
        <w:tc>
          <w:tcPr>
            <w:tcW w:w="146" w:type="dxa"/>
            <w:tcBorders/>
            <w:shd w:fill="CCEEFF" w:val="clear"/>
            <w:vAlign w:val="bottom"/>
          </w:tcPr>
          <w:p>
            <w:pPr>
              <w:pStyle w:val="TableContents"/>
              <w:spacing w:before="0" w:after="283"/>
              <w:rPr/>
            </w:pPr>
            <w:r>
              <w:rPr/>
              <w:t> </w:t>
            </w:r>
          </w:p>
        </w:tc>
        <w:tc>
          <w:tcPr>
            <w:tcW w:w="253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138,723</w:t>
            </w:r>
          </w:p>
        </w:tc>
        <w:tc>
          <w:tcPr>
            <w:tcW w:w="146" w:type="dxa"/>
            <w:tcBorders/>
            <w:shd w:fill="CCEEFF" w:val="clear"/>
            <w:vAlign w:val="bottom"/>
          </w:tcPr>
          <w:p>
            <w:pPr>
              <w:pStyle w:val="TableContents"/>
              <w:spacing w:before="0" w:after="283"/>
              <w:rPr/>
            </w:pPr>
            <w:r>
              <w:rPr/>
              <w:t> </w:t>
            </w:r>
          </w:p>
        </w:tc>
        <w:tc>
          <w:tcPr>
            <w:tcW w:w="201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8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Admiral James Stavridis (Ret)</w:t>
            </w:r>
          </w:p>
        </w:tc>
        <w:tc>
          <w:tcPr>
            <w:tcW w:w="146" w:type="dxa"/>
            <w:tcBorders/>
            <w:shd w:fill="auto" w:val="clear"/>
            <w:vAlign w:val="bottom"/>
          </w:tcPr>
          <w:p>
            <w:pPr>
              <w:pStyle w:val="TableContents"/>
              <w:spacing w:before="0" w:after="283"/>
              <w:rPr/>
            </w:pPr>
            <w:r>
              <w:rPr/>
              <w:t> </w:t>
            </w:r>
          </w:p>
        </w:tc>
        <w:tc>
          <w:tcPr>
            <w:tcW w:w="253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5,733</w:t>
            </w:r>
          </w:p>
        </w:tc>
        <w:tc>
          <w:tcPr>
            <w:tcW w:w="146" w:type="dxa"/>
            <w:tcBorders/>
            <w:shd w:fill="auto" w:val="clear"/>
            <w:vAlign w:val="bottom"/>
          </w:tcPr>
          <w:p>
            <w:pPr>
              <w:pStyle w:val="TableContents"/>
              <w:spacing w:before="0" w:after="283"/>
              <w:rPr/>
            </w:pPr>
            <w:r>
              <w:rPr/>
              <w:t> </w:t>
            </w:r>
          </w:p>
        </w:tc>
        <w:tc>
          <w:tcPr>
            <w:tcW w:w="201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8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Named Executive Officers:</w:t>
            </w:r>
          </w:p>
        </w:tc>
        <w:tc>
          <w:tcPr>
            <w:tcW w:w="146" w:type="dxa"/>
            <w:tcBorders/>
            <w:shd w:fill="CCEEFF" w:val="clear"/>
            <w:vAlign w:val="bottom"/>
          </w:tcPr>
          <w:p>
            <w:pPr>
              <w:pStyle w:val="TableContents"/>
              <w:spacing w:before="0" w:after="283"/>
              <w:rPr/>
            </w:pPr>
            <w:r>
              <w:rPr/>
              <w:t> </w:t>
            </w:r>
          </w:p>
        </w:tc>
        <w:tc>
          <w:tcPr>
            <w:tcW w:w="253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013"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377"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Ken Xie</w:t>
            </w:r>
            <w:r>
              <w:rPr>
                <w:rFonts w:ascii="Times New Roman PS Std;serif" w:hAnsi="Times New Roman PS Std;serif"/>
                <w:b w:val="false"/>
                <w:i w:val="false"/>
                <w:caps w:val="false"/>
                <w:smallCaps w:val="false"/>
                <w:sz w:val="12"/>
              </w:rPr>
              <w:t>(6)</w:t>
            </w:r>
          </w:p>
        </w:tc>
        <w:tc>
          <w:tcPr>
            <w:tcW w:w="146" w:type="dxa"/>
            <w:tcBorders/>
            <w:shd w:fill="auto" w:val="clear"/>
            <w:vAlign w:val="bottom"/>
          </w:tcPr>
          <w:p>
            <w:pPr>
              <w:pStyle w:val="TableContents"/>
              <w:spacing w:before="0" w:after="283"/>
              <w:rPr/>
            </w:pPr>
            <w:r>
              <w:rPr/>
              <w:t> </w:t>
            </w:r>
          </w:p>
        </w:tc>
        <w:tc>
          <w:tcPr>
            <w:tcW w:w="253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79,268,269</w:t>
            </w:r>
          </w:p>
        </w:tc>
        <w:tc>
          <w:tcPr>
            <w:tcW w:w="146" w:type="dxa"/>
            <w:tcBorders/>
            <w:shd w:fill="auto" w:val="clear"/>
            <w:vAlign w:val="bottom"/>
          </w:tcPr>
          <w:p>
            <w:pPr>
              <w:pStyle w:val="TableContents"/>
              <w:spacing w:before="0" w:after="283"/>
              <w:rPr/>
            </w:pPr>
            <w:r>
              <w:rPr/>
              <w:t> </w:t>
            </w:r>
          </w:p>
        </w:tc>
        <w:tc>
          <w:tcPr>
            <w:tcW w:w="201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w:t>
            </w:r>
          </w:p>
        </w:tc>
        <w:tc>
          <w:tcPr>
            <w:tcW w:w="98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437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Michael Xie</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spacing w:before="0" w:after="283"/>
              <w:rPr/>
            </w:pPr>
            <w:r>
              <w:rPr/>
              <w:t> </w:t>
            </w:r>
          </w:p>
        </w:tc>
        <w:tc>
          <w:tcPr>
            <w:tcW w:w="253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70,990,298</w:t>
            </w:r>
          </w:p>
        </w:tc>
        <w:tc>
          <w:tcPr>
            <w:tcW w:w="146" w:type="dxa"/>
            <w:tcBorders/>
            <w:shd w:fill="CCEEFF" w:val="clear"/>
            <w:vAlign w:val="bottom"/>
          </w:tcPr>
          <w:p>
            <w:pPr>
              <w:pStyle w:val="TableContents"/>
              <w:spacing w:before="0" w:after="283"/>
              <w:rPr/>
            </w:pPr>
            <w:r>
              <w:rPr/>
              <w:t> </w:t>
            </w:r>
          </w:p>
        </w:tc>
        <w:tc>
          <w:tcPr>
            <w:tcW w:w="201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9.0</w:t>
            </w:r>
          </w:p>
        </w:tc>
        <w:tc>
          <w:tcPr>
            <w:tcW w:w="98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4377"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Keith Jensen</w:t>
            </w:r>
            <w:r>
              <w:rPr>
                <w:rFonts w:ascii="Times New Roman PS Std;serif" w:hAnsi="Times New Roman PS Std;serif"/>
                <w:b w:val="false"/>
                <w:i w:val="false"/>
                <w:caps w:val="false"/>
                <w:smallCaps w:val="false"/>
                <w:sz w:val="12"/>
              </w:rPr>
              <w:t>(8)</w:t>
            </w:r>
          </w:p>
        </w:tc>
        <w:tc>
          <w:tcPr>
            <w:tcW w:w="146" w:type="dxa"/>
            <w:tcBorders/>
            <w:shd w:fill="auto" w:val="clear"/>
            <w:vAlign w:val="bottom"/>
          </w:tcPr>
          <w:p>
            <w:pPr>
              <w:pStyle w:val="TableContents"/>
              <w:spacing w:before="0" w:after="283"/>
              <w:rPr/>
            </w:pPr>
            <w:r>
              <w:rPr/>
              <w:t> </w:t>
            </w:r>
          </w:p>
        </w:tc>
        <w:tc>
          <w:tcPr>
            <w:tcW w:w="253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67,754</w:t>
            </w:r>
          </w:p>
        </w:tc>
        <w:tc>
          <w:tcPr>
            <w:tcW w:w="146" w:type="dxa"/>
            <w:tcBorders/>
            <w:shd w:fill="auto" w:val="clear"/>
            <w:vAlign w:val="bottom"/>
          </w:tcPr>
          <w:p>
            <w:pPr>
              <w:pStyle w:val="TableContents"/>
              <w:spacing w:before="0" w:after="283"/>
              <w:rPr/>
            </w:pPr>
            <w:r>
              <w:rPr/>
              <w:t> </w:t>
            </w:r>
          </w:p>
        </w:tc>
        <w:tc>
          <w:tcPr>
            <w:tcW w:w="201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8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Patrice Perche</w:t>
            </w:r>
            <w:r>
              <w:rPr>
                <w:rFonts w:ascii="Times New Roman PS Std;serif" w:hAnsi="Times New Roman PS Std;serif"/>
                <w:b w:val="false"/>
                <w:i w:val="false"/>
                <w:caps w:val="false"/>
                <w:smallCaps w:val="false"/>
                <w:sz w:val="12"/>
              </w:rPr>
              <w:t>(9)</w:t>
            </w:r>
          </w:p>
        </w:tc>
        <w:tc>
          <w:tcPr>
            <w:tcW w:w="146" w:type="dxa"/>
            <w:tcBorders/>
            <w:shd w:fill="CCEEFF" w:val="clear"/>
            <w:vAlign w:val="bottom"/>
          </w:tcPr>
          <w:p>
            <w:pPr>
              <w:pStyle w:val="TableContents"/>
              <w:spacing w:before="0" w:after="283"/>
              <w:rPr/>
            </w:pPr>
            <w:r>
              <w:rPr/>
              <w:t> </w:t>
            </w:r>
          </w:p>
        </w:tc>
        <w:tc>
          <w:tcPr>
            <w:tcW w:w="253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78,566</w:t>
            </w:r>
          </w:p>
        </w:tc>
        <w:tc>
          <w:tcPr>
            <w:tcW w:w="146" w:type="dxa"/>
            <w:tcBorders/>
            <w:shd w:fill="CCEEFF" w:val="clear"/>
            <w:vAlign w:val="bottom"/>
          </w:tcPr>
          <w:p>
            <w:pPr>
              <w:pStyle w:val="TableContents"/>
              <w:spacing w:before="0" w:after="283"/>
              <w:rPr/>
            </w:pPr>
            <w:r>
              <w:rPr/>
              <w:t> </w:t>
            </w:r>
          </w:p>
        </w:tc>
        <w:tc>
          <w:tcPr>
            <w:tcW w:w="201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8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John Whittle</w:t>
            </w:r>
            <w:r>
              <w:rPr>
                <w:rFonts w:ascii="Times New Roman PS Std;serif" w:hAnsi="Times New Roman PS Std;serif"/>
                <w:b w:val="false"/>
                <w:i w:val="false"/>
                <w:caps w:val="false"/>
                <w:smallCaps w:val="false"/>
                <w:sz w:val="12"/>
              </w:rPr>
              <w:t>(10)</w:t>
            </w:r>
          </w:p>
        </w:tc>
        <w:tc>
          <w:tcPr>
            <w:tcW w:w="146" w:type="dxa"/>
            <w:tcBorders/>
            <w:shd w:fill="auto" w:val="clear"/>
            <w:vAlign w:val="bottom"/>
          </w:tcPr>
          <w:p>
            <w:pPr>
              <w:pStyle w:val="TableContents"/>
              <w:spacing w:before="0" w:after="283"/>
              <w:rPr/>
            </w:pPr>
            <w:r>
              <w:rPr/>
              <w:t> </w:t>
            </w:r>
          </w:p>
        </w:tc>
        <w:tc>
          <w:tcPr>
            <w:tcW w:w="253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301,191</w:t>
            </w:r>
          </w:p>
        </w:tc>
        <w:tc>
          <w:tcPr>
            <w:tcW w:w="146" w:type="dxa"/>
            <w:tcBorders/>
            <w:shd w:fill="auto" w:val="clear"/>
            <w:vAlign w:val="bottom"/>
          </w:tcPr>
          <w:p>
            <w:pPr>
              <w:pStyle w:val="TableContents"/>
              <w:spacing w:before="0" w:after="283"/>
              <w:rPr/>
            </w:pPr>
            <w:r>
              <w:rPr/>
              <w:t> </w:t>
            </w:r>
          </w:p>
        </w:tc>
        <w:tc>
          <w:tcPr>
            <w:tcW w:w="201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8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All directors and current executive officers as a group (11 persons)</w:t>
            </w:r>
            <w:r>
              <w:rPr>
                <w:rFonts w:ascii="Times New Roman PS Std;serif" w:hAnsi="Times New Roman PS Std;serif"/>
                <w:b w:val="false"/>
                <w:i w:val="false"/>
                <w:caps w:val="false"/>
                <w:smallCaps w:val="false"/>
                <w:sz w:val="12"/>
              </w:rPr>
              <w:t>(11)</w:t>
            </w:r>
          </w:p>
        </w:tc>
        <w:tc>
          <w:tcPr>
            <w:tcW w:w="146" w:type="dxa"/>
            <w:tcBorders/>
            <w:shd w:fill="CCEEFF" w:val="clear"/>
            <w:vAlign w:val="bottom"/>
          </w:tcPr>
          <w:p>
            <w:pPr>
              <w:pStyle w:val="TableContents"/>
              <w:spacing w:before="0" w:after="283"/>
              <w:rPr/>
            </w:pPr>
            <w:r>
              <w:rPr/>
              <w:t> </w:t>
            </w:r>
          </w:p>
        </w:tc>
        <w:tc>
          <w:tcPr>
            <w:tcW w:w="253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133,433,872</w:t>
            </w:r>
          </w:p>
        </w:tc>
        <w:tc>
          <w:tcPr>
            <w:tcW w:w="146" w:type="dxa"/>
            <w:tcBorders/>
            <w:shd w:fill="CCEEFF" w:val="clear"/>
            <w:vAlign w:val="bottom"/>
          </w:tcPr>
          <w:p>
            <w:pPr>
              <w:pStyle w:val="TableContents"/>
              <w:spacing w:before="0" w:after="283"/>
              <w:rPr/>
            </w:pPr>
            <w:r>
              <w:rPr/>
              <w:t> </w:t>
            </w:r>
          </w:p>
        </w:tc>
        <w:tc>
          <w:tcPr>
            <w:tcW w:w="201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17.54</w:t>
            </w:r>
          </w:p>
        </w:tc>
        <w:tc>
          <w:tcPr>
            <w:tcW w:w="98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Represents less than 1% of the total.</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Unless otherwise indicated in the table, the address for each listed person is c/o Fortinet, Inc., 899 Kifer Road, Sunnyvale, California 94086.</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number and percentage of shares beneficially owned is determined under rules of the SEC,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within 60 days of March 31, 2023, through the exercise of any stock option or other right. Unless otherwise indicated in the footnotes, each person has sole voting and investment power (or shares such powers with such person’s spouse) with respect to the shares shown as beneficially owned. Percentage beneficially owned is based on 784,340,444 shares of common stock outstanding on March 31, 2023.</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Based solely on information reported by The Vanguard Group (“Vanguard”) on Schedule 13G/A filed with the SEC on February 9, 2023. Vanguard reported beneficial ownership of 67,373,952 shares, including 64,642,679 shares over which it has sole dispositive power. The address of Vanguard is 100 Vanguard Boulevard, Malvern, Pennsylvania 19355.</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Based solely on information reported by BlackRock, Inc. (“BlackRock”) on Schedule 13G/A filed with the SEC on February 1, 2023. BlackRock reported beneficial ownership of 50,584,230 shares, including 45,855,273 shares over which it has sole voting power and 50,584,230 shares over which it has sole dispositive power. The address of BlackRock is 55 East 52nd Street, New York, New York 10055.</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Includes: (i) 15,013 shares held by Mr. Goldman; (ii) 20,750 shares held by the Goldman-Valeriote Family Trust, for which Mr. Goldman serves as a trustee; and (iii) 1,000 shares held by the GV Partners, L.P., for which Mr. Goldman serves as managing member. Mr. Goldman disclaims beneficial ownership of the shares held by the Goldman-Valeriote Family Trust except to the extent of his pecuniary interest therein.</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Includes: (i) 48,303,269 shares held of record by Mr. Ken Xie; (ii) 7,500,000 shares held by a grantor retained annuity trust for which Mr. Ken Xie is the settlor and trustee; (iii) 7,500,000 shares held by a grantor retained annuity trust for which Mr. Ken Xie serves as trustee; and (iv) 12,802,800 shares held by the Xie Foundation, a non-profit entity for which Mr. Ken Xie serves as co-president and a director. Mr. Ken Xie has no pecuniary interest in and disclaims beneficial ownership of the shares held by the Xie Foundation. Also includes: (i) 3,132,005 shares issuable upon the exercise of stock options held by Mr. Ken Xie that are exercisable within 60 days of March 31, 2023; and (ii) 30,195 shares issuable upon the settlement of RSUs that will vest within 60 days of March 31, 2023.</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Includes: (i) 29,727,018 shares held of record by Mr. Michael Xie; (ii) 9,958,430 shares held by the 2010 K.A. Family Trust dated May 3, 2010, for which Mr. Michael Xie serves as a trustee; (iii) 17,041,070 shares held by the K.A. Children’s Trust dated February 9, 2011, for which Mr. Michael Xie serves as a trustee; and (iv) 12,802,800 shares held by the Xie Foundation, a non-profit entity for which Mr. Michael Xie serves as co-president and a director. Mr. Michael Xie has no pecuniary interest in and disclaims beneficial ownership of the shares held by the Xie Foundation. Also includes (i) 1,449,305 shares issuable upon the exercise of stock options held by Mr. Michael Xie that are exercisable within 60 days of March 31, 2023; and (ii) 11,675 shares issuable upon the settlement of RSUs that will vest within 60 days of March 31, 2023.</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Includes: (i) 4,569 shares held of record by Mr. Jensen; (ii) 53,060 shares issuable upon the exercise of stock options held by Mr. Jensen that are exercisable within 60 days of March 31, 2023; and (iii) 10,125 shares issuable upon the settlement of RSUs held by Mr. Jensen that will vest within 60 days of March 31, 2023.</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Includes: (i) 25,730 shares held of record by Mr. Perche; (ii) 43,416 shares issuable upon the exercise of stock options held by Mr. Perche that are exercisable within 60 days of March 31, 2023; and (iii) 9,420 shares issuable upon the settlement of RSUs that will vest within 60 days of March 31, 2023.</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Includes: (i) 21,403 shares held of record by Mr. Whittle; (ii) 273,588 shares issuable upon the exercise of stock options held by Mr. Whittle that are exercisable within 60 days of March 31, 2023; and (iii) 6,200 shares issuable upon the settlement of RSUs that will vest within 60 days of March 31, 2023.</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 Includes: (i) 133,433,872 shares held by the current directors and executive officers; (ii) 4,951,374 shares issuable upon the exercise of stock options held by the current directors and executive officers that are exercisable within 60 days of March 31, 2023; and (iii) 67,615 shares issuable upon the settlement of RSUs held by the current directors and executive officers that will vest within 60 days of March 31, 2023.</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86" w:name="T2"/>
      <w:bookmarkEnd w:id="86"/>
      <w:r>
        <w:rPr>
          <w:rFonts w:ascii="Times New Roman PS Std;serif" w:hAnsi="Times New Roman PS Std;serif"/>
          <w:b/>
          <w:i w:val="false"/>
          <w:caps w:val="false"/>
          <w:smallCaps w:val="false"/>
          <w:sz w:val="20"/>
        </w:rPr>
        <w:t>AUDIT COMMITTEE REPORT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assists the Board of Directors in fulfilling its responsibilities for oversight of the integrity of Fortinet’s financial statements, our internal accounting and financial controls, our compliance with legal and regulatory requirements and the qualifications, independence and performance of our independent registered public accounting firm.</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management of Fortinet is responsible for establishing and maintaining internal controls and for preparing Fortinet’s consolidated financial statements. The independent registered public accounting firm is responsible for auditing the financial statements. It is the responsibility of the Audit Committee to oversee these activities.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and discussed the audited financial statements with Fortinet management and with Deloitte &amp; Touche LLP, Fortinet’s independent registered public accounting firm;</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Discussed with Deloitte &amp; Touche LLP the matters required to be discussed by the Auditing Standard No. 1301 adopted by the Public Company Accounting Oversight Board regarding “Communication with Audit Committees”;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Received the written disclosures and the letter from Deloitte &amp; Touche LLP required by applicable requirements of the Public Company Accounting Oversight Board regarding Deloitte &amp; Touche LLP’s communications with the Audit Committee concerning independence and has discussed with Deloitte &amp; Touche LLP its independence.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these discussions and review, the Audit Committee recommended to the Board of Directors that the audited financial statements be included in Fortinet’s Annual Report on Form 10-K for the fiscal year ended December 31, 2022 for filing with the United States Securities and Exchange Commission.</w:t>
      </w:r>
    </w:p>
    <w:p>
      <w:pPr>
        <w:pStyle w:val="TextBody"/>
        <w:keepNext w:val="false"/>
        <w:pageBreakBefore w:val="false"/>
        <w:widowControl/>
        <w:pBdr/>
        <w:spacing w:before="160" w:after="283"/>
        <w:ind w:left="0" w:right="0" w:firstLine="84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Respectfully submitted by the members of the Audit Committee of the Board of Directors</w:t>
      </w:r>
    </w:p>
    <w:tbl>
      <w:tblPr>
        <w:tblW w:w="2588" w:type="dxa"/>
        <w:jc w:val="left"/>
        <w:tblInd w:w="0" w:type="dxa"/>
        <w:tblCellMar>
          <w:top w:w="0" w:type="dxa"/>
          <w:left w:w="0" w:type="dxa"/>
          <w:bottom w:w="0" w:type="dxa"/>
          <w:right w:w="0" w:type="dxa"/>
        </w:tblCellMar>
      </w:tblPr>
      <w:tblGrid>
        <w:gridCol w:w="161"/>
        <w:gridCol w:w="146"/>
        <w:gridCol w:w="2281"/>
      </w:tblGrid>
      <w:tr>
        <w:trPr/>
        <w:tc>
          <w:tcPr>
            <w:tcW w:w="16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2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Hu (Chairperson)</w:t>
            </w:r>
          </w:p>
        </w:tc>
      </w:tr>
      <w:tr>
        <w:trPr/>
        <w:tc>
          <w:tcPr>
            <w:tcW w:w="1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Kenneth A. Goldman</w:t>
            </w:r>
          </w:p>
        </w:tc>
      </w:tr>
      <w:tr>
        <w:trPr/>
        <w:tc>
          <w:tcPr>
            <w:tcW w:w="1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Ming Hsieh</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67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87" w:name="T1"/>
      <w:bookmarkEnd w:id="87"/>
      <w:r>
        <w:rPr>
          <w:rFonts w:ascii="Times New Roman PS Std;serif" w:hAnsi="Times New Roman PS Std;serif"/>
          <w:b/>
          <w:i w:val="false"/>
          <w:caps w:val="false"/>
          <w:smallCaps w:val="false"/>
          <w:sz w:val="20"/>
        </w:rPr>
        <w:t>OTHER MATTERS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Fortinet knows of no other matters to be submitted at the 2023 Annual Meeting. If any other matters properly come before the 2023 Annual Meeting, it is the intention of the persons named in the proxy to vote the shares they represent as the Board of Directors may recommend. Discretionary authority with respect to such other matters is granted by a properly submitted proxy.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important that your shares be represented at the 2023 Annual Meeting, regardless of the number of shares that you hold. You are, therefore, urged to vote as instructed in the Notice, via the internet or by telephone as promptly as possible to ensure your vote is recorded.</w:t>
      </w:r>
    </w:p>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r>
    </w:p>
    <w:p>
      <w:pPr>
        <w:pStyle w:val="TextBody"/>
        <w:keepNext w:val="false"/>
        <w:pageBreakBefore w:val="false"/>
        <w:widowControl/>
        <w:pBdr/>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Sunnyvale, California</w:t>
        <w:br/>
        <w:t>May 1, 2023</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88" w:name="T99135"/>
      <w:bookmarkEnd w:id="88"/>
      <w:r>
        <w:rPr>
          <w:rFonts w:ascii="Times New Roman PS Std;serif" w:hAnsi="Times New Roman PS Std;serif"/>
          <w:b/>
          <w:i w:val="false"/>
          <w:caps w:val="false"/>
          <w:smallCaps w:val="false"/>
          <w:sz w:val="20"/>
        </w:rPr>
        <w:t xml:space="preserve">APPENDIX A </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MAJORITY VOTING AMENDMENT</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 * * *</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FORTINET, INC.</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CERTIFICATE OF AMENDMENT TO</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AMENDED AND RESTATED CERTIFICATE OF INCORPORATION</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Fortinet, Inc., a corporation organized and existing under the laws of the State of Delaware, hereby certifies as follows:</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That the name of the corporation is Fortinet, Inc. and that the corporation was originally incorporated pursuant to the General Corporation Law of the State of Delaware (the “</w:t>
      </w:r>
      <w:r>
        <w:rPr>
          <w:rFonts w:ascii="Times New Roman PS Std;serif" w:hAnsi="Times New Roman PS Std;serif"/>
          <w:b/>
          <w:i w:val="false"/>
          <w:caps w:val="false"/>
          <w:smallCaps w:val="false"/>
          <w:sz w:val="20"/>
        </w:rPr>
        <w:t>DGCL</w:t>
      </w:r>
      <w:r>
        <w:rPr>
          <w:rFonts w:ascii="Times New Roman PS Std;serif" w:hAnsi="Times New Roman PS Std;serif"/>
          <w:b w:val="false"/>
          <w:i w:val="false"/>
          <w:caps w:val="false"/>
          <w:smallCaps w:val="false"/>
          <w:sz w:val="20"/>
        </w:rPr>
        <w:t>”) on November 28, 2000 under the name “Appligation, Inc.”</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corporation filed an Amended and Restated Certificate of Incorporation on June 22, 2022 (the “</w:t>
      </w:r>
      <w:r>
        <w:rPr>
          <w:rFonts w:ascii="Times New Roman PS Std;serif" w:hAnsi="Times New Roman PS Std;serif"/>
          <w:b/>
          <w:i w:val="false"/>
          <w:caps w:val="false"/>
          <w:smallCaps w:val="false"/>
          <w:sz w:val="20"/>
        </w:rPr>
        <w:t>Amended and Restated Certificate of Incorporation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This Certificate of Amendment to Amended and Restated Certificate of Incorporation was duly adopted by the corporation’s Board of Directors and stockholders in accordance with Section 242 of the DGCL.</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Article IV of the Amended and Restated Certificate of Incorporation is hereby amended such that the following paragraph shall be deleted in its entirety:</w:t>
      </w:r>
    </w:p>
    <w:p>
      <w:pPr>
        <w:pStyle w:val="TextBody"/>
        <w:keepNext w:val="false"/>
        <w:pageBreakBefore w:val="false"/>
        <w:widowControl/>
        <w:pBdr/>
        <w:spacing w:before="160" w:after="283"/>
        <w:ind w:left="720" w:right="72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Contingent and effective upon the filing of this Restated Certificate of Incorporation, every one (1) share of Common Stock outstanding or held in treasury will, automatically and without any further action by the corporation or the stockholders thereof, become five (5) shares of Common Stock outstanding or held in treasury, as applicable (the “Forward Stock Split”). The par value of the Common Stock shall remain $0.001 per share.</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Article X of the Amended and Restated Certificate of Incorporation is hereby amended and restated in its entirety as follows:</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X</w:t>
      </w:r>
    </w:p>
    <w:p>
      <w:pPr>
        <w:pStyle w:val="TextBody"/>
        <w:keepNext w:val="false"/>
        <w:pageBreakBefore w:val="false"/>
        <w:widowControl/>
        <w:pBdr/>
        <w:spacing w:before="160" w:after="283"/>
        <w:ind w:left="720" w:right="72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corporation reserves the right to amend, alter, change or repeal any provision contained in this Certificate of Incorporation (including any rights, preferences or other designations of Preferred Stock), in the manner now or hereafter prescribed by this Certificate of Incorporation and the DGCL; and, except as set forth in Article IX, all rights, preferences and privileges herein conferred upon stockholders, directors or any other persons by and pursuant to this Certificate of Incorporation in its present form or as hereafter amended are granted subject to the right reserved in this Article X.</w:t>
      </w:r>
    </w:p>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 * * * * * * * *</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 WITNESS WHEREOF</w:t>
      </w:r>
      <w:r>
        <w:rPr>
          <w:rFonts w:ascii="Times New Roman PS Std;serif" w:hAnsi="Times New Roman PS Std;serif"/>
          <w:b w:val="false"/>
          <w:i w:val="false"/>
          <w:caps w:val="false"/>
          <w:smallCaps w:val="false"/>
          <w:sz w:val="20"/>
        </w:rPr>
        <w:t>, the corporation has caused this Certificate of Amendment to Amended and Restated Certificate of Incorporation to be signed by the Chief Executive Officer of the corporation on this [__] day of [__], 2023.</w:t>
      </w:r>
    </w:p>
    <w:tbl>
      <w:tblPr>
        <w:tblW w:w="3260" w:type="dxa"/>
        <w:jc w:val="left"/>
        <w:tblInd w:w="0" w:type="dxa"/>
        <w:tblCellMar>
          <w:top w:w="0" w:type="dxa"/>
          <w:left w:w="0" w:type="dxa"/>
          <w:bottom w:w="0" w:type="dxa"/>
          <w:right w:w="0" w:type="dxa"/>
        </w:tblCellMar>
      </w:tblPr>
      <w:tblGrid>
        <w:gridCol w:w="161"/>
        <w:gridCol w:w="146"/>
        <w:gridCol w:w="421"/>
        <w:gridCol w:w="146"/>
        <w:gridCol w:w="2386"/>
      </w:tblGrid>
      <w:tr>
        <w:trPr/>
        <w:tc>
          <w:tcPr>
            <w:tcW w:w="161"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pPr>
            <w:r>
              <w:rPr/>
              <w:t> </w:t>
            </w:r>
          </w:p>
        </w:tc>
        <w:tc>
          <w:tcPr>
            <w:tcW w:w="421"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shd w:fill="auto" w:val="clear"/>
          </w:tcPr>
          <w:p>
            <w:pPr>
              <w:pStyle w:val="TableContents"/>
              <w:spacing w:before="0" w:after="283"/>
              <w:rPr/>
            </w:pPr>
            <w:r>
              <w:rPr/>
              <w:t> </w:t>
            </w:r>
          </w:p>
        </w:tc>
        <w:tc>
          <w:tcPr>
            <w:tcW w:w="2386" w:type="dxa"/>
            <w:tcBorders/>
            <w:shd w:fill="auto" w:val="clear"/>
          </w:tcPr>
          <w:p>
            <w:pPr>
              <w:pStyle w:val="TableContents"/>
              <w:keepNext w:val="false"/>
              <w:widowControl/>
              <w:pBdr/>
              <w:spacing w:before="160" w:after="283"/>
              <w:jc w:val="left"/>
              <w:rPr>
                <w:caps w:val="false"/>
                <w:smallCaps w:val="false"/>
              </w:rPr>
            </w:pPr>
            <w:r>
              <w:rPr>
                <w:caps w:val="false"/>
                <w:smallCaps w:val="false"/>
              </w:rPr>
              <w:t> </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42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238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42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238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A-1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89" w:name="T99136"/>
      <w:bookmarkEnd w:id="89"/>
      <w:r>
        <w:rPr>
          <w:rFonts w:ascii="Times New Roman PS Std;serif" w:hAnsi="Times New Roman PS Std;serif"/>
          <w:b/>
          <w:i w:val="false"/>
          <w:caps w:val="false"/>
          <w:smallCaps w:val="false"/>
          <w:sz w:val="20"/>
        </w:rPr>
        <w:t>APPENDIX B</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OFFICER EXCULPATION AMENDMENT</w:t>
      </w:r>
    </w:p>
    <w:p>
      <w:pPr>
        <w:pStyle w:val="TextBody"/>
        <w:keepNext w:val="fals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 * * *</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FORTINET, INC.</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CERTIFICATE OF AMENDMENT TO</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AMENDED AND RESTATED CERTIFICATE OF INCORPORATION</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Fortinet, Inc., a corporation organized and existing under the laws of the State of Delaware, hereby certifies as follows:</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That the name of the corporation is Fortinet, Inc. and that the corporation was originally incorporated pursuant to the General Corporation Law of the State of Delaware (the “</w:t>
      </w:r>
      <w:r>
        <w:rPr>
          <w:rFonts w:ascii="Times New Roman PS Std;serif" w:hAnsi="Times New Roman PS Std;serif"/>
          <w:b/>
          <w:i w:val="false"/>
          <w:caps w:val="false"/>
          <w:smallCaps w:val="false"/>
          <w:sz w:val="20"/>
        </w:rPr>
        <w:t>DGCL</w:t>
      </w:r>
      <w:r>
        <w:rPr>
          <w:rFonts w:ascii="Times New Roman PS Std;serif" w:hAnsi="Times New Roman PS Std;serif"/>
          <w:b w:val="false"/>
          <w:i w:val="false"/>
          <w:caps w:val="false"/>
          <w:smallCaps w:val="false"/>
          <w:sz w:val="20"/>
        </w:rPr>
        <w:t>”) on November 28, 2000 under the name “Appligation, Inc.”</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corporation filed an Amended and Restated Certificate of Incorporation on June 22, 2022 (the “</w:t>
      </w:r>
      <w:r>
        <w:rPr>
          <w:rFonts w:ascii="Times New Roman PS Std;serif" w:hAnsi="Times New Roman PS Std;serif"/>
          <w:b/>
          <w:i w:val="false"/>
          <w:caps w:val="false"/>
          <w:smallCaps w:val="false"/>
          <w:sz w:val="20"/>
        </w:rPr>
        <w:t>Amended and Restated Certificate of Incorporation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This Certificate of Amendment to Amended and Restated Certificate of Incorporation was duly adopted by the corporation’s Board of Directors and stockholders in accordance with Section 242 of the DGCL.</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Article IX of the Amended and Restated Certificate of Incorporation is hereby amended and restated in its entirety as follows:</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IX</w:t>
      </w:r>
    </w:p>
    <w:p>
      <w:pPr>
        <w:pStyle w:val="TextBody"/>
        <w:keepNext w:val="false"/>
        <w:pageBreakBefore w:val="false"/>
        <w:widowControl/>
        <w:pBdr/>
        <w:spacing w:before="160" w:after="283"/>
        <w:ind w:left="720" w:right="72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fullest extent permitted by the DGCL, as it presently exists or may hereafter be amended from time to time, a director or officer of the corporation shall not be personally liable to the corporation or its stockholders for monetary damages for breach of fiduciary duty as a director or officer, as applicable. If the DGCL is amended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pStyle w:val="TextBody"/>
        <w:keepNext w:val="false"/>
        <w:pageBreakBefore w:val="false"/>
        <w:widowControl/>
        <w:pBdr/>
        <w:spacing w:before="160" w:after="283"/>
        <w:ind w:left="720" w:right="72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Times New Roman PS Std;serif" w:hAnsi="Times New Roman PS Std;serif"/>
          <w:b/>
          <w:i w:val="false"/>
          <w:caps w:val="false"/>
          <w:smallCaps w:val="false"/>
          <w:sz w:val="20"/>
        </w:rPr>
        <w:t>Proceeding</w:t>
      </w:r>
      <w:r>
        <w:rPr>
          <w:rFonts w:ascii="Times New Roman PS Std;serif" w:hAnsi="Times New Roman PS Std;serif"/>
          <w:b w:val="false"/>
          <w:i w:val="false"/>
          <w:caps w:val="false"/>
          <w:smallCaps w:val="false"/>
          <w:sz w:val="20"/>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 Proceeding initiated by such person only if the Proceeding was authorized by the Board.</w:t>
      </w:r>
    </w:p>
    <w:p>
      <w:pPr>
        <w:pStyle w:val="TextBody"/>
        <w:keepNext w:val="false"/>
        <w:pageBreakBefore w:val="false"/>
        <w:widowControl/>
        <w:pBdr/>
        <w:spacing w:before="160" w:after="283"/>
        <w:ind w:left="720" w:right="72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corporation shall have the power to indemnify, to the extent permitted by the DGCL, as it presently exists or may hereafter be amended from time to time,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B-1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720" w:right="7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pStyle w:val="TextBody"/>
        <w:keepNext w:val="false"/>
        <w:pageBreakBefore w:val="false"/>
        <w:widowControl/>
        <w:pBdr/>
        <w:spacing w:before="160" w:after="283"/>
        <w:ind w:left="720" w:right="72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any amendment nor repeal of this Article IX, nor the adoption of any provision of this Certificate of Incorporation inconsistent with this Article IX, shall eliminate or reduce the effect of this Article IX in respect of any matter occurring, or any cause of action, suit or proceeding accruing or arising or that, but for this Article IX, would accrue or arise, prior to such amendment, repeal or adoption of an inconsistent provision.</w:t>
      </w:r>
    </w:p>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 * * * * * * * *</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 WITNESS WHEREOF</w:t>
      </w:r>
      <w:r>
        <w:rPr>
          <w:rFonts w:ascii="Times New Roman PS Std;serif" w:hAnsi="Times New Roman PS Std;serif"/>
          <w:b w:val="false"/>
          <w:i w:val="false"/>
          <w:caps w:val="false"/>
          <w:smallCaps w:val="false"/>
          <w:sz w:val="20"/>
        </w:rPr>
        <w:t>, the corporation has caused this Certificate of Amendment to Amended and Restated Certificate of Incorporation to be signed by the Chief Executive Officer of the corporation on this [__] day of [__], 2023.</w:t>
      </w:r>
    </w:p>
    <w:tbl>
      <w:tblPr>
        <w:tblW w:w="3260" w:type="dxa"/>
        <w:jc w:val="left"/>
        <w:tblInd w:w="0" w:type="dxa"/>
        <w:tblCellMar>
          <w:top w:w="0" w:type="dxa"/>
          <w:left w:w="0" w:type="dxa"/>
          <w:bottom w:w="0" w:type="dxa"/>
          <w:right w:w="0" w:type="dxa"/>
        </w:tblCellMar>
      </w:tblPr>
      <w:tblGrid>
        <w:gridCol w:w="161"/>
        <w:gridCol w:w="146"/>
        <w:gridCol w:w="421"/>
        <w:gridCol w:w="146"/>
        <w:gridCol w:w="2386"/>
      </w:tblGrid>
      <w:tr>
        <w:trPr/>
        <w:tc>
          <w:tcPr>
            <w:tcW w:w="161"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pPr>
            <w:r>
              <w:rPr/>
              <w:t> </w:t>
            </w:r>
          </w:p>
        </w:tc>
        <w:tc>
          <w:tcPr>
            <w:tcW w:w="421"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shd w:fill="auto" w:val="clear"/>
          </w:tcPr>
          <w:p>
            <w:pPr>
              <w:pStyle w:val="TableContents"/>
              <w:spacing w:before="0" w:after="283"/>
              <w:rPr/>
            </w:pPr>
            <w:r>
              <w:rPr/>
              <w:t> </w:t>
            </w:r>
          </w:p>
        </w:tc>
        <w:tc>
          <w:tcPr>
            <w:tcW w:w="2386" w:type="dxa"/>
            <w:tcBorders/>
            <w:shd w:fill="auto" w:val="clear"/>
          </w:tcPr>
          <w:p>
            <w:pPr>
              <w:pStyle w:val="TableContents"/>
              <w:keepNext w:val="false"/>
              <w:widowControl/>
              <w:pBdr/>
              <w:spacing w:before="160" w:after="283"/>
              <w:jc w:val="left"/>
              <w:rPr>
                <w:caps w:val="false"/>
                <w:smallCaps w:val="false"/>
              </w:rPr>
            </w:pPr>
            <w:r>
              <w:rPr>
                <w:caps w:val="false"/>
                <w:smallCaps w:val="false"/>
              </w:rPr>
              <w:t> </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42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238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42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238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B-2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0" w:after="283"/>
        <w:jc w:val="center"/>
        <w:rPr>
          <w:caps w:val="false"/>
          <w:smallCaps w:val="false"/>
        </w:rPr>
      </w:pPr>
      <w:r>
        <w:rPr>
          <w:caps w:val="false"/>
          <w:smallCaps w:val="false"/>
        </w:rPr>
        <w:drawing>
          <wp:inline distT="0" distB="0" distL="0" distR="0">
            <wp:extent cx="8572500" cy="83026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572500" cy="8302625"/>
                    </a:xfrm>
                    <a:prstGeom prst="rect">
                      <a:avLst/>
                    </a:prstGeom>
                  </pic:spPr>
                </pic:pic>
              </a:graphicData>
            </a:graphic>
          </wp:inline>
        </w:drawing>
      </w:r>
    </w:p>
    <w:p>
      <w:pPr>
        <w:pStyle w:val="TextBody"/>
        <w:keepNext w:val="false"/>
        <w:pageBreakBefore w:val="false"/>
        <w:widowControl/>
        <w:pBdr/>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Fortinet, Inc. Your vote matters – here’s how to vote! You may vote online or by phone instead of mailing this card. Online Go to www.envisionreports.com/FTNT or scan the QR code — login details are located in the shaded bar below. Phone Call toll free 1-800-652-VOTE (8683) within the USA, US territories and Canada Save paper, time and money! Sign up for electronic delivery at www.envisionreports.com/FTNT Using a black ink pen, mark your votes with an X as shown in this example. Please do not write outside the designated areas. IF VOTING BY MAIL, SIGN, DETACH AND RETURN THE BOTTOM PORTION IN THE ENCLOSED ENVELOPE. A Proposals — The Board of Directors recommend a vote FOR all the nominees listed, FOR Proposals X – X and for every X YEARS on Proposal “1 YEAR” on Proposal 4. 1. To elect eight directors to serve for a term of one year until the next annual meeting of stockholders or until their respective successors have been duly elected and qualified. Nominees: 01 - Ken Xie 02 - Michael Xie For Against 02 - Michael Xie 03 - Kenneth A. Goldman 04 - Ming Hsieh 05 - Jean Hu 06 - William Neukom 07 - Judith Sim 08 - Admiral James Stavridis (Ret) 2. Ratify the appointment of Deloitte &amp; Touche LLP as Fortinet’s independent registered public accounting firm for the fiscal year ending December 31, 2023. For Against Abstain For Against 3. Advisory vote to approve named executive officer compensation, as disclosed in the Proxy Statement. For Against Abstain 4. Advisory vote on the frequency of future advisory votes to approve named executive officer compensation 6. Adopt an amendment to Fortinet’s amended and restated certificate of incorporation to permit the exculpation of officers by Fortinet from personal liability for certain breaches of the duty of care. 5. Adopt an amendment to Fortinet’s amended and restated certificate of incorporation to remove the supermajority voting requirement and make certain other changes. B Authorized Signatures — This section must be completed for your vote to be counted. — Date and Sign Below NOTE: Please sign as name appears hereon. Joint owners should each sign. When signing as attorney, executor, administrator, trustee or guardian, please give full title as such. Date (mm/dd/yyyy) — Please print date below. Signature 1 — Please keep signature within the box. Signature 2 — Please keep signature within the box. 1 U P X 03SYRB</w:t>
      </w:r>
      <w:r>
        <w:br w:type="page"/>
      </w:r>
    </w:p>
    <w:p>
      <w:pPr>
        <w:pStyle w:val="TextBody"/>
        <w:widowControl/>
        <w:pBdr>
          <w:bottom w:val="single" w:sz="2" w:space="1" w:color="000000"/>
        </w:pBdr>
        <w:spacing w:before="200" w:after="200"/>
        <w:ind w:left="0" w:right="0" w:hanging="0"/>
        <w:jc w:val="center"/>
        <w:rPr>
          <w:caps w:val="false"/>
          <w:smallCaps w:val="false"/>
          <w:color w:val="000000"/>
        </w:rPr>
      </w:pPr>
      <w:r>
        <w:rPr>
          <w:caps w:val="false"/>
          <w:smallCaps w:val="false"/>
          <w:color w:val="000000"/>
        </w:rPr>
        <w:t> </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0" w:after="283"/>
        <w:jc w:val="center"/>
        <w:rPr>
          <w:caps w:val="false"/>
          <w:smallCaps w:val="false"/>
        </w:rPr>
      </w:pPr>
      <w:r>
        <w:rPr>
          <w:caps w:val="false"/>
          <w:smallCaps w:val="false"/>
        </w:rPr>
        <w:drawing>
          <wp:inline distT="0" distB="0" distL="0" distR="0">
            <wp:extent cx="8572500" cy="826897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572500" cy="8268970"/>
                    </a:xfrm>
                    <a:prstGeom prst="rect">
                      <a:avLst/>
                    </a:prstGeom>
                  </pic:spPr>
                </pic:pic>
              </a:graphicData>
            </a:graphic>
          </wp:inline>
        </w:drawing>
      </w:r>
    </w:p>
    <w:p>
      <w:pPr>
        <w:pStyle w:val="TextBody"/>
        <w:keepNext w:val="false"/>
        <w:pageBreakBefore w:val="false"/>
        <w:widowControl/>
        <w:pBdr/>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 xml:space="preserve">The 2023 Annual Meeting of Stockholders of Fortinet, Inc. will be held on Friday, June 16, 2023 at 10:00 a.m. Pacific Time, virtually via the internet at www.meetnow.global/MFQX4LA. To access the virtual meeting, you must have the information that is printed in the shaded bar located on the reverse side of this form. Important notice regarding the Internet availability of proxy materials for the 2023 Annual Meeting of Stockholders. The Proxy Statement and the 2022 Annual Report are available at: http://www.envisionreports.com/FTNT Small steps make an impact. Help the environment by consenting to receive electronic delivery, sign up at www.envisionreports.com/FTNT IF VOTING BY MAIL, SIGN, DETACH AND RETURN THE BOTTOM PORTION IN THE ENCLOSED ENVELOPE Proxy — FORTINET, INC. Annual Meeting of Stockholders to be Held on June 16, 2023 THIS PROXY IS SOLICITED BY THE BOARD OF DIRECTORS OF FORTINET, INC. The undersigned hereby appoints Ken Xie and John Whittle, and each of them, with power to act without the other and with power of substitution, as proxies and attorneys-in-fact and hereby authorizes them to represent and vote, as provided on the other side, all the shares of Fortinet, Inc. common stock which the undersigned is entitled to vote, and, in their discretion, to vote upon such other business as may properly come before the Annual Meeting of Stockholders of Fortinet, Inc. to be held June 16, 2023 or at any adjournment or postponement thereof, with all powers which the undersigned would possess if present at the Annual Meeting. THIS PROXY WILL BE VOTED AS DIRECTED, OR IF NO DIRECTION IS INDICATED, WILL BE VOTED “FOR” EACH OF THE NOMINEES LISTED IN PROPOSAL 1, “FOR” PROPOSALS 2, 3, 5 AND 6 AND “1 YEAR” ON PROPOSAL 4. (Continued and to be marked, dated and signed, on the other side) C Non-Voting Items Change of Address — Please print new address below. Comments — Please print your comments below. Meeting Attendance Mark box to the right if you plan to attend the Annual Meeting. </w:t>
      </w:r>
    </w:p>
    <w:p>
      <w:pPr>
        <w:pStyle w:val="TextBody"/>
        <w:keepNext w:val="false"/>
        <w:pageBreakBefore w:val="false"/>
        <w:widowControl/>
        <w:pBdr>
          <w:bottom w:val="single" w:sz="2" w:space="1" w:color="000000"/>
        </w:pBdr>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PS Std">
    <w:altName w:val="serif"/>
    <w:charset w:val="00"/>
    <w:family w:val="auto"/>
    <w:pitch w:val="default"/>
  </w:font>
  <w:font w:name="TimesNewRomanPSStd-Regular">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79</Pages>
  <Words>36945</Words>
  <CharactersWithSpaces>240189</CharactersWithSpaces>
  <Paragraphs>4574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