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6487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48779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GOLDMAN KENNETH A</w:t>
              </w:r>
            </w:hyperlink>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Fortinet,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FTNT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FORTINET, INC.</w:t>
            </w:r>
          </w:p>
        </w:tc>
        <w:tc>
          <w:tcPr>
            <w:tcW w:w="13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909 KIFER ROAD</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8"/>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5"/>
              <w:spacing w:after="0"/>
              <w:rPr>
                <w:sz w:val="20"/>
                <w:szCs w:val="20"/>
                <w:color w:val="auto"/>
              </w:rPr>
            </w:pPr>
            <w:r>
              <w:rPr>
                <w:rFonts w:ascii="Times New Roman" w:cs="Times New Roman" w:eastAsia="Times New Roman" w:hAnsi="Times New Roman"/>
                <w:sz w:val="17"/>
                <w:szCs w:val="17"/>
                <w:color w:val="0000FF"/>
              </w:rPr>
              <w:t>06/11/2026</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650</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23,469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Goldman-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Valeriote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19,250</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u/a/d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11/15/95</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1"/>
                <w:szCs w:val="21"/>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(4)</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650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650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units ("RSUs") granted to the Reporting Person on August 20, 2025.</w:t>
      </w:r>
    </w:p>
    <w:p>
      <w:pPr>
        <w:spacing w:after="0" w:line="45" w:lineRule="exact"/>
        <w:rPr>
          <w:rFonts w:ascii="Times New Roman" w:cs="Times New Roman" w:eastAsia="Times New Roman" w:hAnsi="Times New Roman"/>
          <w:sz w:val="13"/>
          <w:szCs w:val="13"/>
          <w:color w:val="008000"/>
        </w:rPr>
      </w:pPr>
    </w:p>
    <w:p>
      <w:pPr>
        <w:ind w:left="40" w:right="2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trustee of the Trust and may be deemed to have voting and dispositive power with regard to the shares held by the Trust. The Reporting Person disclaims beneficial ownership of the shares held by the Trust except to the extent of his pecuniary interest therein.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GV Partners L.P. is a family limited partnership of which the Reporting Person is the managing member.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 upon settlement.</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substantially equal increments on each of September 30, 2025, December 31, 2025, March 31, 2026, and the earlier of (i) June 30, 2026 and (ii) the date immediately preceding the Issuer's 2026 annual meeting of stockholders, subject to the Reporting Person's provision of services to the Issuer on each vesting date. Shares of the Issuer's Common Stock will be delivered to the Reporting Person following vesting.</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canceled prior to vest date</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Robert Turner, by power of</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06/12/2026</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5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6"/>
              </w:rPr>
              <w:t>attorney</w:t>
            </w:r>
          </w:p>
        </w:tc>
        <w:tc>
          <w:tcPr>
            <w:tcW w:w="15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8470" TargetMode="External"/><Relationship Id="rId14" Type="http://schemas.openxmlformats.org/officeDocument/2006/relationships/hyperlink" Target="http://www.sec.gov/cgi-bin/browse-edgar?action=getcompany&amp;CIK=0001262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2026-06-12T16:38:01Z</dcterms:created>
  <dcterms:modified xsi:type="dcterms:W3CDTF">2026-06-12T16:38:01Z</dcterms:modified>
</cp:coreProperties>
</file>