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42026_090829.xml.htm"/>
      <w:bookmarkStart w:id="1" w:name="ksform408042026_0908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Ohlgart Christiane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161.95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164.59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transaction was effected pursuant to a Rule 10b5-1 trading plan adopted by the Reporting Person on March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RSUs vested on May 1, 2025,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RSUs and PSUs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25% of the RSUs will vest on February 1, 2026,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25% of the RSUs vested on May 1, 2026, and the remaining 75% of the RSUs will vest in equal installments on each quarterly anniversary thereafter, until such time as the RSUs are 100% vested, subject to the Reporting Person's provision of service to the Issuer on each vesting date. Shares of the Issuer's common stock will be delivered to the Reporting Person upon settlement.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6813"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1000</Words>
  <Characters>5181</Characters>
  <CharactersWithSpaces>6038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