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415925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329565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11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11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111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ind w:left="5080"/>
        <w:spacing w:after="0"/>
        <w:rPr>
          <w:sz w:val="20"/>
          <w:szCs w:val="20"/>
          <w:color w:val="auto"/>
        </w:rPr>
      </w:pPr>
      <w:r>
        <w:rPr>
          <w:rFonts w:ascii="Arial" w:cs="Arial" w:eastAsia="Arial" w:hAnsi="Arial"/>
          <w:sz w:val="23"/>
          <w:szCs w:val="23"/>
          <w:b w:val="1"/>
          <w:bCs w:val="1"/>
          <w:color w:val="auto"/>
        </w:rPr>
        <w:t>FORM 10-K</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72" w:lineRule="exact"/>
        <w:rPr>
          <w:sz w:val="24"/>
          <w:szCs w:val="24"/>
          <w:color w:val="auto"/>
        </w:rPr>
      </w:pPr>
    </w:p>
    <w:p>
      <w:pPr>
        <w:ind w:left="4020" w:right="1120" w:hanging="3985"/>
        <w:spacing w:after="0" w:line="461" w:lineRule="auto"/>
        <w:tabs>
          <w:tab w:leader="none" w:pos="39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2017</w:t>
      </w:r>
    </w:p>
    <w:p>
      <w:pPr>
        <w:spacing w:after="0" w:line="2" w:lineRule="exact"/>
        <w:rPr>
          <w:sz w:val="24"/>
          <w:szCs w:val="24"/>
          <w:color w:val="auto"/>
        </w:rPr>
      </w:pPr>
    </w:p>
    <w:p>
      <w:pPr>
        <w:ind w:left="562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5980" w:type="dxa"/>
            <w:vAlign w:val="bottom"/>
          </w:tcPr>
          <w:p>
            <w:pPr>
              <w:ind w:left="3600"/>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384"/>
        </w:trPr>
        <w:tc>
          <w:tcPr>
            <w:tcW w:w="8620" w:type="dxa"/>
            <w:vAlign w:val="bottom"/>
            <w:gridSpan w:val="5"/>
          </w:tcPr>
          <w:p>
            <w:pPr>
              <w:jc w:val="center"/>
              <w:ind w:left="2171"/>
              <w:spacing w:after="0"/>
              <w:rPr>
                <w:sz w:val="20"/>
                <w:szCs w:val="20"/>
                <w:color w:val="auto"/>
              </w:rPr>
            </w:pPr>
            <w:r>
              <w:rPr>
                <w:rFonts w:ascii="Arial" w:cs="Arial" w:eastAsia="Arial" w:hAnsi="Arial"/>
                <w:sz w:val="18"/>
                <w:szCs w:val="18"/>
                <w:b w:val="1"/>
                <w:bCs w:val="1"/>
                <w:color w:val="auto"/>
                <w:w w:val="89"/>
              </w:rPr>
              <w:t>Commission file number: 001-34511</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7"/>
        </w:trPr>
        <w:tc>
          <w:tcPr>
            <w:tcW w:w="7300" w:type="dxa"/>
            <w:vAlign w:val="bottom"/>
            <w:gridSpan w:val="4"/>
          </w:tcPr>
          <w:p>
            <w:pPr>
              <w:jc w:val="center"/>
              <w:ind w:left="3471"/>
              <w:spacing w:after="0"/>
              <w:rPr>
                <w:sz w:val="20"/>
                <w:szCs w:val="20"/>
                <w:color w:val="auto"/>
              </w:rPr>
            </w:pPr>
            <w:r>
              <w:rPr>
                <w:rFonts w:ascii="Arial" w:cs="Arial" w:eastAsia="Arial" w:hAnsi="Arial"/>
                <w:sz w:val="18"/>
                <w:szCs w:val="18"/>
                <w:color w:val="auto"/>
                <w:w w:val="89"/>
              </w:rPr>
              <w:t>______________________________________</w:t>
            </w: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29"/>
        </w:trPr>
        <w:tc>
          <w:tcPr>
            <w:tcW w:w="6520" w:type="dxa"/>
            <w:vAlign w:val="bottom"/>
            <w:gridSpan w:val="2"/>
          </w:tcPr>
          <w:p>
            <w:pPr>
              <w:jc w:val="center"/>
              <w:ind w:left="4291"/>
              <w:spacing w:after="0"/>
              <w:rPr>
                <w:sz w:val="20"/>
                <w:szCs w:val="20"/>
                <w:color w:val="auto"/>
              </w:rPr>
            </w:pPr>
            <w:r>
              <w:rPr>
                <w:rFonts w:ascii="Arial" w:cs="Arial" w:eastAsia="Arial" w:hAnsi="Arial"/>
                <w:sz w:val="25"/>
                <w:szCs w:val="25"/>
                <w:b w:val="1"/>
                <w:bCs w:val="1"/>
                <w:color w:val="auto"/>
              </w:rPr>
              <w:t>FORTINET, INC.</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8"/>
        </w:trPr>
        <w:tc>
          <w:tcPr>
            <w:tcW w:w="8620" w:type="dxa"/>
            <w:vAlign w:val="bottom"/>
            <w:gridSpan w:val="5"/>
          </w:tcPr>
          <w:p>
            <w:pPr>
              <w:jc w:val="center"/>
              <w:ind w:left="215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6"/>
        </w:trPr>
        <w:tc>
          <w:tcPr>
            <w:tcW w:w="7300" w:type="dxa"/>
            <w:vAlign w:val="bottom"/>
            <w:gridSpan w:val="4"/>
          </w:tcPr>
          <w:p>
            <w:pPr>
              <w:jc w:val="center"/>
              <w:ind w:left="3491"/>
              <w:spacing w:after="0"/>
              <w:rPr>
                <w:sz w:val="20"/>
                <w:szCs w:val="20"/>
                <w:color w:val="auto"/>
              </w:rPr>
            </w:pPr>
            <w:r>
              <w:rPr>
                <w:rFonts w:ascii="Arial" w:cs="Arial" w:eastAsia="Arial" w:hAnsi="Arial"/>
                <w:sz w:val="16"/>
                <w:szCs w:val="16"/>
                <w:color w:val="auto"/>
                <w:w w:val="91"/>
              </w:rPr>
              <w:t>______________________________________</w:t>
            </w: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587"/>
        </w:trPr>
        <w:tc>
          <w:tcPr>
            <w:tcW w:w="65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1"/>
              </w:rPr>
              <w:t>Delaware</w:t>
            </w:r>
          </w:p>
        </w:tc>
        <w:tc>
          <w:tcPr>
            <w:tcW w:w="25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77-0560389</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43"/>
        </w:trPr>
        <w:tc>
          <w:tcPr>
            <w:tcW w:w="6520" w:type="dxa"/>
            <w:vAlign w:val="bottom"/>
            <w:gridSpan w:val="2"/>
          </w:tcPr>
          <w:p>
            <w:pPr>
              <w:jc w:val="center"/>
              <w:ind w:right="1340"/>
              <w:spacing w:after="0"/>
              <w:rPr>
                <w:sz w:val="20"/>
                <w:szCs w:val="20"/>
                <w:color w:val="auto"/>
              </w:rPr>
            </w:pPr>
            <w:r>
              <w:rPr>
                <w:rFonts w:ascii="Arial" w:cs="Arial" w:eastAsia="Arial" w:hAnsi="Arial"/>
                <w:sz w:val="16"/>
                <w:szCs w:val="16"/>
                <w:b w:val="1"/>
                <w:bCs w:val="1"/>
                <w:color w:val="auto"/>
                <w:w w:val="91"/>
              </w:rPr>
              <w:t>(State or other jurisdiction of</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2"/>
          </w:tcPr>
          <w:p>
            <w:pPr>
              <w:jc w:val="center"/>
              <w:ind w:left="97"/>
              <w:spacing w:after="0"/>
              <w:rPr>
                <w:sz w:val="20"/>
                <w:szCs w:val="20"/>
                <w:color w:val="auto"/>
              </w:rPr>
            </w:pPr>
            <w:r>
              <w:rPr>
                <w:rFonts w:ascii="Arial" w:cs="Arial" w:eastAsia="Arial" w:hAnsi="Arial"/>
                <w:sz w:val="16"/>
                <w:szCs w:val="16"/>
                <w:b w:val="1"/>
                <w:bCs w:val="1"/>
                <w:color w:val="auto"/>
                <w:w w:val="96"/>
              </w:rPr>
              <w:t>(I.R.S. Employer</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10"/>
        </w:trPr>
        <w:tc>
          <w:tcPr>
            <w:tcW w:w="652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w w:val="92"/>
              </w:rPr>
              <w:t>incorporation or organization)</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gridSpan w:val="2"/>
          </w:tcPr>
          <w:p>
            <w:pPr>
              <w:jc w:val="center"/>
              <w:ind w:left="97"/>
              <w:spacing w:after="0"/>
              <w:rPr>
                <w:sz w:val="20"/>
                <w:szCs w:val="20"/>
                <w:color w:val="auto"/>
              </w:rPr>
            </w:pPr>
            <w:r>
              <w:rPr>
                <w:rFonts w:ascii="Arial" w:cs="Arial" w:eastAsia="Arial" w:hAnsi="Arial"/>
                <w:sz w:val="16"/>
                <w:szCs w:val="16"/>
                <w:b w:val="1"/>
                <w:bCs w:val="1"/>
                <w:color w:val="auto"/>
                <w:w w:val="93"/>
              </w:rPr>
              <w:t>Identification No.)</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93"/>
        </w:trPr>
        <w:tc>
          <w:tcPr>
            <w:tcW w:w="6520" w:type="dxa"/>
            <w:vAlign w:val="bottom"/>
            <w:gridSpan w:val="2"/>
          </w:tcPr>
          <w:p>
            <w:pPr>
              <w:jc w:val="center"/>
              <w:ind w:right="1340"/>
              <w:spacing w:after="0"/>
              <w:rPr>
                <w:sz w:val="20"/>
                <w:szCs w:val="20"/>
                <w:color w:val="auto"/>
              </w:rPr>
            </w:pPr>
            <w:r>
              <w:rPr>
                <w:rFonts w:ascii="Arial" w:cs="Arial" w:eastAsia="Arial" w:hAnsi="Arial"/>
                <w:sz w:val="18"/>
                <w:szCs w:val="18"/>
                <w:b w:val="1"/>
                <w:bCs w:val="1"/>
                <w:color w:val="auto"/>
                <w:w w:val="93"/>
              </w:rPr>
              <w:t>899 Kifer Road</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4"/>
        </w:trPr>
        <w:tc>
          <w:tcPr>
            <w:tcW w:w="65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1"/>
              </w:rPr>
              <w:t>Sunnyvale, California</w:t>
            </w:r>
          </w:p>
        </w:tc>
        <w:tc>
          <w:tcPr>
            <w:tcW w:w="2100" w:type="dxa"/>
            <w:vAlign w:val="bottom"/>
            <w:gridSpan w:val="3"/>
          </w:tcPr>
          <w:p>
            <w:pPr>
              <w:jc w:val="right"/>
              <w:ind w:right="17"/>
              <w:spacing w:after="0"/>
              <w:rPr>
                <w:sz w:val="20"/>
                <w:szCs w:val="20"/>
                <w:color w:val="auto"/>
              </w:rPr>
            </w:pPr>
            <w:r>
              <w:rPr>
                <w:rFonts w:ascii="Arial" w:cs="Arial" w:eastAsia="Arial" w:hAnsi="Arial"/>
                <w:sz w:val="18"/>
                <w:szCs w:val="18"/>
                <w:b w:val="1"/>
                <w:bCs w:val="1"/>
                <w:color w:val="auto"/>
              </w:rPr>
              <w:t>94086</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51"/>
        </w:trPr>
        <w:tc>
          <w:tcPr>
            <w:tcW w:w="652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2"/>
          </w:tcPr>
          <w:p>
            <w:pPr>
              <w:jc w:val="center"/>
              <w:ind w:left="97"/>
              <w:spacing w:after="0"/>
              <w:rPr>
                <w:sz w:val="20"/>
                <w:szCs w:val="20"/>
                <w:color w:val="auto"/>
              </w:rPr>
            </w:pPr>
            <w:r>
              <w:rPr>
                <w:rFonts w:ascii="Arial" w:cs="Arial" w:eastAsia="Arial" w:hAnsi="Arial"/>
                <w:sz w:val="16"/>
                <w:szCs w:val="16"/>
                <w:b w:val="1"/>
                <w:bCs w:val="1"/>
                <w:color w:val="auto"/>
                <w:w w:val="93"/>
              </w:rPr>
              <w:t>(Zip Code)</w:t>
            </w: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5"/>
        </w:trPr>
        <w:tc>
          <w:tcPr>
            <w:tcW w:w="6520" w:type="dxa"/>
            <w:vAlign w:val="bottom"/>
            <w:gridSpan w:val="2"/>
          </w:tcPr>
          <w:p>
            <w:pPr>
              <w:jc w:val="center"/>
              <w:ind w:left="4271"/>
              <w:spacing w:after="0"/>
              <w:rPr>
                <w:sz w:val="20"/>
                <w:szCs w:val="20"/>
                <w:color w:val="auto"/>
              </w:rPr>
            </w:pPr>
            <w:r>
              <w:rPr>
                <w:rFonts w:ascii="Arial" w:cs="Arial" w:eastAsia="Arial" w:hAnsi="Arial"/>
                <w:sz w:val="18"/>
                <w:szCs w:val="18"/>
                <w:b w:val="1"/>
                <w:bCs w:val="1"/>
                <w:color w:val="auto"/>
                <w:w w:val="90"/>
              </w:rPr>
              <w:t>(408) 235-7700</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0"/>
        </w:trPr>
        <w:tc>
          <w:tcPr>
            <w:tcW w:w="8620" w:type="dxa"/>
            <w:vAlign w:val="bottom"/>
            <w:gridSpan w:val="5"/>
          </w:tcPr>
          <w:p>
            <w:pPr>
              <w:jc w:val="center"/>
              <w:ind w:left="215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98"/>
        </w:trPr>
        <w:tc>
          <w:tcPr>
            <w:tcW w:w="8620" w:type="dxa"/>
            <w:vAlign w:val="bottom"/>
            <w:gridSpan w:val="5"/>
          </w:tcPr>
          <w:p>
            <w:pPr>
              <w:jc w:val="center"/>
              <w:ind w:left="2171"/>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8"/>
        </w:trPr>
        <w:tc>
          <w:tcPr>
            <w:tcW w:w="652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0"/>
              </w:rPr>
              <w:t>Common Stock, $0.001 Par Value</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534"/>
        </w:trPr>
        <w:tc>
          <w:tcPr>
            <w:tcW w:w="6520" w:type="dxa"/>
            <w:vAlign w:val="bottom"/>
            <w:gridSpan w:val="2"/>
          </w:tcPr>
          <w:p>
            <w:pPr>
              <w:jc w:val="center"/>
              <w:ind w:right="1120"/>
              <w:spacing w:after="0"/>
              <w:rPr>
                <w:sz w:val="20"/>
                <w:szCs w:val="20"/>
                <w:color w:val="auto"/>
              </w:rPr>
            </w:pPr>
            <w:r>
              <w:rPr>
                <w:rFonts w:ascii="Arial" w:cs="Arial" w:eastAsia="Arial" w:hAnsi="Arial"/>
                <w:sz w:val="16"/>
                <w:szCs w:val="16"/>
                <w:b w:val="1"/>
                <w:bCs w:val="1"/>
                <w:color w:val="auto"/>
                <w:w w:val="88"/>
              </w:rPr>
              <w:t>(Title of each class)</w:t>
            </w:r>
          </w:p>
        </w:tc>
        <w:tc>
          <w:tcPr>
            <w:tcW w:w="240" w:type="dxa"/>
            <w:vAlign w:val="bottom"/>
          </w:tcPr>
          <w:p>
            <w:pPr>
              <w:spacing w:after="0"/>
              <w:rPr>
                <w:sz w:val="24"/>
                <w:szCs w:val="24"/>
                <w:color w:val="auto"/>
              </w:rPr>
            </w:pPr>
          </w:p>
        </w:tc>
        <w:tc>
          <w:tcPr>
            <w:tcW w:w="3260" w:type="dxa"/>
            <w:vAlign w:val="bottom"/>
            <w:gridSpan w:val="5"/>
          </w:tcPr>
          <w:p>
            <w:pPr>
              <w:jc w:val="center"/>
              <w:ind w:left="419"/>
              <w:spacing w:after="0"/>
              <w:rPr>
                <w:sz w:val="20"/>
                <w:szCs w:val="20"/>
                <w:color w:val="auto"/>
              </w:rPr>
            </w:pPr>
            <w:r>
              <w:rPr>
                <w:rFonts w:ascii="Arial" w:cs="Arial" w:eastAsia="Arial" w:hAnsi="Arial"/>
                <w:sz w:val="16"/>
                <w:szCs w:val="16"/>
                <w:b w:val="1"/>
                <w:bCs w:val="1"/>
                <w:color w:val="auto"/>
                <w:w w:val="89"/>
              </w:rPr>
              <w:t>(Name of exchange on which registered)</w:t>
            </w:r>
          </w:p>
        </w:tc>
      </w:tr>
      <w:tr>
        <w:trPr>
          <w:trHeight w:val="411"/>
        </w:trPr>
        <w:tc>
          <w:tcPr>
            <w:tcW w:w="8620" w:type="dxa"/>
            <w:vAlign w:val="bottom"/>
            <w:gridSpan w:val="5"/>
          </w:tcPr>
          <w:p>
            <w:pPr>
              <w:jc w:val="center"/>
              <w:ind w:left="2171"/>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78"/>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480" w:type="dxa"/>
            <w:vAlign w:val="bottom"/>
          </w:tcPr>
          <w:p>
            <w:pPr>
              <w:spacing w:after="0"/>
              <w:rPr>
                <w:sz w:val="20"/>
                <w:szCs w:val="20"/>
                <w:color w:val="auto"/>
              </w:rPr>
            </w:pPr>
            <w:r>
              <w:rPr>
                <w:rFonts w:ascii="Arial" w:cs="Arial" w:eastAsia="Arial" w:hAnsi="Arial"/>
                <w:sz w:val="18"/>
                <w:szCs w:val="18"/>
                <w:color w:val="auto"/>
              </w:rPr>
              <w:t>Yes x</w:t>
            </w:r>
          </w:p>
        </w:tc>
        <w:tc>
          <w:tcPr>
            <w:tcW w:w="420" w:type="dxa"/>
            <w:vAlign w:val="bottom"/>
          </w:tcPr>
          <w:p>
            <w:pPr>
              <w:ind w:left="140"/>
              <w:spacing w:after="0"/>
              <w:rPr>
                <w:sz w:val="20"/>
                <w:szCs w:val="20"/>
                <w:color w:val="auto"/>
              </w:rPr>
            </w:pPr>
            <w:r>
              <w:rPr>
                <w:rFonts w:ascii="Arial" w:cs="Arial" w:eastAsia="Arial" w:hAnsi="Arial"/>
                <w:sz w:val="18"/>
                <w:szCs w:val="18"/>
                <w:color w:val="auto"/>
              </w:rPr>
              <w:t>No</w:t>
            </w:r>
          </w:p>
        </w:tc>
        <w:tc>
          <w:tcPr>
            <w:tcW w:w="500" w:type="dxa"/>
            <w:vAlign w:val="bottom"/>
          </w:tcPr>
          <w:p>
            <w:pPr>
              <w:ind w:left="40"/>
              <w:spacing w:after="0"/>
              <w:rPr>
                <w:sz w:val="20"/>
                <w:szCs w:val="20"/>
                <w:color w:val="auto"/>
              </w:rPr>
            </w:pPr>
            <w:r>
              <w:rPr>
                <w:rFonts w:ascii="Arial" w:cs="Arial" w:eastAsia="Arial" w:hAnsi="Arial"/>
                <w:sz w:val="18"/>
                <w:szCs w:val="18"/>
                <w:color w:val="auto"/>
              </w:rPr>
              <w:t>o</w:t>
            </w:r>
          </w:p>
        </w:tc>
      </w:tr>
      <w:tr>
        <w:trPr>
          <w:trHeight w:val="378"/>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480" w:type="dxa"/>
            <w:vAlign w:val="bottom"/>
          </w:tcPr>
          <w:p>
            <w:pPr>
              <w:ind w:left="160"/>
              <w:spacing w:after="0"/>
              <w:rPr>
                <w:sz w:val="20"/>
                <w:szCs w:val="20"/>
                <w:color w:val="auto"/>
              </w:rPr>
            </w:pPr>
            <w:r>
              <w:rPr>
                <w:rFonts w:ascii="Arial" w:cs="Arial" w:eastAsia="Arial" w:hAnsi="Arial"/>
                <w:sz w:val="18"/>
                <w:szCs w:val="18"/>
                <w:color w:val="auto"/>
                <w:w w:val="96"/>
              </w:rPr>
              <w:t>Yes</w:t>
            </w:r>
          </w:p>
        </w:tc>
        <w:tc>
          <w:tcPr>
            <w:tcW w:w="420" w:type="dxa"/>
            <w:vAlign w:val="bottom"/>
          </w:tcPr>
          <w:p>
            <w:pPr>
              <w:ind w:left="40"/>
              <w:spacing w:after="0"/>
              <w:rPr>
                <w:sz w:val="20"/>
                <w:szCs w:val="20"/>
                <w:color w:val="auto"/>
              </w:rPr>
            </w:pPr>
            <w:r>
              <w:rPr>
                <w:rFonts w:ascii="Arial" w:cs="Arial" w:eastAsia="Arial" w:hAnsi="Arial"/>
                <w:sz w:val="18"/>
                <w:szCs w:val="18"/>
                <w:color w:val="auto"/>
                <w:w w:val="94"/>
              </w:rPr>
              <w:t>o No</w:t>
            </w:r>
          </w:p>
        </w:tc>
        <w:tc>
          <w:tcPr>
            <w:tcW w:w="500" w:type="dxa"/>
            <w:vAlign w:val="bottom"/>
          </w:tcPr>
          <w:p>
            <w:pPr>
              <w:ind w:left="60"/>
              <w:spacing w:after="0"/>
              <w:rPr>
                <w:sz w:val="20"/>
                <w:szCs w:val="20"/>
                <w:color w:val="auto"/>
              </w:rPr>
            </w:pPr>
            <w:r>
              <w:rPr>
                <w:rFonts w:ascii="Arial" w:cs="Arial" w:eastAsia="Arial" w:hAnsi="Arial"/>
                <w:sz w:val="18"/>
                <w:szCs w:val="18"/>
                <w:color w:val="auto"/>
              </w:rPr>
              <w:t>x</w:t>
            </w:r>
          </w:p>
        </w:tc>
      </w:tr>
    </w:tbl>
    <w:p>
      <w:pPr>
        <w:sectPr>
          <w:pgSz w:w="11900" w:h="16838" w:orient="portrait"/>
          <w:cols w:equalWidth="0" w:num="1">
            <w:col w:w="10300"/>
          </w:cols>
          <w:pgMar w:left="240" w:top="229" w:right="135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100"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2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x</w:t>
      </w:r>
    </w:p>
    <w:p>
      <w:pPr>
        <w:spacing w:after="0" w:line="127" w:lineRule="exact"/>
        <w:rPr>
          <w:sz w:val="20"/>
          <w:szCs w:val="20"/>
          <w:color w:val="auto"/>
        </w:rPr>
      </w:pPr>
    </w:p>
    <w:p>
      <w:pPr>
        <w:ind w:right="20"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121" w:right="259" w:bottom="1440" w:gutter="0" w:footer="0" w:header="0"/>
        </w:sectPr>
      </w:pPr>
    </w:p>
    <w:p>
      <w:pPr>
        <w:spacing w:after="0" w:line="127" w:lineRule="exact"/>
        <w:rPr>
          <w:sz w:val="20"/>
          <w:szCs w:val="20"/>
          <w:color w:val="auto"/>
        </w:rPr>
      </w:pPr>
    </w:p>
    <w:p>
      <w:pPr>
        <w:ind w:left="40"/>
        <w:spacing w:after="0"/>
        <w:tabs>
          <w:tab w:leader="none" w:pos="27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x</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(Do not check if smaller reporting</w:t>
      </w:r>
    </w:p>
    <w:p>
      <w:pPr>
        <w:spacing w:after="0" w:line="46" w:lineRule="exact"/>
        <w:rPr>
          <w:sz w:val="20"/>
          <w:szCs w:val="20"/>
          <w:color w:val="auto"/>
        </w:rPr>
      </w:pPr>
    </w:p>
    <w:p>
      <w:pPr>
        <w:ind w:left="40"/>
        <w:spacing w:after="0"/>
        <w:tabs>
          <w:tab w:leader="none" w:pos="2700" w:val="left"/>
          <w:tab w:leader="none" w:pos="304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Accelerated filer</w:t>
      </w:r>
      <w:r>
        <w:rPr>
          <w:sz w:val="20"/>
          <w:szCs w:val="20"/>
          <w:color w:val="auto"/>
        </w:rPr>
        <w:tab/>
      </w:r>
      <w:r>
        <w:rPr>
          <w:rFonts w:ascii="Arial" w:cs="Arial" w:eastAsia="Arial" w:hAnsi="Arial"/>
          <w:sz w:val="14"/>
          <w:szCs w:val="14"/>
          <w:color w:val="auto"/>
        </w:rPr>
        <w:t>o</w:t>
      </w:r>
    </w:p>
    <w:p>
      <w:pPr>
        <w:spacing w:after="0" w:line="63"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Smaller reporting company</w:t>
      </w:r>
      <w:r>
        <w:rPr>
          <w:sz w:val="20"/>
          <w:szCs w:val="20"/>
          <w:color w:val="auto"/>
        </w:rPr>
        <w:tab/>
      </w:r>
      <w:r>
        <w:rPr>
          <w:rFonts w:ascii="Arial" w:cs="Arial" w:eastAsia="Arial" w:hAnsi="Arial"/>
          <w:sz w:val="14"/>
          <w:szCs w:val="14"/>
          <w:color w:val="auto"/>
        </w:rPr>
        <w:t>o</w:t>
      </w:r>
    </w:p>
    <w:p>
      <w:pPr>
        <w:spacing w:after="0" w:line="63"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198" w:lineRule="exact"/>
        <w:rPr>
          <w:sz w:val="20"/>
          <w:szCs w:val="20"/>
          <w:color w:val="auto"/>
        </w:rPr>
      </w:pPr>
    </w:p>
    <w:p>
      <w:pPr>
        <w:sectPr>
          <w:pgSz w:w="11900" w:h="16838" w:orient="portrait"/>
          <w:cols w:equalWidth="0" w:num="2">
            <w:col w:w="7500" w:space="720"/>
            <w:col w:w="3180"/>
          </w:cols>
          <w:pgMar w:left="240" w:top="121" w:right="259" w:bottom="1440" w:gutter="0" w:footer="0" w:header="0"/>
          <w:type w:val="continuous"/>
        </w:sectPr>
      </w:pPr>
    </w:p>
    <w:p>
      <w:pPr>
        <w:ind w:right="60" w:firstLine="27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0"/>
          <w:szCs w:val="20"/>
          <w:color w:val="auto"/>
        </w:rPr>
      </w:pPr>
    </w:p>
    <w:p>
      <w:pPr>
        <w:ind w:left="280"/>
        <w:spacing w:after="0"/>
        <w:tabs>
          <w:tab w:leader="none" w:pos="7860" w:val="left"/>
          <w:tab w:leader="none" w:pos="8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Yes o</w:t>
        <w:tab/>
        <w:t>No x</w:t>
      </w:r>
    </w:p>
    <w:p>
      <w:pPr>
        <w:spacing w:after="0" w:line="171"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The aggregate market value of voting stock held by non-affiliates of the registrant, as of June 30, 2017, the last business day of the registrant’s most recently completed second quarter, was $4,597,906,585 (based on the closing price for shares of the registrant’s common stock as reported by The Nasdaq Global Select Market on that date). Shares of common stock held by each executive officer, director, and holder of 5% or more of the registrant’s outstanding common stock have been excluded in that such persons may be deemed to be affiliates. This determination of affiliate status is not necessarily a conclusive determination for other purposes.</w:t>
      </w:r>
    </w:p>
    <w:p>
      <w:pPr>
        <w:spacing w:after="0" w:line="134" w:lineRule="exact"/>
        <w:rPr>
          <w:sz w:val="20"/>
          <w:szCs w:val="20"/>
          <w:color w:val="auto"/>
        </w:rPr>
      </w:pPr>
    </w:p>
    <w:p>
      <w:pPr>
        <w:jc w:val="right"/>
        <w:ind w:left="280" w:right="3740"/>
        <w:spacing w:after="0" w:line="438" w:lineRule="auto"/>
        <w:rPr>
          <w:sz w:val="20"/>
          <w:szCs w:val="20"/>
          <w:color w:val="auto"/>
        </w:rPr>
      </w:pPr>
      <w:r>
        <w:rPr>
          <w:rFonts w:ascii="Arial" w:cs="Arial" w:eastAsia="Arial" w:hAnsi="Arial"/>
          <w:sz w:val="18"/>
          <w:szCs w:val="18"/>
          <w:color w:val="auto"/>
        </w:rPr>
        <w:t>As of February 16, 2018, there were 168,024,163 shares of the registrant’s common stock outstanding. DOCUMENTS INCORPORATED BY REFERENCE</w:t>
      </w:r>
    </w:p>
    <w:p>
      <w:pPr>
        <w:spacing w:after="0" w:line="1" w:lineRule="exact"/>
        <w:rPr>
          <w:sz w:val="20"/>
          <w:szCs w:val="20"/>
          <w:color w:val="auto"/>
        </w:rPr>
      </w:pPr>
    </w:p>
    <w:p>
      <w:pPr>
        <w:jc w:val="both"/>
        <w:ind w:right="200" w:firstLine="270"/>
        <w:spacing w:after="0" w:line="264" w:lineRule="auto"/>
        <w:rPr>
          <w:sz w:val="20"/>
          <w:szCs w:val="20"/>
          <w:color w:val="auto"/>
        </w:rPr>
      </w:pPr>
      <w:r>
        <w:rPr>
          <w:rFonts w:ascii="Arial" w:cs="Arial" w:eastAsia="Arial" w:hAnsi="Arial"/>
          <w:sz w:val="18"/>
          <w:szCs w:val="18"/>
          <w:color w:val="auto"/>
        </w:rPr>
        <w:t>Portions of the registrant’s definitive Proxy Statement relating to its 2018 Annual Meeting of Stockholders are incorporated by reference into Part III of this Annual Report on Form 10-K where indicated. Such Proxy Statement will be filed with the United States Securities and Exchange Commission within 120 days after the end of the fiscal year to which this report relates.</w:t>
      </w:r>
    </w:p>
    <w:p>
      <w:pPr>
        <w:sectPr>
          <w:pgSz w:w="11900" w:h="16838" w:orient="portrait"/>
          <w:cols w:equalWidth="0" w:num="1">
            <w:col w:w="11400"/>
          </w:cols>
          <w:pgMar w:left="240" w:top="121"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60" w:type="dxa"/>
            <w:vAlign w:val="bottom"/>
            <w:gridSpan w:val="8"/>
          </w:tcPr>
          <w:p>
            <w:pPr>
              <w:jc w:val="center"/>
              <w:ind w:right="3600"/>
              <w:spacing w:after="0"/>
              <w:rPr>
                <w:sz w:val="20"/>
                <w:szCs w:val="20"/>
                <w:color w:val="auto"/>
              </w:rPr>
            </w:pPr>
            <w:r>
              <w:rPr>
                <w:rFonts w:ascii="Arial" w:cs="Arial" w:eastAsia="Arial" w:hAnsi="Arial"/>
                <w:sz w:val="18"/>
                <w:szCs w:val="18"/>
                <w:b w:val="1"/>
                <w:bCs w:val="1"/>
                <w:color w:val="auto"/>
              </w:rPr>
              <w:t>FORTINET, INC.</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8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w w:val="99"/>
              </w:rPr>
              <w:t>ANNUAL REPORT ON FORM 10-K</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8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w w:val="90"/>
              </w:rPr>
              <w:t>For the Year Ended December 31, 2017</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60" w:type="dxa"/>
            <w:vAlign w:val="bottom"/>
            <w:gridSpan w:val="8"/>
          </w:tcPr>
          <w:p>
            <w:pPr>
              <w:jc w:val="center"/>
              <w:ind w:right="3580"/>
              <w:spacing w:after="0"/>
              <w:rPr>
                <w:sz w:val="20"/>
                <w:szCs w:val="20"/>
                <w:color w:val="auto"/>
              </w:rPr>
            </w:pPr>
            <w:r>
              <w:rPr>
                <w:rFonts w:ascii="Arial" w:cs="Arial" w:eastAsia="Arial" w:hAnsi="Arial"/>
                <w:sz w:val="18"/>
                <w:szCs w:val="18"/>
                <w:b w:val="1"/>
                <w:bCs w:val="1"/>
                <w:color w:val="auto"/>
                <w:w w:val="89"/>
              </w:rPr>
              <w:t>Table of Contents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2"/>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gridSpan w:val="5"/>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80" w:type="dxa"/>
            <w:vAlign w:val="bottom"/>
            <w:gridSpan w:val="6"/>
            <w:vMerge w:val="restart"/>
          </w:tcPr>
          <w:p>
            <w:pPr>
              <w:jc w:val="center"/>
              <w:ind w:right="4340"/>
              <w:spacing w:after="0"/>
              <w:rPr>
                <w:sz w:val="20"/>
                <w:szCs w:val="20"/>
                <w:color w:val="auto"/>
              </w:rPr>
            </w:pPr>
            <w:r>
              <w:rPr>
                <w:rFonts w:ascii="Arial" w:cs="Arial" w:eastAsia="Arial" w:hAnsi="Arial"/>
                <w:sz w:val="18"/>
                <w:szCs w:val="18"/>
                <w:b w:val="1"/>
                <w:bCs w:val="1"/>
                <w:color w:val="auto"/>
              </w:rPr>
              <w:t>Part I</w:t>
            </w: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140" w:type="dxa"/>
            <w:vAlign w:val="bottom"/>
            <w:gridSpan w:val="20"/>
          </w:tcPr>
          <w:p>
            <w:pPr>
              <w:spacing w:after="0"/>
              <w:rPr>
                <w:sz w:val="24"/>
                <w:szCs w:val="24"/>
                <w:color w:val="auto"/>
              </w:rPr>
            </w:pPr>
          </w:p>
        </w:tc>
        <w:tc>
          <w:tcPr>
            <w:tcW w:w="56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8880" w:type="dxa"/>
            <w:vAlign w:val="bottom"/>
            <w:gridSpan w:val="17"/>
          </w:tcPr>
          <w:p>
            <w:pPr>
              <w:spacing w:after="0"/>
              <w:rPr>
                <w:sz w:val="21"/>
                <w:szCs w:val="21"/>
                <w:color w:val="auto"/>
              </w:rPr>
            </w:pPr>
          </w:p>
        </w:tc>
        <w:tc>
          <w:tcPr>
            <w:tcW w:w="560" w:type="dxa"/>
            <w:vAlign w:val="bottom"/>
            <w:gridSpan w:val="3"/>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1B.</w:t>
            </w:r>
          </w:p>
        </w:tc>
        <w:tc>
          <w:tcPr>
            <w:tcW w:w="2040" w:type="dxa"/>
            <w:vAlign w:val="bottom"/>
            <w:gridSpan w:val="10"/>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Unresolved Staff Comments</w:t>
              </w:r>
            </w:hyperlink>
          </w:p>
        </w:tc>
        <w:tc>
          <w:tcPr>
            <w:tcW w:w="7740" w:type="dxa"/>
            <w:vAlign w:val="bottom"/>
            <w:gridSpan w:val="11"/>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1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Properties</w:t>
              </w:r>
            </w:hyperlink>
          </w:p>
        </w:tc>
        <w:tc>
          <w:tcPr>
            <w:tcW w:w="7740" w:type="dxa"/>
            <w:vAlign w:val="bottom"/>
            <w:gridSpan w:val="11"/>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780" w:type="dxa"/>
            <w:vAlign w:val="bottom"/>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780" w:type="dxa"/>
            <w:vAlign w:val="bottom"/>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20"/>
              <w:spacing w:after="0"/>
              <w:rPr>
                <w:sz w:val="20"/>
                <w:szCs w:val="20"/>
                <w:color w:val="auto"/>
              </w:rPr>
            </w:pPr>
            <w:r>
              <w:rPr>
                <w:rFonts w:ascii="Arial" w:cs="Arial" w:eastAsia="Arial" w:hAnsi="Arial"/>
                <w:sz w:val="18"/>
                <w:szCs w:val="18"/>
                <w:b w:val="1"/>
                <w:bCs w:val="1"/>
                <w:color w:val="auto"/>
              </w:rPr>
              <w:t>Part II</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9780" w:type="dxa"/>
            <w:vAlign w:val="bottom"/>
            <w:gridSpan w:val="2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Market for Registrant’s Common Equity, Related Stockholder Matters and Issuer Purchases of Equity Securities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Selected Financial Data</w:t>
              </w:r>
            </w:hyperlink>
          </w:p>
        </w:tc>
        <w:tc>
          <w:tcPr>
            <w:tcW w:w="1720" w:type="dxa"/>
            <w:vAlign w:val="bottom"/>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7"/>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gridSpan w:val="4"/>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7"/>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Quantitative and Qualitative Disclosures about Market Risk</w:t>
              </w:r>
            </w:hyperlink>
          </w:p>
        </w:tc>
        <w:tc>
          <w:tcPr>
            <w:tcW w:w="3320" w:type="dxa"/>
            <w:vAlign w:val="bottom"/>
            <w:gridSpan w:val="4"/>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Financial Statements and Supplementary Data</w:t>
              </w:r>
            </w:hyperlink>
          </w:p>
        </w:tc>
        <w:tc>
          <w:tcPr>
            <w:tcW w:w="5480" w:type="dxa"/>
            <w:vAlign w:val="bottom"/>
            <w:gridSpan w:val="6"/>
          </w:tcPr>
          <w:p>
            <w:pPr>
              <w:spacing w:after="0"/>
              <w:rPr>
                <w:sz w:val="21"/>
                <w:szCs w:val="21"/>
                <w:color w:val="auto"/>
              </w:rPr>
            </w:pPr>
          </w:p>
        </w:tc>
        <w:tc>
          <w:tcPr>
            <w:tcW w:w="680" w:type="dxa"/>
            <w:vAlign w:val="bottom"/>
            <w:gridSpan w:val="5"/>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w:t>
            </w:r>
          </w:p>
        </w:tc>
        <w:tc>
          <w:tcPr>
            <w:tcW w:w="9780" w:type="dxa"/>
            <w:vAlign w:val="bottom"/>
            <w:gridSpan w:val="21"/>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Changes in and Disagreements With Accountants on Accounting and Financial Disclosure</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05">
              <w:r>
                <w:rPr>
                  <w:rFonts w:ascii="Arial" w:cs="Arial" w:eastAsia="Arial" w:hAnsi="Arial"/>
                  <w:sz w:val="18"/>
                  <w:szCs w:val="18"/>
                  <w:color w:val="0000EE"/>
                </w:rPr>
                <w:t>102</w:t>
              </w:r>
            </w:hyperlink>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18"/>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Controls and Procedures</w:t>
              </w:r>
            </w:hyperlink>
          </w:p>
        </w:tc>
        <w:tc>
          <w:tcPr>
            <w:tcW w:w="3280" w:type="dxa"/>
            <w:vAlign w:val="bottom"/>
            <w:gridSpan w:val="3"/>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Other Information</w:t>
              </w:r>
            </w:hyperlink>
          </w:p>
        </w:tc>
        <w:tc>
          <w:tcPr>
            <w:tcW w:w="8020" w:type="dxa"/>
            <w:vAlign w:val="bottom"/>
            <w:gridSpan w:val="13"/>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104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20"/>
              <w:spacing w:after="0"/>
              <w:rPr>
                <w:sz w:val="20"/>
                <w:szCs w:val="20"/>
                <w:color w:val="auto"/>
              </w:rPr>
            </w:pPr>
            <w:r>
              <w:rPr>
                <w:rFonts w:ascii="Arial" w:cs="Arial" w:eastAsia="Arial" w:hAnsi="Arial"/>
                <w:sz w:val="18"/>
                <w:szCs w:val="18"/>
                <w:b w:val="1"/>
                <w:bCs w:val="1"/>
                <w:color w:val="auto"/>
              </w:rPr>
              <w:t>Part III</w:t>
            </w:r>
          </w:p>
        </w:tc>
        <w:tc>
          <w:tcPr>
            <w:tcW w:w="3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9780" w:type="dxa"/>
            <w:vAlign w:val="bottom"/>
            <w:gridSpan w:val="21"/>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Directors, Executive Officers and Corporate Governance</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07">
              <w:r>
                <w:rPr>
                  <w:rFonts w:ascii="Arial" w:cs="Arial" w:eastAsia="Arial" w:hAnsi="Arial"/>
                  <w:sz w:val="18"/>
                  <w:szCs w:val="18"/>
                  <w:color w:val="0000EE"/>
                </w:rPr>
                <w:t>104</w:t>
              </w:r>
            </w:hyperlink>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107">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1"/>
                <w:szCs w:val="21"/>
                <w:color w:val="auto"/>
              </w:rPr>
            </w:pPr>
          </w:p>
        </w:tc>
        <w:tc>
          <w:tcPr>
            <w:tcW w:w="5700" w:type="dxa"/>
            <w:vAlign w:val="bottom"/>
            <w:gridSpan w:val="7"/>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104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9780" w:type="dxa"/>
            <w:vAlign w:val="bottom"/>
            <w:gridSpan w:val="21"/>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Security Ownership of Certain Beneficial Owners and Management and Related Stockholder Matters</w:t>
              </w:r>
            </w:hyperlink>
          </w:p>
        </w:tc>
        <w:tc>
          <w:tcPr>
            <w:tcW w:w="680" w:type="dxa"/>
            <w:vAlign w:val="bottom"/>
            <w:gridSpan w:val="5"/>
          </w:tcPr>
          <w:p>
            <w:pPr>
              <w:jc w:val="right"/>
              <w:ind w:right="20"/>
              <w:spacing w:after="0"/>
              <w:rPr>
                <w:rFonts w:ascii="Arial" w:cs="Arial" w:eastAsia="Arial" w:hAnsi="Arial"/>
                <w:sz w:val="18"/>
                <w:szCs w:val="18"/>
                <w:color w:val="0000EE"/>
              </w:rPr>
            </w:pPr>
            <w:hyperlink w:anchor="page107">
              <w:r>
                <w:rPr>
                  <w:rFonts w:ascii="Arial" w:cs="Arial" w:eastAsia="Arial" w:hAnsi="Arial"/>
                  <w:sz w:val="18"/>
                  <w:szCs w:val="18"/>
                  <w:color w:val="0000EE"/>
                </w:rPr>
                <w:t>104</w:t>
              </w:r>
            </w:hyperlink>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9"/>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Certain Relationships and Related Transactions, and Director Independence</w:t>
              </w:r>
            </w:hyperlink>
          </w:p>
        </w:tc>
        <w:tc>
          <w:tcPr>
            <w:tcW w:w="2500" w:type="dxa"/>
            <w:vAlign w:val="bottom"/>
            <w:gridSpan w:val="2"/>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104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6"/>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Principal Accounting Fees and Services</w:t>
              </w:r>
            </w:hyperlink>
          </w:p>
        </w:tc>
        <w:tc>
          <w:tcPr>
            <w:tcW w:w="4340" w:type="dxa"/>
            <w:vAlign w:val="bottom"/>
            <w:gridSpan w:val="5"/>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104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Part IV</w:t>
            </w:r>
          </w:p>
        </w:tc>
        <w:tc>
          <w:tcPr>
            <w:tcW w:w="3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Exhibits, Financial Statement Schedules</w:t>
              </w:r>
            </w:hyperlink>
          </w:p>
        </w:tc>
        <w:tc>
          <w:tcPr>
            <w:tcW w:w="6880" w:type="dxa"/>
            <w:vAlign w:val="bottom"/>
            <w:gridSpan w:val="9"/>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9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110">
              <w:r>
                <w:rPr>
                  <w:rFonts w:ascii="Arial" w:cs="Arial" w:eastAsia="Arial" w:hAnsi="Arial"/>
                  <w:sz w:val="18"/>
                  <w:szCs w:val="18"/>
                  <w:color w:val="0000EE"/>
                  <w:w w:val="93"/>
                </w:rPr>
                <w:t>Exhibit Index</w:t>
              </w:r>
            </w:hyperlink>
          </w:p>
        </w:tc>
        <w:tc>
          <w:tcPr>
            <w:tcW w:w="8800" w:type="dxa"/>
            <w:vAlign w:val="bottom"/>
            <w:gridSpan w:val="16"/>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0">
              <w:r>
                <w:rPr>
                  <w:rFonts w:ascii="Arial" w:cs="Arial" w:eastAsia="Arial" w:hAnsi="Arial"/>
                  <w:sz w:val="18"/>
                  <w:szCs w:val="18"/>
                  <w:color w:val="0000EE"/>
                  <w:w w:val="86"/>
                </w:rPr>
                <w:t>107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12">
              <w:r>
                <w:rPr>
                  <w:rFonts w:ascii="Arial" w:cs="Arial" w:eastAsia="Arial" w:hAnsi="Arial"/>
                  <w:sz w:val="18"/>
                  <w:szCs w:val="18"/>
                  <w:color w:val="0000EE"/>
                  <w:w w:val="85"/>
                </w:rPr>
                <w:t>Signatures</w:t>
              </w:r>
            </w:hyperlink>
          </w:p>
        </w:tc>
        <w:tc>
          <w:tcPr>
            <w:tcW w:w="9020" w:type="dxa"/>
            <w:vAlign w:val="bottom"/>
            <w:gridSpan w:val="18"/>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109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Fortinet is a global leader in broad, automated and integrated cybersecurity solutions. We provide high performance cybersecurity solutions to a wide variety of businesses, such as carriers, data centers, enterprises and distributed offices, including a majority of the Fortune 100 companies. Our cybersecurity solutions are designed to provide broad, automated and integrated protection against dynamic and sophisticated security threats, while simplifying the information technology (“IT”) and security infrastructure of our end-customers.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four current focus areas for our business.</w:t>
      </w:r>
    </w:p>
    <w:p>
      <w:pPr>
        <w:spacing w:after="0" w:line="225" w:lineRule="exact"/>
        <w:rPr>
          <w:sz w:val="20"/>
          <w:szCs w:val="20"/>
          <w:color w:val="auto"/>
        </w:rPr>
      </w:pPr>
    </w:p>
    <w:p>
      <w:pPr>
        <w:ind w:left="660" w:right="8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Core Business (FortiGate)</w:t>
      </w:r>
      <w:r>
        <w:rPr>
          <w:rFonts w:ascii="Arial" w:cs="Arial" w:eastAsia="Arial" w:hAnsi="Arial"/>
          <w:sz w:val="18"/>
          <w:szCs w:val="18"/>
          <w:color w:val="auto"/>
        </w:rPr>
        <w:t>—We derive a majority of product sales from our FortiGate appliances. Our FortiGate appliances include the FortiGate-20 to -100 series, designed for small businesses and enterprises with distributed offices (“low-end products”), the FortiGate-200 to -900 series for medium-sized businesses (“mid-range products”) and the FortiGate-1000 to -7000 series for large businesses and service providers (“high-end products”). In February 2018, we launched the new FortiGate 6000 series, which is built upon a new hardware process and architecture that delivers over 100 gigabytes of advanced threat protection and secure sockets layer (“SSL”) inspection to handle the volume of traffic driven by increased adoption of the cloud.</w:t>
      </w:r>
    </w:p>
    <w:p>
      <w:pPr>
        <w:spacing w:after="0" w:line="193" w:lineRule="exact"/>
        <w:rPr>
          <w:rFonts w:ascii="Arial" w:cs="Arial" w:eastAsia="Arial" w:hAnsi="Arial"/>
          <w:sz w:val="18"/>
          <w:szCs w:val="18"/>
          <w:color w:val="auto"/>
        </w:rPr>
      </w:pPr>
    </w:p>
    <w:p>
      <w:pPr>
        <w:ind w:left="660" w:right="120"/>
        <w:spacing w:after="0" w:line="293" w:lineRule="auto"/>
        <w:rPr>
          <w:rFonts w:ascii="Arial" w:cs="Arial" w:eastAsia="Arial" w:hAnsi="Arial"/>
          <w:sz w:val="18"/>
          <w:szCs w:val="18"/>
          <w:color w:val="auto"/>
        </w:rPr>
      </w:pPr>
      <w:r>
        <w:rPr>
          <w:rFonts w:ascii="Arial" w:cs="Arial" w:eastAsia="Arial" w:hAnsi="Arial"/>
          <w:sz w:val="16"/>
          <w:szCs w:val="16"/>
          <w:color w:val="auto"/>
        </w:rPr>
        <w:t>Our FortiOS operating system provides the foundation for all FortiGate security functions and offers end-customers the ability to manage security capabilities across their cloud assets and software-defined wireless area networks. Our network security platform also includes our FortiGuard security subscription services, which end-customers can subscribe to in order to obtain access to updates to application control, anti-virus, intrusion prevention, web filtering and anti-spam functionality. End-customers may also purchase FortiCare technical support services for our products and FortiCare professional services to assist in the design, implementation and maintenance of their networks. We complement our core FortiGate product line with other products and software that offer additional protection from security threats to other critical areas of the business.</w:t>
      </w:r>
    </w:p>
    <w:p>
      <w:pPr>
        <w:spacing w:after="0" w:line="164" w:lineRule="exact"/>
        <w:rPr>
          <w:rFonts w:ascii="Arial" w:cs="Arial" w:eastAsia="Arial" w:hAnsi="Arial"/>
          <w:sz w:val="18"/>
          <w:szCs w:val="18"/>
          <w:color w:val="auto"/>
        </w:rPr>
      </w:pPr>
    </w:p>
    <w:p>
      <w:pPr>
        <w:ind w:left="660" w:right="220" w:hanging="328"/>
        <w:spacing w:after="0" w:line="27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Fortinet Security Fabric</w:t>
      </w:r>
      <w:r>
        <w:rPr>
          <w:rFonts w:ascii="Arial" w:cs="Arial" w:eastAsia="Arial" w:hAnsi="Arial"/>
          <w:sz w:val="17"/>
          <w:szCs w:val="17"/>
          <w:color w:val="auto"/>
        </w:rPr>
        <w:t>—We developed the Fortinet Security Fabric to provide unified security across the entire digital attack surface,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core, endpoints, applications, data centers, access and private and public cloud. The Fortinet Security Fabric is designed to enable traditionally disparate security devices to work together as an integrated and collaborative whole. It delivers integrated scalability, access control, awareness, security, traffic segmentation, centralized management, visibility and orchestration. The breadth of the Fortinet Security Fabric helps businesses and government agencies defend the expanding attack surface.</w:t>
      </w:r>
    </w:p>
    <w:p>
      <w:pPr>
        <w:spacing w:after="0" w:line="172" w:lineRule="exact"/>
        <w:rPr>
          <w:rFonts w:ascii="Arial" w:cs="Arial" w:eastAsia="Arial" w:hAnsi="Arial"/>
          <w:sz w:val="17"/>
          <w:szCs w:val="17"/>
          <w:color w:val="auto"/>
        </w:rPr>
      </w:pPr>
    </w:p>
    <w:p>
      <w:pPr>
        <w:ind w:left="660" w:right="40"/>
        <w:spacing w:after="0" w:line="257" w:lineRule="auto"/>
        <w:rPr>
          <w:rFonts w:ascii="Arial" w:cs="Arial" w:eastAsia="Arial" w:hAnsi="Arial"/>
          <w:sz w:val="17"/>
          <w:szCs w:val="17"/>
          <w:color w:val="auto"/>
        </w:rPr>
      </w:pPr>
      <w:r>
        <w:rPr>
          <w:rFonts w:ascii="Arial" w:cs="Arial" w:eastAsia="Arial" w:hAnsi="Arial"/>
          <w:sz w:val="18"/>
          <w:szCs w:val="18"/>
          <w:color w:val="auto"/>
        </w:rPr>
        <w:t>At the core of the Fortinet Security Fabric are our FortiGate hardware products and software, which include a broad set of security services, including firewall, virtual private network, anti-malware, anti-spam, application control, intrusion prevention, access control, web filtering, traffic and device segmentation and advanced threat protection (“ATP”). Through these security services, our FortiGuard Labs team provides updates using threat research and a global cloud network of data collection and intelligence resources to deliver subscription-based security services to FortiGate appliances and software products.</w:t>
      </w:r>
    </w:p>
    <w:p>
      <w:pPr>
        <w:spacing w:after="0" w:line="188" w:lineRule="exact"/>
        <w:rPr>
          <w:rFonts w:ascii="Arial" w:cs="Arial" w:eastAsia="Arial" w:hAnsi="Arial"/>
          <w:sz w:val="17"/>
          <w:szCs w:val="17"/>
          <w:color w:val="auto"/>
        </w:rPr>
      </w:pPr>
    </w:p>
    <w:p>
      <w:pPr>
        <w:jc w:val="both"/>
        <w:ind w:left="660" w:right="420"/>
        <w:spacing w:after="0" w:line="286" w:lineRule="auto"/>
        <w:rPr>
          <w:rFonts w:ascii="Arial" w:cs="Arial" w:eastAsia="Arial" w:hAnsi="Arial"/>
          <w:sz w:val="17"/>
          <w:szCs w:val="17"/>
          <w:color w:val="auto"/>
        </w:rPr>
      </w:pPr>
      <w:r>
        <w:rPr>
          <w:rFonts w:ascii="Arial" w:cs="Arial" w:eastAsia="Arial" w:hAnsi="Arial"/>
          <w:sz w:val="17"/>
          <w:szCs w:val="17"/>
          <w:color w:val="auto"/>
        </w:rPr>
        <w:t>We continue to expand the adoption of the Fortinet Security Fabric to third-party solution providers. In 2017, we welcomed 18 new partners to our Fabric-Ready partner program, including Intel, Amazon Web Services and Microsoft. Our Fabric-ready program consisted of 37 ecosystem partners as of February 3, 2018. Billings for non-FortiGate products and services increased in 2017.</w:t>
      </w:r>
    </w:p>
    <w:p>
      <w:pPr>
        <w:spacing w:after="0" w:line="165" w:lineRule="exact"/>
        <w:rPr>
          <w:rFonts w:ascii="Arial" w:cs="Arial" w:eastAsia="Arial" w:hAnsi="Arial"/>
          <w:sz w:val="17"/>
          <w:szCs w:val="17"/>
          <w:color w:val="auto"/>
        </w:rPr>
      </w:pPr>
    </w:p>
    <w:p>
      <w:pPr>
        <w:ind w:left="660" w:right="120" w:hanging="328"/>
        <w:spacing w:after="0" w:line="29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Fortinet Cloud Security</w:t>
      </w:r>
      <w:r>
        <w:rPr>
          <w:rFonts w:ascii="Arial" w:cs="Arial" w:eastAsia="Arial" w:hAnsi="Arial"/>
          <w:sz w:val="16"/>
          <w:szCs w:val="16"/>
          <w:color w:val="auto"/>
        </w:rPr>
        <w:t>—Our technology positions us to deliver security to the cloud and for the cloud. We help our customers secure their cloud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implementations by offering integration, visibility and automation across multi-cloud and hybrid deployments. We have a variety of software products designed to extend traditional network security protection into the cloud as standalone solutions, or as part of our distributed Security Fabric architecture. Our FortiCASB extends the core capabilities of our security fabric architecture to provide businesses the same level of cybersecurity and threat intelligence in cloud environments as they do on their physical networks. The Fortinet cloud security is available across all major cloud providers, including Microsoft Azure, Amazon Web Services, Google Cloud, IBM Cloud and Oracle Cloud.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2" w:right="25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right="80" w:hanging="328"/>
        <w:spacing w:after="0" w:line="27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Internet of Things (“IoT”) and Operational Technology Security (“OT”)</w:t>
      </w:r>
      <w:r>
        <w:rPr>
          <w:rFonts w:ascii="Arial" w:cs="Arial" w:eastAsia="Arial" w:hAnsi="Arial"/>
          <w:sz w:val="17"/>
          <w:szCs w:val="17"/>
          <w:color w:val="auto"/>
        </w:rPr>
        <w:t>—The emergence of the IoT has created an environment where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moves freely between devices across locations, network environments, remote offices, mobile workers and public cloud environments, making it difficult to consistently track and secure. We are continuing to extend broad security to these IoT and OT environments. Our products enable critical infrastructure and industrial organizations to deliver advanced segmentation, access control and malware protection needed to unify their security architecture and defend their OT networks regardless of the operating environment.</w:t>
      </w:r>
    </w:p>
    <w:p>
      <w:pPr>
        <w:spacing w:after="0" w:line="17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During our year ended December 31, 2017, we generated total revenue of $1.49 billion and net income of $31.4 million. See Part II, Item 8 of this Annual Report on Form 10-K for more information on our consolidated balance sheets as of December 31, 2017 and 2016 and our consolidated statements of operations, comprehensive income, stockholders’ equity and cash flows for each of the three years ended December 31, 2017, 2016 and 2015.</w:t>
      </w:r>
    </w:p>
    <w:p>
      <w:pPr>
        <w:spacing w:after="0" w:line="187" w:lineRule="exact"/>
        <w:rPr>
          <w:sz w:val="20"/>
          <w:szCs w:val="20"/>
          <w:color w:val="auto"/>
        </w:rPr>
      </w:pPr>
    </w:p>
    <w:p>
      <w:pPr>
        <w:ind w:right="2500" w:firstLine="648"/>
        <w:spacing w:after="0" w:line="277" w:lineRule="auto"/>
        <w:rPr>
          <w:sz w:val="20"/>
          <w:szCs w:val="20"/>
          <w:color w:val="auto"/>
        </w:rPr>
      </w:pPr>
      <w:r>
        <w:rPr>
          <w:rFonts w:ascii="Arial" w:cs="Arial" w:eastAsia="Arial" w:hAnsi="Arial"/>
          <w:sz w:val="18"/>
          <w:szCs w:val="18"/>
          <w:color w:val="auto"/>
        </w:rPr>
        <w:t>We were incorporated in Delaware in November 2000. Our principal executive office is located at 899 Kifer Road, Sunnyvale, California 94086 and our telephone number at that location is (408) 235-7700.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Architecture</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proprietary SPU hardware architecture, FortiOS operating system and associated security and networking functions combine to form the Fortinet Security Fabric. This approach to security ties together discrete security solutions into an integrated whole, which enables our products to perform security processing for networks with high throughput requirements across a broad threat landscape.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SPU</w:t>
      </w:r>
    </w:p>
    <w:p>
      <w:pPr>
        <w:spacing w:after="0" w:line="266"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Our proprietary SPU consists of Application-Specific Integrated Circuits (“ASICs”) consisting of three main lines of processors: (i) the Content Processor (“SPU CP”), (ii) the Network Processor (“SPU NP”) and (iii) the System-on-a-Chip (“SPU SOC”). Our proprietary ASICs are designed to enhance the security processing capabilities implemented in software by accelerating computationally intensive tasks such as firewall policy enforcement, network address translation, IPS threat detection and encryption. This architecture provides the flexibility of implementing accelerated processing of new threat detection without requiring a new ASIC. The SPU CP is currently included in most of our entry-level and all of our mid-range and high-end FortiGate appliances. The SPU NP is currently included in some of our mid-range and high-end FortiGate appliances, delivering additional accelerated firewall and VPN performance. Entry-level FortiGate products often use the SPU SOC2 or SPU SOC3 to provide the necessary acceleration at this level. Mid-range FortiGate products use a central processing unit (“CPU”) and include the SPU NP and SPU CP hardware acceleration. The high-end FortiGate products use multiple CPUs, SPU CPs and SPU NPs.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FortiOS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proprietary FortiOS operating system provides the foundation for the operation of all FortiGate appliances, whether physical, virtual, private or public cloud or on-demand based, and is at the heart of our Security Fabric implementation. The core kernel functions to the security processing feature sets work together to provide a highly integrated solution. FortiOS provides (i) multiple layers of security, including a hardened kernel layer providing protection for the FortiGate system, (ii) a network security layer providing security for end-customers’ network infrastructures and (iii) application content protection providing security for end-customers’ workstations and applications. FortiOS directs the operations of processors and SPUs and provides system management functions such as command-line, graphical user interfaces, multiple network and security topology views.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Key high-level functions and capabilities of FortiOS include:</w:t>
      </w:r>
    </w:p>
    <w:p>
      <w:pPr>
        <w:spacing w:after="0" w:line="225"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key enablement for the Fortinet Security Fabric architecture;</w:t>
      </w:r>
    </w:p>
    <w:p>
      <w:pPr>
        <w:spacing w:after="0" w:line="23" w:lineRule="exact"/>
        <w:rPr>
          <w:rFonts w:ascii="Arial" w:cs="Arial" w:eastAsia="Arial" w:hAnsi="Arial"/>
          <w:sz w:val="18"/>
          <w:szCs w:val="18"/>
          <w:color w:val="auto"/>
        </w:rPr>
      </w:pPr>
    </w:p>
    <w:p>
      <w:pPr>
        <w:ind w:left="1300" w:right="140" w:hanging="320"/>
        <w:spacing w:after="0" w:line="25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allowing for FortiGate appliances to be configured into different security environments such as our Internal Network Firewall, NGFW and DCFW;</w:t>
      </w: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configuration of the physical aspects of the appliance such as ports, onboard Wi-Fi and switching;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extending the Fortinet Security Fabric by directly managing FortiSwitch and FortiAP devices;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key network functions such as routing and deployment modes (network routing, transparent, sniffer, etc.);</w:t>
      </w:r>
    </w:p>
    <w:p>
      <w:pPr>
        <w:spacing w:after="0" w:line="9" w:lineRule="exact"/>
        <w:rPr>
          <w:rFonts w:ascii="Arial" w:cs="Arial" w:eastAsia="Arial" w:hAnsi="Arial"/>
          <w:sz w:val="18"/>
          <w:szCs w:val="18"/>
          <w:color w:val="auto"/>
        </w:rPr>
      </w:pPr>
    </w:p>
    <w:p>
      <w:pPr>
        <w:ind w:left="1620" w:right="600" w:hanging="640"/>
        <w:spacing w:after="0" w:line="250" w:lineRule="auto"/>
        <w:tabs>
          <w:tab w:leader="none" w:pos="1296"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implementation of security updates from our FortiGuard distribution network, delivering ATP, such as IPS, antivirus and application control;</w:t>
      </w: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access to cloud-based web and email filtering databases;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 integration with both cloud and on premises FortiSandbox technology;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security policy objects and enforcement;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data leak prevention and document finger printing; and</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real-time reporting and logging.</w:t>
      </w:r>
    </w:p>
    <w:p>
      <w:pPr>
        <w:spacing w:after="0" w:line="21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FortiOS also enables advanced, integrated routing and switching, allowing end-customers to deploy FortiGate devices within a wide variety of networks, as well as providing a direct replacement solution option for legacy switching and routing equipment. FortiOS implements a suite of commonly used standards-based routing protocols as well as network address translation technologies, allowing the FortiGate appliance to integrate and operate in a wide variety of network environments. Additional features include virtual domain capabilities, which can provide support for multiple customers on a single device or FortiOS instance. FortiOS also provides capabilities for logging of traffic for forensic analysis purposes that are particularly important for regulatory compliance initiatives like payment card industry data security standard. FortiOS is designed to help control network traffic in order to optimize performance by including functionality such as packet classification, queue disciplines, policy enforcement, congestion management, WAN optimization and caching. These features enable administrators to set the appropriate configurations and policies that meet their infrastructure needs. We make updates to FortiOS available through our FortiCare technical support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Our core product offerings consist of our FortiGate product family, along with our non-FortiGate products, all of which may be purchased to complement commercial and enterprise deployments. Our FortiGate hardware and software licenses are sold with a set of broad security services. These security services are enabled by FortiGuard which provides extensive threat research and artificial intelligence capabilities from a global cloud network to deliver protection services to each FortiGate appliance. Our non-FortiGate products include the Fortinet Security Fabric (such as FortiSandbox, FortiSIEM and FortiManager), cloud security products (such as Fabric virtual machines and cloud services) and other products.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FortiGate</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flagship FortiGate hardware appliances and software offer a broad set of security and networking functions, including firewall, intrusion prevention, anti-malware, VPN, application control, web filtering, anti-spam and WAN acceleration. All FortiGate models run on our FortiOS operating system. FortiGate platforms can be centrally managed through both embedded web-based and command line interfaces, as well as through FortiManager, which provides central management architecture for thousands of FortiGate hardware appliance and software licenses across a range of hypervisor platforms.</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By combining multiple network security functions in our purpose-built security platform, the FortiGate appliances provide broad, high-quality protection capabilities and deployment flexibility while reducing the operational burden and costs associated with managing multiple point products. With over 30 models in the FortiGate product line, FortiGate is designed to address security requirements for small- to medium-sized businesses, large enterprises and government organizations worldwide.</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Typically, all FortiGate hardware appliances include our SPUs to accelerate content and network security features implemented within FortiOS. The significant differences between each model are the performance and scalability targets each model is designed to meet, while the security features and associated services offered are common throughout all models. The FortiGate-20 through -100 series models are designed for perimeter protection for small-to medium-sized businesses and enterprises with distributed offices. The FortiGate-200 through -900 series models are designed for perimeter deployment in medium-sized to large enterprise networks. The FortiGate-1000 through -7000 series models deliver high performance and scalable network security functionality for perimeter, data center and core deployment in large enterprises.</w:t>
      </w:r>
    </w:p>
    <w:p>
      <w:pPr>
        <w:spacing w:after="0" w:line="178"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We also incorporate additional technologies within FortiGate appliances that differentiate our solutions, including data leakage protection, traffic optimization, secure socket layer inspection, threat vulnerability management and wireless controller technology. In addition to these in-built features, we offer a full range of wireless access points and controllers, complementing FortiGate with the flexibility of wireless local area network access.</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121" w:right="31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FortiSandbox</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FortiSandbox technology delivers proactive detection and mitigation with the capability to generate a directly actionable protection capability. Available in both hardware and cloud-based form, the FortiSandbox technology has a dual-layer sandbox complemented by FortiGuard’s anti-malware intelligence. FortiSandbox allows suspicious code to be subject to a set of multi-layer protection techniques culminating in execution within an operating system to allow detailed real-time behavioral analysis to be performed. When malicious code is identified in this way, a signature can be generated locally for distribution across the Fortinet Security Fabric. Additional insight on the nature of the threat is provided through an intuitive dashboard showing threat information, including system activity, exploit efforts, web traffic and any related subsequent downloads. In addition to integrating within FortiOS, the FortiSandbox can also deliver its detection and local threat intelligence to registered FortiMail, FortiWeb appliances and FortiClient enabled end points.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FortiSIEM</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FortiSIEM family of products provides a cloud-ready security information and event management (“SIEM”) solution for enterprises and service providers. FortiSIEM unifies analytics that are traditionally monitored discretely, parses the information and then processes it in an event-based analytics engine for handling real-time searches, rules, dashboards and ad-hoc queries. This unification of diverse sources of data enables organizations to create comprehensive dashboards and reports to identify root causes of threats, and take the steps necessary to remediate and prevent them in the future. Our FortiSIEM products are available either through subscription or perpetual licenses.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FortiSwitch</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Our FortiSwitch product family provides secure switching solutions. It can be deployed in traditional network switching designs with layer 2 and layer 3 access control features. FortiSwitch is part of Fortinet’s Security Fabric solution. FortiSwitch within Fortinet Security Fabric creates a scalable and secure access layer on which customers depend for connecting their end devices, such as computers and laptops, as well as an expanding field of IoT devices.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Fortinet Management and Analysis Products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Our FortiManager and FortiAnalyzer hardware and software products are typically sold in conjunction with most commercial and enterprise deployments.</w:t>
      </w:r>
    </w:p>
    <w:p>
      <w:pPr>
        <w:spacing w:after="0" w:line="17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FortiManager. </w:t>
      </w:r>
      <w:r>
        <w:rPr>
          <w:rFonts w:ascii="Arial" w:cs="Arial" w:eastAsia="Arial" w:hAnsi="Arial"/>
          <w:sz w:val="18"/>
          <w:szCs w:val="18"/>
          <w:color w:val="auto"/>
        </w:rPr>
        <w:t>Our FortiManager family of products provides a central and scalable management solution for our FortiGate products,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updates, configuration, policy settings and security updates. One FortiManager product is capable of managing thousands of FortiGate units. FortiManager facilitates the coordination of policy-based provisioning, device configuration and operating system revision management, as well as network security monitoring and device control.</w:t>
      </w:r>
    </w:p>
    <w:p>
      <w:pPr>
        <w:spacing w:after="0" w:line="18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i w:val="1"/>
          <w:iCs w:val="1"/>
          <w:color w:val="auto"/>
        </w:rPr>
        <w:t xml:space="preserve">FortiAnalyzer. </w:t>
      </w:r>
      <w:r>
        <w:rPr>
          <w:rFonts w:ascii="Arial" w:cs="Arial" w:eastAsia="Arial" w:hAnsi="Arial"/>
          <w:sz w:val="16"/>
          <w:szCs w:val="16"/>
          <w:color w:val="auto"/>
        </w:rPr>
        <w:t>Our FortiAnalyzer family of products provides centralized network logging, analyzing and reporting solutions that securely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content and log data from our FortiGate devices and other Fortinet products as well as third-party devices to enable network logging, analysis and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FortiGuard Security Subscription Services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Security requirements are dynamic due to the constantly changing nature of threats. Our FortiGuard security subscription services are designed to allow us to quickly deliver new threat detection and prevention capabilities to end-customers worldwide as new threats evolve. Our FortiGuard Labs global threat research team identifies emerging threats, collects threat samples, and replicates, reviews, characterizes and collates attack data. Based on this research, we develop updates for virus signatures, attack definitions, scanning engines and other security solution components to distribute to end-customers. End-customers purchase FortiGuard security subscription services in advance, typically with terms of one or more years, to obtain access to regular updates for application control, antivirus, intrusion prevention, web filtering and anti-spam functions for our FortiGate products; antivirus, web filtering and VPN functions for our FortiClient software; antivirus and anti-spam functions for our FortiMail products; vulnerability management for our FortiGate, FortiAnalyzer and FortiMonitor products; database functions for our FortiDB appliance; web functions for our FortiWeb appliances; and ATP for our FortiSandbox on premise and cloud products. We provide FortiGuard security subscription services 24 hours a day, seven days a week.</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1" w:right="27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FortiCare Technical Support Services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FortiCare services portfolio includes technical support and extended product warranty. For our standard technical support, our channel partners may provide first-level support to the end-customer. We also provide first-level support to our end-customers, as well as second- and third-level support as appropriate. We also provide knowledge management tools and customer self-help portals to help augment our support capabilities in an efficient and scalable manner. We deliver technical support to partners and end-customers 24 hours a day, seven days a week through regional technical support centers located worldwide. In addition to our appliance technical support services, we offer a range of advanced services, including premium support and professional services.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Professional Services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offer professional services to end-customers including Technical Account Managers (“TAMs”), Resident Engineers (“REs”) and professional service consultants for implementations.</w:t>
      </w:r>
    </w:p>
    <w:p>
      <w:pPr>
        <w:spacing w:after="0" w:line="17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Dedicated support engineers are available to help identify and eliminate issues before problems arise. These TAMs and REs are seasoned professionals with broad and deep experience in the security and networking field. Each TAM and RE acts as a single point of contact and customer advocate within Fortinet, and is focused on building and maintaining a deep understanding of our customers’ businesses and security requirements.</w:t>
      </w:r>
    </w:p>
    <w:p>
      <w:pPr>
        <w:spacing w:after="0" w:line="166"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Our professional services consultants help in the design of deployments of our products and work closely with end-customer engineers, managers and other project team members to implement our products according to design, utilizing network analysis tools, traffic simulation software and scripts.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Training Services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We offer training services to our end-customers and channel partners through our training department and authorized training partners. We have also implemented a training certification program, Network Security Expert, to help ensure an understanding of our products and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We typically sell our security solutions to channel partners, who in turn sell to end-customers of various sizes and, at times, we also sell directly to end-customers. Our end-customers include small and medium-sized businesses, large enterprises and government organizations across a wide range of industries, including telecommunications, technology, government, financial services, education, retail, manufacturing and healthcare. An end-customer deployment may involve one of our appliances or thousands, depending on our end-customer’s size and security requirements. We also offer access to our products via the cloud through certain cloud providers such as Amazon Web Services and Microsoft Azure. Many of our customers also purchase our FortiGuard security subscription services and FortiCare technical support services. For information regarding our geographic revenue based on billing address, see Note 14 to our consolidated financial statements in Part II, Item 8 of this Annual Report on Form 10-K.</w:t>
      </w:r>
    </w:p>
    <w:p>
      <w:pPr>
        <w:spacing w:after="0" w:line="16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One distributor, Exclusive Networks Group (“Exclusive”), which distributed our solutions to a large group of resellers and end-customers, accounted for 18%, 20% and 25% of total revenue during 2015, 2016 and 2017, respectively. In July 2017, Exclusive acquired the U.S. division of Fine Tec Computers (“Fine Tec U.S.”). Fine Tec U.S.’s revenue has been combined with Exclusive’s from the date of acquisition. Since the acquisition of Fine Tec U.S., Exclusive’s business with us has increased and may continue to increase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primarily sell our products and services through a distribution model. We sell to distributors that sell to networking security and enterprise-focused resellers and service providers, who, in turn, sell to our end-customers. In certain cases, we sell directly to government-focused resellers, as well as to large service providers and financial institutions who have large purchasing power and unique customer deployment demands. We work with many technology distributors, including Exclusive, Ingram Micro Inc., Westcon and Tech Data.</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support our channel partners with a dedicated team of experienced channel account managers, sales professionals and sales engineers who provide business planning, joint marketing strategy, and pre-sales and operational sales support. Additionally, our sales teams help drive and support large enterprise and service provider sales through a direct touch model. Our sales professionals and engineers typically work closely with our channel partners and directly engage with large end-customers to address their unique security and deployment requirements. To support our broadly dispersed global channel and end-customer base, we have sales professionals in over 80 countries around the world.</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marketing strategy is focused on building our brand and driving end-customer demand for our security solutions. We use a combination of internal marketing professionals and a network of regional and global channel partners. Our internal marketing organization is responsible for messaging, branding, demand generation, product marketing, channel marketing, event marketing, digital marketing, communications, analyst relations, public relations and sales enablement. We focus our resources on campaigns, programs and activities that can be leveraged by partners worldwide to extend our marketing reach, such as sales tools and collateral, product awards and technical certifications, media engagement, training, regional seminars and conferences, webinars and various other demand-generation activities.</w:t>
      </w:r>
    </w:p>
    <w:p>
      <w:pPr>
        <w:spacing w:after="0" w:line="19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2017, we continued to invest in sales and marketing, particularly in the enterprise market where enterprise customers tend to have a higher lifetime value. We intend to continue to make investments in our sales resources and infrastructure and marketing strategy, which are critical to support our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and Suppliers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outsource the manufacturing of our security appliance products to a variety of contract manufacturers and original design manufacturers. Our current manufacturing partners include Micro-Star International Co., Wistron Corporation, Flextronics International Ltd, Senao Networks, Inc., Adlink Technology, Inc. and a number of manufacturers located in Taiwan and other countries outside the United States. We submit purchase orders to our contract manufacturers that describe the type and quantities of our products to be manufactured, the delivery date and other delivery terms. Once our products are manufactured, they are sent to either our warehouse in California, or to our logistics partner in Taoyuan City, Taiwan, where accessory packaging and quality-control testing are performed. We believe that outsourcing our manufacturing and a substantial portion of our logistics enables us to focus resources on our core competencies. Our proprietary SPUs, which are the key to the performance of our appliances, are built by contract manufacturers including Faraday Technology Corporation (“Faraday”), Kawasaki Microelectronics America, Inc. and Renesas Electronics Corporation (“Renesas”). These contract manufacturers use foundries operated by either United Microelectronics Corporation (“UMC”) or Taiwan Semiconductor Manufacturing Company Limited (“TSMC”), or their own foundry, such as Renesas’ fab.</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components included in our products are sourced from various suppliers by us or more frequently by our contract manufacturers. Some of the components important to our business, including specific types of CPUs from Intel Corporation (“Intel”), network chips from Broadcom Corporation (“Broadcom”), Marvell Technology Group Ltd. (“Marvell”) and Intel, and solid-state drives (silicon-based storage devices) from Intel, ADATA Technology Co., Ltd. (“ADATA”), OCZ Technology Group, Inc. (“OCZ”), Samsung Electronics Co., Ltd. (“Samsung”), and Western Digital Technologies, Inc. (“Western Digital”), are available from a limited or sole source of supply.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no long-term contracts related to the manufacturing of our ASICs or other components that guarantee any capacity or pricing terms.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focus our research and development efforts on developing new products and services, and adding new features to existing products and services. Our development strategy is to identify features, products and systems for both software and hardware that are, or are expected to be, important to our end-customers. Our success in designing, developing, manufacturing and selling new or enhanced products will depend on a variety of factors, including the identification of market demand for new products, product selection, timely implementation of product design and development, product performance, effective manufacturing and assembly processes and sales and marketing. Our research and development expense was $210.6 million, $183.1 million and $158.1 million in 2017, 2016 and 2015, respectively.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We rely primarily on patent, trademark, copyright and trade secrets laws, confidentiality procedures and contractual provisions to protect our technology. As of December 31, 2017, we had 467 issued U.S.- and foreign-issued patents and 291 pending U.S. and foreign patent applications. We also license software from third parties for inclusion in our products, including open source software and other software available on commercially reasonable terms.</w:t>
      </w:r>
    </w:p>
    <w:p>
      <w:pPr>
        <w:spacing w:after="0" w:line="18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Despite our efforts to protect our rights in our technology, unauthorized parties may attempt to copy aspects of our products or obtain and use information that we regard as proprietary. We generally enter into confidentiality agreements with our employees, consultants, vendors and customers, and generally limit access to and distribution of our proprietary information. However, we cannot provide assurance that the steps we take will prevent misappropriation of our technology. In addition, the laws of some foreign countries do not protect our proprietary rights to as great an extent as the laws of the United States, and many foreign countries do not enforce these laws as diligently as government agencies and private parties in the United States.</w:t>
      </w:r>
    </w:p>
    <w:p>
      <w:pPr>
        <w:spacing w:after="0" w:line="158"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Our industry is characterized by the existence of a large number of patents and frequent claims and related litigation regarding patent and other intellectual property rights. Third parties have asserted, are currently asserting and may in the future assert patent, copyright, trademark or other intellectual property rights against us, our channel partners or our end-customers. Successful claims of infringement by a third party could prevent us from distributing certain products or performing certain services or require us to pay substantial damages (including treble damages if we are found to have willfully infringed patents or copyrights), royalties or other fees. Even if third parties may offer a license to their technology, the terms of any offered license may not be acceptable and the failure to obtain a license or the costs associated with any license could cause our business, operating results or financial condition to be materially and adversely affected. We typically indemnify our end-customers, distributors and certain resellers against claims that our products infringe the intellectual property of third parties.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For information regarding seasonality in our sales, see the section entitled “Management’s Discussion and Analysis of Financial Condition and Results of Operations—Quarterly Results of Operations—Seasonality, Cyclicality and Quarterly Revenue Trends” in Part II, Item 7 of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markets for our products are extremely competitive and are characterized by rapid technological change. The principal competitive factors in our markets include the following:</w:t>
      </w:r>
    </w:p>
    <w:p>
      <w:pPr>
        <w:spacing w:after="0" w:line="197" w:lineRule="exact"/>
        <w:rPr>
          <w:sz w:val="20"/>
          <w:szCs w:val="20"/>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performance, features, effectiveness, interoperability and reliability;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add and integrate new networking and security features and technological expertise;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industry standards and certifications;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of products and services and total cost of ownership;</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service and support;</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and distribution capabilities;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size and financial stability of operations; 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of product line.</w:t>
      </w:r>
    </w:p>
    <w:p>
      <w:pPr>
        <w:spacing w:after="0" w:line="23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Among others, our competitors include Check Point Software Technologies Ltd. (“Check Point”), Cisco Systems, Inc. (“Cisco”), F5 Networks, Inc. (“F5 Networks”), FireEye, Inc. (“FireEye”), Forcepoint LLC (“Forcepoint”), Imperva, Inc. (“Imperva”), Juniper Networks, Inc. (“Juniper”), McAfee, LLC. (“McAfee”), Palo Alto Networks, Inc. (“Palo Alto Networks”), Proofpoint, Inc. (“Proofpoint”), SonicWALL, Inc. (“SonicWALL”), Sophos Group Plc (“Sophos”), Symantec Corporation (“Symantec”) and Trend Micro Incorporated (“Trend Micro”).</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believe we compete favorably based on our products’ performance, reliability and breadth, our ability to add and integrate new networking and security features and our technological expertise. Several competitors are significantly larger, have greater financial, technical, marketing, distribution, customer support and other resources, are more established than we are and have significantly better brand recognition. Some of these larger competitors have substantially broader product offerings and leverage their relationships based on other products or incorporate functionality into existing products in a manner that discourages users from purchasing our products. Based in part on these competitive pressures, we may lower prices or attempt to add incremental features and functionality.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Conditions in our markets could change rapidly and significantly as a result of technological advancements or continuing market consolidation. The development and market acceptance of alternative technologies could decrease the demand for our products or render them obsolete. Our competitors may introduce products that are less costly, provide superior performance, market their products better, or achieve greater market acceptance than us. In addition, our larger competitors often have broader product lines and are in a better position to withstand any significant reduction in capital spending by end-customers in these markets, and will therefore not be as susceptible to downturns in a particular market. The above competitive pressures are likely to continue to impact our business. We may not be able to compete successfully in the future, and competition may harm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As of December 31, 2017, our total headcount was 5,066 employees and contractors. None of our U.S. employees are represented by a labor union; however, our employees in certain European countries have the right to be represented by external labor organizations if they maintain up-to-date union membership. We have not experienced any work stoppages, and we consider our relations with our employees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web site is located at www.fortinet.com, and our investor relations web site is located at http://investor.fortinet.com. The information posted on our website is not incorporated by reference into this Annual Report on Form 10-K. Our Annual Report on Form 10-K, Quarterly Reports on Form 10-Q, Current Reports on Form 8-K and amendments to reports filed or furnished pursuant to Sections 13(a) and 15(d) of the Securities Act, are available free of charge on our investor relations web site as soon as reasonably practicable after we electronically file such material with, or furnish it to, the SEC. You may also access all of our public filings through the SEC’s website at www.sec.gov. Further, a copy of this Annual Report on Form 10-K is located at the SEC’s Public Reference Room at 100 F Street, NE, Washington, D.C. 20549. Information on the operation of the Public Reference Room can be obtained by calling the SEC at 1-800-SEC-0330.</w:t>
      </w:r>
    </w:p>
    <w:p>
      <w:pPr>
        <w:spacing w:after="0" w:line="18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 site. Additionally, we provide notifications of news or announcements regarding our financial performance, including SEC filings, investor events, press and earnings releases, as part of our investor relations web site. The contents of these web sites are not intended to be incorporated by reference into this report or in any other report or document we file.</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122" w:right="29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Annual Report on Form 10-K, including our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new end-customers or sell additional products and subscriptions to our existing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36" w:lineRule="exact"/>
        <w:rPr>
          <w:rFonts w:ascii="Arial" w:cs="Arial" w:eastAsia="Arial" w:hAnsi="Arial"/>
          <w:sz w:val="17"/>
          <w:szCs w:val="17"/>
          <w:color w:val="auto"/>
        </w:rPr>
      </w:pPr>
    </w:p>
    <w:p>
      <w:pPr>
        <w:ind w:left="1300" w:right="22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new products on schedule and our ability to accurately forecast inventory requirements;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25"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mix of products sold and the mix of revenue between products and services, as well as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w:t>
      </w:r>
    </w:p>
    <w:p>
      <w:pPr>
        <w:spacing w:after="0" w:line="225"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the time it takes to hire sales personnel and the timing of hiring, and our ability to retain, sales personnel;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seasonal buying patterns of our end-customers;</w:t>
      </w:r>
    </w:p>
    <w:p>
      <w:pPr>
        <w:spacing w:after="0" w:line="225"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level of our investments in sales and marketing, and the impact of such investments on our operating expenses, operating margin and the productivity and effectiveness of execution of our sales and marketing teams;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revenue recognition for our sales;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market;</w:t>
      </w:r>
    </w:p>
    <w:p>
      <w:pPr>
        <w:spacing w:after="0" w:line="225" w:lineRule="exact"/>
        <w:rPr>
          <w:rFonts w:ascii="Arial" w:cs="Arial" w:eastAsia="Arial" w:hAnsi="Arial"/>
          <w:sz w:val="18"/>
          <w:szCs w:val="18"/>
          <w:color w:val="auto"/>
        </w:rPr>
      </w:pPr>
    </w:p>
    <w:p>
      <w:pPr>
        <w:ind w:left="1300" w:right="480" w:hanging="644"/>
        <w:spacing w:after="0" w:line="308"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14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deferral of orders from distributors, resellers or end-customers in anticipation of new products or product enhancements announced by us or our competitors;</w:t>
      </w:r>
    </w:p>
    <w:p>
      <w:pPr>
        <w:spacing w:after="0" w:line="170" w:lineRule="exact"/>
        <w:rPr>
          <w:rFonts w:ascii="Arial" w:cs="Arial" w:eastAsia="Arial" w:hAnsi="Arial"/>
          <w:sz w:val="18"/>
          <w:szCs w:val="18"/>
          <w:color w:val="auto"/>
        </w:rPr>
      </w:pPr>
    </w:p>
    <w:p>
      <w:pPr>
        <w:ind w:left="1300" w:right="40" w:hanging="644"/>
        <w:spacing w:after="0" w:line="31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46"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existing laws and regulations that are applicable to our ability to conduct business with the public sector;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cloud-based platforms on the timing of our revenue recognition, billings and free cash flow;</w:t>
      </w:r>
    </w:p>
    <w:p>
      <w:pPr>
        <w:spacing w:after="0" w:line="225" w:lineRule="exact"/>
        <w:rPr>
          <w:rFonts w:ascii="Arial" w:cs="Arial" w:eastAsia="Arial" w:hAnsi="Arial"/>
          <w:sz w:val="18"/>
          <w:szCs w:val="18"/>
          <w:color w:val="auto"/>
        </w:rPr>
      </w:pPr>
    </w:p>
    <w:p>
      <w:pPr>
        <w:ind w:left="1300" w:right="8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competition and increased competitiveness in our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both increase revenues and manage and control operating expenses in order to improve our operating margins;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25" w:lineRule="exact"/>
        <w:rPr>
          <w:rFonts w:ascii="Arial" w:cs="Arial" w:eastAsia="Arial" w:hAnsi="Arial"/>
          <w:sz w:val="18"/>
          <w:szCs w:val="18"/>
          <w:color w:val="auto"/>
        </w:rPr>
      </w:pPr>
    </w:p>
    <w:p>
      <w:pPr>
        <w:ind w:left="1300" w:right="260" w:hanging="644"/>
        <w:spacing w:after="0" w:line="308"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319"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 including as a result of consolidation among distributors and resellers of security solutions;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70" w:lineRule="exact"/>
        <w:rPr>
          <w:rFonts w:ascii="Arial" w:cs="Arial" w:eastAsia="Arial" w:hAnsi="Arial"/>
          <w:sz w:val="18"/>
          <w:szCs w:val="18"/>
          <w:color w:val="auto"/>
        </w:rPr>
      </w:pPr>
    </w:p>
    <w:p>
      <w:pPr>
        <w:ind w:left="1300" w:right="66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policy changes and uncertainty with respect to immigration laws, trade policy, foreign imports and tax laws related to international commerce;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economic and social instability;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25" w:lineRule="exact"/>
        <w:rPr>
          <w:rFonts w:ascii="Arial" w:cs="Arial" w:eastAsia="Arial" w:hAnsi="Arial"/>
          <w:sz w:val="18"/>
          <w:szCs w:val="18"/>
          <w:color w:val="auto"/>
        </w:rPr>
      </w:pPr>
    </w:p>
    <w:p>
      <w:pPr>
        <w:ind w:left="1300" w:right="760" w:hanging="644"/>
        <w:spacing w:after="0" w:line="34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future accounting pronouncements or changes in our accounting policies, such as changes in the revenue recognition standards or accounting for leases, as well as the significant costs that may be incurred to adopt and comply with these new pronouncements;</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2" w:right="27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94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holdings and future development plans; and</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and spending environments, weak economic conditions in certain regions or a reduction in information technology spending regardless of macro-economic conditions could have adverse impacts on our business, financial condition and results of operations, including longer sales cycles, lower prices for our products and services, higher default rates among our channel partners, reduced unit sales and slower or declining growth.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operating margin and free cash flow growth may slow or may not continue.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may experience slowing growth, or a decrease, in billings, revenue, operating margin and free cash flow for a number of reasons, including a slowdown in demand for our products or services, a shift in demand from products to services, increased competition, a decrease in the growth of our overall market or softness in demand in certain geographies or industry verticals, such as the service provider industry, changes in our strategic opportunities and our failure for any reason to continue to capitalize on growth opportunities and due to other risks identified in the risk factors described in this periodic report. Our expenses as a percentage of total revenue may be higher than expected if our revenue is lower than expected and, if our investments in sales and marketing and other functional areas do not result in expected billings and revenue growth, we may experience margin declines and may not be able to sustain profitability in future periods if we fail to increase billings, revenue or deferred revenue, do not appropriately manage our cost structure and free cash flow or encounter unanticipated liabilities. Any failure by us to maintain profitability, maintain our margins and continue our billings, revenue and free cash flow growth could cause the price of our common stock to materially decline.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b w:val="1"/>
          <w:bCs w:val="1"/>
          <w:i w:val="1"/>
          <w:iCs w:val="1"/>
          <w:color w:val="auto"/>
        </w:rPr>
        <w:t>We rely significantly on revenue from FortiGuard security subscription and FortiCare technical support services, and revenue from these services may decline or fluctuate. Because we recognize revenue from these services over the term of the relevant service period, downturns or upturns in sales of FortiGuard security subscription and FortiCare technical support services are not immediately reflected in full in our operating results.</w:t>
      </w:r>
    </w:p>
    <w:p>
      <w:pPr>
        <w:spacing w:after="0" w:line="14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FortiGuard security subscription and FortiCare technical support services revenue has historically accounted for a significant percentage of our total revenue. Revenue from the sale of new, or from the renewal of existing, FortiGuard security subscription and FortiCare technical support service contracts may decline and fluctuate as a result of a number of factors, including fluctuations in purchases of FortiGate appliances,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security subscription and FortiCare technical support service contracts decline, our revenue and revenue growth may decline and our business could suffer. In addition, in the event significant customers require payment terms for FortiGuard security subscription and FortiCare technical support services in arrears or for shorter periods of time than annually, such as monthly or quarterly, this may negatively impact our billings and revenue. Furthermore, we recognize FortiGuard security subscription and FortiCare technical support services revenue monthly over the term of the relevant service period, which is typically from one to three years, to a lesser extent, five years. As a result, much of the FortiGuard security subscription and FortiCare technical support services revenue we report each quarter is the recognition of deferred revenue from FortiGuard security subscription and FortiCare technical support services contracts entered into during previous quarters or years. Consequently, a decline in new or renewed FortiGuard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security subscription and FortiCare technical support services is not reflected in full in our statements of operations until future periods. Our FortiGuard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66"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sales processes for larger deals, particularly during the summer months;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a U.S.-headquartered business’s sales in certain countries outside of the United States;</w:t>
      </w:r>
    </w:p>
    <w:p>
      <w:pPr>
        <w:spacing w:after="0" w:line="170" w:lineRule="exact"/>
        <w:rPr>
          <w:rFonts w:ascii="Arial" w:cs="Arial" w:eastAsia="Arial" w:hAnsi="Arial"/>
          <w:sz w:val="18"/>
          <w:szCs w:val="18"/>
          <w:color w:val="auto"/>
        </w:rPr>
      </w:pPr>
    </w:p>
    <w:p>
      <w:pPr>
        <w:ind w:left="1300" w:right="100" w:hanging="644"/>
        <w:spacing w:after="0" w:line="31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costs of complying with, and the risks and costs of non-compliance with, U.S. or other foreign laws and regulations for foreign operations, including the U.S. Foreign Corrupt Practices Act, the United Kingdom Bribery Act 2010, the General Data Protection Regulation (which will be implemented by the European Union in May 2018), import and export control laws, tariffs, trade barriers and economic sanctions;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2" w:right="27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48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200" w:hanging="644"/>
        <w:spacing w:after="0" w:line="259"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effectively implement and maintain adequate internal controls to properly manage our international sales and operations;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for political unrest, changes and uncertainty, and for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tax, employment and other laws.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Product and service sales and employee and contractor matters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Such sales are often for a longer contract term and may be at higher discount levels. We also have experienced uneven traction selling to certain government organizations and service providers,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73" w:lineRule="exact"/>
        <w:rPr>
          <w:sz w:val="20"/>
          <w:szCs w:val="20"/>
          <w:color w:val="auto"/>
        </w:rPr>
      </w:pPr>
    </w:p>
    <w:p>
      <w:pPr>
        <w:ind w:left="1300" w:right="44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700" w:hanging="644"/>
        <w:spacing w:after="0" w:line="308" w:lineRule="auto"/>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unanticipated changes in the capital resources or purchasing behavior of large end-customers, including changes in the volume and frequency of their purchases and changes in the mix of products and services and related payment terms;</w:t>
      </w:r>
    </w:p>
    <w:p>
      <w:pPr>
        <w:spacing w:after="0" w:line="146" w:lineRule="exact"/>
        <w:rPr>
          <w:rFonts w:ascii="Arial" w:cs="Arial" w:eastAsia="Arial" w:hAnsi="Arial"/>
          <w:sz w:val="17"/>
          <w:szCs w:val="17"/>
          <w:color w:val="auto"/>
        </w:rPr>
      </w:pPr>
    </w:p>
    <w:p>
      <w:pPr>
        <w:ind w:left="1300" w:right="8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Large and medium-sized businesses, service providers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product purchases by large and medium-sized businesses, service providers and government organizations are frequently subject to budget constraints, multiple approvals and unplanned administrative, processing and other delays. Furthermore, service providers represent our largest industry vertical and consolidation or continued changes in buying behavior by larger customers within this industry could negatively impact our business. Large and medium-sized businesses, service providers and government organizations typically have longer implementation cycles, require greater product functionality and scalability, expect a broader range of services, including design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1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if the time required to manufacture or ship certain products increases for any reason, inventory shortfalls could result. Management of our inventory is further complicated by the significant number of different products and models that we sell which may impact our billings, revenue and free cash flow. Mismanagement of our inventory, whether due to imprecise forecasting, employee errors or malfeasance, inaccurate information or otherwise, may adversely affect our results of operations.</w:t>
      </w:r>
    </w:p>
    <w:p>
      <w:pPr>
        <w:spacing w:after="0" w:line="17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Inventory management remains an area of focus as we balance the need to maintain inventory levels that are sufficient to ensure competitive lead times against the risk of inventory obsolescence because of rapidly changing technology and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In addition, for those channel partners that have rights of return, inventory held by such channel partners affects our results of operations.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In February 2018, we underwent a transition in senior management as Drew Del Matto resigned as our Chief Financial Officer and Keith Jensen was appointed as our Interim Chief Financial Officer. The loss of the services or the distraction of our senior management for any reason could adversely affect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 skilled personnel is frequently intense, especially for qualified employees in network security and especially in the locations where we have a substantial presence and need for highly skilled personnel, such 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70"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Although we have a channel sales model, members of our sales organization often engage in direct interaction with our prospective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Our ability to grow our revenue depends, in large part, on our success in recruiting, training and retaining sufficient numbers of sales personnel to support our growth and on the effectiveness of those personnel.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For example, we realigned our sales organization in early 2016 and it has taken more time than we expected to ramp up the productivity of our realigned sales organization.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will not increase at anticipated levels and our ability to achieve long-term 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will be adversely affected.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which may adversely impact our financial results and the trading price of our common stock.</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sales prices for our products and services may decline for a variety of reasons,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accurately forecast our inventory requirements and to appropriately manage inventory to meet demand, our inability to release new products on schedule, any failure of our systems related to order review and processing, any delays in shipments due to trade compliance requirements, labor disputes or logistics changes at shipping ports or otherwise, our billings and revenue for that quarter could fall below our expectations or those of securities analysts and investors, resulting in a decline in our stock price.</w:t>
      </w:r>
    </w:p>
    <w:p>
      <w:pPr>
        <w:spacing w:after="0" w:line="1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Increased market awareness of our capabilities and products and increased lead generation are essential to our continued growth and our success in all of our markets, particularly for the large businesses, service provider and government organization market. We have historically had relatively low spending on marketing activities. While we have increased our investments in sales and marketing, it is not clear that these investments will continue to result in increased revenue. If our investments in additional sales personnel or if our marketing programs are not successful in continuing to create market awareness of our company and products or increasing lead generation, or if we experience turnover and disruption in our sales and marketing teams, we will not be able to achieve sustained growth, and our business, financial condition and results of operations will be adversely affected.</w:t>
      </w:r>
    </w:p>
    <w:p>
      <w:pPr>
        <w:spacing w:after="0" w:line="16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significant portion of our sales is generated through a limited number of distributors, and substantially all of our revenue is generated through sales by our channel partners, including distributors and resellers. We depend on our channel partners to generate a significant portion of our sales opportunities and to manage our sales process. To the extent our channel partners are unsuccessful in selling our products, or we are unable to enter into arrangements with and retain a sufficient number of high-quality channel partners in each of the regions in which we sell products, or if we are unable to keep them motivated to sell our products, our ability to sell our products and operating results will be harmed. The termination of our relationship with any significant channel partner may adversely impact our sales and operating results.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provide sales channel partners with specific programs to assist them in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In addition, if our channel partners’ financial condition or operations weaken it could negatively impact their ability to sell our product and services. Our channel partners may also market, sell and support products and services that are competitive with ours, and may devote more resources to the marketing, sales and support of such products.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17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addition, we may be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 In July 2017, Exclusive, which distributes our solutions to a large group of resellers and end-customers, acquired Fine Tec U.S. Since the acquisition of Fine Tec U.S., Exclusive’s business with us has increased and may continue to increase in the future. The two channel partners together accounted for 35% of our total net accounts receivable as of December 31, 2017 and 25% of our total revenue during 2017. In the fourth quarter of 2017, the combined Exclusive/Fine Tec U.S. entity accounted for 30% of our total revenue. During 2015 and 2016, Exclusive accounted for 18% and 20% of our total revenue, respectively.</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prevent a virus or security breach or the misuse of our products could harm our reputation and divert resources.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or cause them to fail to help secure networks.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and subscriptions, could be targeted by attacks specifically designed to disrupt our business and harm our reputation.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updates or our FortiGate appliances could result in a failure of our FortiGuard security subscription services to effectively update end-customers’ FortiGate appliances and cloud-based products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7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81" w:lineRule="exact"/>
        <w:rPr>
          <w:sz w:val="20"/>
          <w:szCs w:val="20"/>
          <w:color w:val="auto"/>
        </w:rPr>
      </w:pPr>
    </w:p>
    <w:p>
      <w:pPr>
        <w:ind w:left="1300" w:right="6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Our business and operations have experienced growth, and if we do not appropriately manage any future growth, including through the expansion of our real estate holdings, or are unable to improve our systems and processes, our operating results will be negatively affected.</w:t>
      </w:r>
    </w:p>
    <w:p>
      <w:pPr>
        <w:spacing w:after="0" w:line="160" w:lineRule="exact"/>
        <w:rPr>
          <w:sz w:val="20"/>
          <w:szCs w:val="20"/>
          <w:color w:val="auto"/>
        </w:rPr>
      </w:pPr>
    </w:p>
    <w:p>
      <w:pPr>
        <w:ind w:right="40" w:firstLine="648"/>
        <w:spacing w:after="0" w:line="288" w:lineRule="auto"/>
        <w:rPr>
          <w:sz w:val="20"/>
          <w:szCs w:val="20"/>
          <w:color w:val="auto"/>
        </w:rPr>
      </w:pPr>
      <w:r>
        <w:rPr>
          <w:rFonts w:ascii="Arial" w:cs="Arial" w:eastAsia="Arial" w:hAnsi="Arial"/>
          <w:sz w:val="17"/>
          <w:szCs w:val="17"/>
          <w:color w:val="auto"/>
        </w:rPr>
        <w:t>Our business has grown over the last several years. We rely heavily on information technology and accounting systems to help manage critical functions such as order processing, revenue recognition, financial forecasts, inventory and supply chain management and trade compliance reviews. Certain of these systems were developed by us for our internal use and, as such, may have a higher risk of failure or not receive the same level of support as systems purchased from and supported by external technology companies.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Combined with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163"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To manage any future growth effectively, we must continue to improve and expand our information technology and financial, operating and administrative systems and controls, and continue to manage headcount, capital and processes in an efficient manner. We may not be able to successfully implement requisite improvements to these systems, controls and processes, such as system capacity, access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systems and processes may not prevent or detect all errors, omissions or fraud.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8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expanded our office real estate holdings to meet our projected growing need for office space. We purchased office buildings in Ottawa and Burnaby, Canada in 2017, and we have purchased various small buildings adjacent to our Sunnyvale headquarters as we expand our headquarters in Sunnyvale, California.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ERP and CRM systems.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maintenance of our ERP and CRM systems has required, and will continue to require, the investment of significant financial and human resources. In addition, we may choose to upgrade or expand the functionality of our ERP and CRM systems, leading to additional costs. We may also discover deficiencies in our design or maintenance of the ERP or CRM systems that could adversely affect our ability to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the system does not operate as intended, the effectiveness of our internal control over financial reporting could be adversely affected or our ability to assess it adequately could be delayed. Further, we recently implemented new systems to comply with the new revenue recognition standard and may further expand the scope of our ERP and CRM systems. Our operating results may be adversely affected if these upgrades or expansions are delayed or if the systems do not function as intended or are not sufficient to meet our revenue recognition accounting requirements.</w:t>
      </w:r>
    </w:p>
    <w:p>
      <w:pPr>
        <w:spacing w:after="0" w:line="18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Annual Report on Form 10-K, the results of which form the basis for making judgments about the carrying values of assets and liabilities that are not readily apparent from other sources. Additionally, in connection with adopting and implementing the new revenue accounting standard, management will make judgments and assumptions based on our interpretation of the new standard. The new revenue standard is principles based and interpretation of those principles may vary from company to company based on their unique circumstances. It is possible that interpretation, industry practice and guidance may evolve as we work toward implementing the new standard.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and sales return reserves, stock-based compensation expense, valuation of inventory, investments, accounting for business combination, goodwill and other long-lived assets, restructuring, accounting for income taxes, and litigation and settlement costs.</w:t>
      </w:r>
    </w:p>
    <w:p>
      <w:pPr>
        <w:spacing w:after="0" w:line="188"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18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outsource the manufacturing of our security appliance products to contract manufacturing partners and original design manufacturing partners including Micro-Star International Co., Ltd., Wistron Corporation, Flex Ltd., Senao Networks, Inc., ADLINK Technology, Inc. and a number of manufacturers located in Taiwan and other countries outside the United States. Our reliance on our third-party manufacturers in Asia and elsewhere reduces our control over the manufacturing process, exposing us to risks, including reduced control over quality assurance and product costs,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proprietary SPU, which is the key to the performance of our appliances, is built by contract manufacturers including Faraday, MegaChips Corporation and Renesas. These contract manufacturers use foundries operated by UMC, TSMC or Renesas on a purchase-order basis, and these foundries do not guarantee their capacity and could reject orders or increase their pricing. Accordingly, the foundries are not obligated to continue to fulfill our supply requirements, and due to the long lead time that a new foundry would require, we could suffer temporary or long-term inventory shortages of our SPU as well as increased costs. In addition to our proprietary SPU, we also purchase off-the-shelf ASICs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166"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Although the SEC has provided guidance with respect to a portion of the conflict minerals filing requirements that somewhat reduced the reporting required,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There can be no assurance that we will be able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4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CPUs from Intel, network chips from Broadcom, Marvell and Intel, and memory devices from Intel, ADATA, OCZ, Samsung and Western Digital. We also may face shortages in the supply of the capacitors and resistors that are used in the manufacturing of our products.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6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 significant portion of our operating expenses are incurred outside the United States. These expenses are denominated in foreign currencies and are subject to fluctuations due to changes in foreign currency exchange rates, particularly changes in the Euro and Canadian dollar and, to a lesser extent, the British pound. Additionally, fluctuations in the exchange rate of the Canadian dollar may negatively impact our development plans in Burnaby, Canada. While we are not currently engaged in material hedging activities, we have been hedging currency exposures relating to certain balance sheet</w:t>
      </w:r>
    </w:p>
    <w:p>
      <w:pPr>
        <w:spacing w:after="0" w:line="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21" w:right="29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example, with respect to data privacy, in April 2016, the European Parliament approved the General Data Protection Regulation (the “GDPR”), which will come into effect in May 2018 and supersede current EU data protection regulations. The GDPR will impose stringent data handling requirements on companies that receive or process personal data of residents of the EU, and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 Any noncompliance with the GDPR, whether perceived or actual, could also adversely impact our operating results.</w:t>
      </w:r>
    </w:p>
    <w:p>
      <w:pPr>
        <w:spacing w:after="0" w:line="19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Selling our solutions to the U.S. government, whether directly or through channel partners, also subjects us to certain regulatory and contractual requirements. Failure to comply with these requirements by either us or our channel partners could subject us to investigations, fines, other penalties and damages, which could have an adverse effect on our business, operating results, financial condition and prospects. As an example, the U.S. Department of Justice (the “DOJ”), on its own behalf or on behalf of the General Services Administration (the “GSA”), as well as individuals, has in the past pursued claims against, reached financial settlements with or otherwise obtained damages from companies that sell electronic equipment and from IT vendors under the False Claims Act and other statutes related to pricing, discount practices and compliance with laws related to sales to the federal government, such as the Trade Agreements Act. The DOJ continues to actively pursue such claims. Violations of certain regulatory and contractual requirements could also result in us being suspended or debarred from future government contracting. Any of these outcomes could have an adverse effect on our revenue, operating results, financial condition and prospects. See Part I, Item 3 of this Annual Report on Form 10-K for more information on our legal proceedings.</w:t>
      </w:r>
    </w:p>
    <w:p>
      <w:pPr>
        <w:spacing w:after="0" w:line="16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These laws and regulations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intellectual property and temporary suspension or permanent debarment from government contracting. Any such damages, penalties, disruptions or limitations in our ability to do business with the public sector could have an adverse effect on our business and operating results.</w:t>
      </w:r>
    </w:p>
    <w:p>
      <w:pPr>
        <w:spacing w:after="0" w:line="15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could impair our ability to compete in international markets.</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and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Efforts to withdraw from or materially modify NAFTA or other international trade agreements, to change tax provisions related to global manufacturing and sales or to impose new tariffs, economic sanctions or related legislation, any of which could our adversely affect our financial condition and results of operations.</w:t>
      </w:r>
    </w:p>
    <w:p>
      <w:pPr>
        <w:spacing w:after="0" w:line="27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business benefits from free trade agreements, such as the North American Free Trade Agreement (“NAFTA”), and we also rely on various U.S. corporate tax provisions related to international commerce, as we develop, market and sell our products and services globally. Efforts to withdraw from or materially modify NAFTA or other international trade agreements, or to change corporate tax policy related to international commerce, could adversely affect our financial condition and results of operations as could the continuing uncertainty regarding whether such actions will be taken. Moreover, efforts to implement changes related to export or import regulations (including the imposition of new border taxes or tariffs on foreign imports), economic sanctions or related policies. 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The laws and regulations to which we are subject include the EU RoHS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EU RoHS and the similar laws of other jurisdictions ban the use of certain hazardous materials such as lead, mercury, cadmium and certain plastic additives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exemptions for lead and other substances in network infrastructure equipment. It is possible this exemption will be revoked in the future. Additionally, although we have filed for an extension, it is possible that this exemption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organizations, which are subject to a number of challenges and risks.</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56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geopolitical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 including GSA regulations.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or other review could result in the government’s refusing to continue buying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121" w:right="31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4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Our FortiGuard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our internal network system or our website is compromised, public perception of our products and services will be harmed, we may become subject to liability, and our business, operating results and stock price may be adversely impacted.</w:t>
      </w:r>
    </w:p>
    <w:p>
      <w:pPr>
        <w:spacing w:after="0" w:line="17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Our success depends on the market’s confidence in our ability to provide effective network security protection. Despite our efforts and processes to prevent breaches of our internal network system and website, we are still vulnerable to computer viruses, break-ins, phishing attacks, attempts to overload our servers with denial-of-service and other cyber-attacks and similar disruptions from unauthorized access to our internal network system or our website. Our security measures may also be breached due to employee error, malfeasance or otherwise, and third parties may attempt to fraudulently induce our employees to transfer funds or disclose information in order to gain access to our network and confidential information. We cannot guarantee that the measures we have taken to protect our network and website will provide absolute security. Moreover, because we provide network security products, we may be a more attractive target for attacks by computer hackers. Although we have not yet experienced significant damages from unauthorized access by a third party of our internal network or website, an actual or perceived breach of network security occurs in our internal systems or website could adversely affect the market perception of our products and services and investor confidence in our company. Any breach of our network system or website could impair our ability to operate our business, including our ability to provide FortiGuard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 system or our website could have an adverse effect on our business, operating results and stock price.</w:t>
      </w:r>
    </w:p>
    <w:p>
      <w:pPr>
        <w:spacing w:after="0" w:line="18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As a result, our failure to maintain high quality support services would have a material adverse effect on our business, financial condition and results of operations.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48"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including:</w:t>
      </w:r>
    </w:p>
    <w:p>
      <w:pPr>
        <w:spacing w:after="0" w:line="147"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earnings being lower than anticipated in countries that have lower tax rates or higher than anticipated in countries that have higher tax rates;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25"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court decisions, tax rulings and interpretations of tax laws, and regulations by international, federal or local governmental authorities; or</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tax laws and regulations.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Significant judgment is required to determine the recognition and measurement attribute prescribed in the Financial Accounting Standards Board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Our failure to meet these commitments could adversely impact our provision for income taxes.</w:t>
      </w:r>
    </w:p>
    <w:p>
      <w:pPr>
        <w:spacing w:after="0" w:line="18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addition, we have open tax years that could be subject to the examination by the Internal Revenue Service (the “IRS”) and other tax authorities. Tax authorities in France are currently examining the inter-company relationship between Fortinet, Inc., Fortinet France and Fortinet Singapore. In April 2017, we received a notice from the French tax authorities that an audit was officially opened for tax years from 2007 to 2015. We regularly assess the likelihood of adverse outcomes resulting from such examinations to determine the adequacy of our provision for income taxes.</w:t>
      </w:r>
    </w:p>
    <w:p>
      <w:pPr>
        <w:spacing w:after="0" w:line="17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Although we believe that our estimates are reasonable, the ultimate tax outcome may differ from the amounts recorded in our consolidated financial statements and may materially affect our financial results in the period or periods for which such determination is made.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1" w:right="27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December 2017, the U.S. federal government enacted the Tax Cuts and Jobs Act (the “2017 Tax Act”). The 2017 Tax Act significantly changed the existing U.S. corporate income tax laws by, among other things, lowering the corporate tax rate, implementing a territorial tax system and imposing a one-time deemed repatriation tax on cumulative undistributed foreign earnings, for which we have not previously recognized U.S. income taxes. Given the timing, scope and magnitude of the changes enacted by the 2017 Tax Act, along with ongoing implementation efforts, guidance and other developments from U.S. regulatory and standard-setting bodies, the completion of the accounting for certain tax items included in Note 12 to the consolidated financial statements that have been reported as provisional, or where no estimate of the impact was provided as a result of us not having the necessary information, may be subject to material change. Any significant changes to our future effective tax rate, including final resolution of provisional amounts relating to effects of the 2017 Tax Act, may result in a material adverse effect on our business, financial condition, results of operations or cash flows. For example, in the fourth quarter of 2017, we provisionally recorded a $47.9 million expense on the remeasurement of deferred tax assets due to the reduction of the federal corporate income tax rate, and a $15.2 million expense for the one-time transition tax on the deemed repatriation related to the 2017 Tax Act. We will continue to monitor and assess the impact of the 2017 Tax Act and the ongoing guidance and accounting interpretations issued in response to the 2017 Tax Act.</w:t>
      </w:r>
    </w:p>
    <w:p>
      <w:pPr>
        <w:spacing w:after="0" w:line="17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Although we currently do not have a valuation allowance, we may in the future be required to establish one. We will continue to assess the need for a valuation allowance on the deferred tax assets by evaluating both positive and negative evidence that may exist.</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17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Organisation for Economic Co-operation and Development (the “OECD”) has been working on a Base Erosion and Profit Sharing Project, commonly known as BEPS. As part of this project, the OECD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remain competitive, we may seek to acquire additional businesses, products, technologies or intellectual property, such as patents. For any possible future acquisition, we may not be successful in negotiating the terms of the acquisition, financing the acquisition, or effectively integrating the acquired business, product, technology or intellectual property and sales force into our existing business and operations. We may have difficulty incorporating acquired technologies, intellectual property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Although we generally have limitation of liability provisions in our standard terms and conditions of sale, they may not fully or effectively protect us from claims as a result of federal, state or local laws or ordinances or unfavorable judicial decisions in the United States or other countries, and in some circumstances we may be required to indemnify a customer in full, without a limitation on liability, for certain liabilities, including potential liabilities that are not contractually limited. The sale and support of our products also entail the risk of product liability claims. We maintain insurance to protect against certain claims associated with the use of our products, but our insurance coverage may not cover such claim at all or may not adequately cover any claim asserted against us,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labor disruption and terrorism.</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 significant natural disaster, such as an earthquake, fire, power outage, flood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customers our FortiGuard security subscription updates, is subject to the risk of flooding and is also in a region known for seismic activity. In addition, natural disasters could affect our manufacturing vendors, suppliers or logistics providers’ ability to perform services, such as obtaining product components and manufacturing products, or assisting with shipments, on a timely basis, as well as our customers’ ability to order from us and our employees’ ability to perform their duties.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or the delay of the manufacture, deployment or shipment of our products, our business, financial condition and results of operations would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right="200" w:firstLine="648"/>
        <w:spacing w:after="0" w:line="290" w:lineRule="auto"/>
        <w:rPr>
          <w:sz w:val="20"/>
          <w:szCs w:val="20"/>
          <w:color w:val="auto"/>
        </w:rPr>
      </w:pPr>
      <w:r>
        <w:rPr>
          <w:rFonts w:ascii="Arial" w:cs="Arial" w:eastAsia="Arial" w:hAnsi="Arial"/>
          <w:sz w:val="16"/>
          <w:szCs w:val="16"/>
          <w:color w:val="auto"/>
        </w:rPr>
        <w:t>Moreover, business models based on software-as-a-service (“SaaS”) and infrastructure-as-a-service (“IaaS”), both of which are hosted or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SaaS or IaaS business model, we would be required to make additional investments in our infrastructure and personnel to be able to more fully provide our platform through a SaaS or IaaS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and IaaS business models and the future demand for such models by customers. Additionally, if we are unable to meet the demand to provide our services through a SaaS or IaaS model, we may lose customers to competitors.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spend substantial amounts of time and money to research and develop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market for network security products is intensely competitive and we expect competition to intensify in the future. Our competitors include companies such as Check Point, Cisco, F5 Networks, FireEye, Forcepoint, Imperva, Juniper, McAfee, Palo Alto Networks, Proofpoint, SonicWALL, Sophos, Symantec and Trend Micro.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competitors and potential competitors may also be able to develop products or services that are equal or superior to ours, achieve greater market acceptance of their products and services, and increase sales by utilizing different distribution channels than we do. Our current and potential competitors may also offer point solutions, fabric and/or cloud security services that compete with some of the features present in our platform. They may also establish cooperative relationships among themselves or with third parties that may further enhance their resources.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Patent and other intellectual property disputes are common in the network security industry. Third parties are currently asserting, have asserted and may in the future assert claims of infringement of intellectual property rights against us. They have also asserted such claims against our end-customers or channel partners whom we may indemnify against claims that our products infringe the intellectual property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73" w:lineRule="exact"/>
        <w:rPr>
          <w:sz w:val="20"/>
          <w:szCs w:val="20"/>
          <w:color w:val="auto"/>
        </w:rPr>
      </w:pPr>
    </w:p>
    <w:p>
      <w:pPr>
        <w:ind w:right="260" w:firstLine="648"/>
        <w:spacing w:after="0" w:line="255" w:lineRule="auto"/>
        <w:rPr>
          <w:sz w:val="20"/>
          <w:szCs w:val="20"/>
          <w:color w:val="auto"/>
        </w:rPr>
      </w:pPr>
      <w:r>
        <w:rPr>
          <w:rFonts w:ascii="Arial" w:cs="Arial" w:eastAsia="Arial" w:hAnsi="Arial"/>
          <w:sz w:val="18"/>
          <w:szCs w:val="18"/>
          <w:color w:val="auto"/>
        </w:rPr>
        <w:t>We have several ongoing patent lawsuits, several non-practicing entity patent holding companies have sent us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7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In either case, or if we were required to redesign our internal operations to function with new technologies, our business, results of operations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2017, our internal controls over financial reporting were effective, we cannot predict the outcome of our testing in 2018 or future periods. We may incur additional expenses and commitment of management’s time in connection with further evaluations, both of which could materially increase our operating expenses and accordingly reduce our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 change in accounting standards or practices, and varying interpretations of existing or new accounting pronouncements, such as changes to standards related to revenue recognition, equity investment valuation (which became effective for us beginning on January 1, 2018) and accounting for leases (which will become effective for us on January 1, 2019), as well as the significant costs incurred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our ability to meet our reporting obligations and compliance with internal control requirements.</w:t>
      </w:r>
    </w:p>
    <w:p>
      <w:pPr>
        <w:spacing w:after="0" w:line="12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As a result of adopting and implementing the new revenue recognition standard, we will be required to change our accounting for commission expense. We will capitalize and amortize certain direct costs, such as commissions, over the expected period of benefit rather than expensing them as incurred. While the adoption of the new revenue recognition standard does not change the cash flows received from our contracts with customers, its adoption could have a material effect on our financial position or results of operations. Refer to Note 1 in the notes to our consolidated financial statements included in this Annual Report on Form 10-K for additional information on the new standard and its potential impact on us. The new revenue standard is principles based and interpretation of those principles may vary from company to company based on their unique circumstances. Management will make judgments and assumptions based on our interpretation of the new standard. It is possible that interpretation, industry practice and guidance may evolve as we work toward implementing the new revenue recognition standard. If our circumstances change or if actual circumstances differ from our assumptions, our operating result may be adversely affected and could fall below our publicly announced guidance or the expectations of securities analysts and investors, resulting in a decline in the market price of our common stock. Further, the new equity investment valuation standard, which requires most equity investments to be measured at fair value (with subsequent changes in fair value recognized in net income), may increase the volatility of our earnings.</w:t>
      </w:r>
    </w:p>
    <w:p>
      <w:pPr>
        <w:spacing w:after="0" w:line="1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2017, the closing price of our common stock ranged from $30.12 to $45.09 per share.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693"/>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Share repurchases under our share repurchase program could increase the volatility of the trading price of our common stock and could diminish our cash reserves.</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2017, our board of directors approved the increase in the aggregate authorized repurchase amount under our share repurchase program by $700.0 million, bringing the total authorization to $1.0 billion. Share repurchases under our share repurchase program could affect the price of our common stock, increase stock price volatility and diminish our cash reserves. In addition, an announcement of the reduction, suspension or termination of our share repurchase program could result in a decrease in the trading price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for a classified board of directors whose members serve staggered three-year terms;</w:t>
      </w:r>
    </w:p>
    <w:p>
      <w:pPr>
        <w:spacing w:after="0" w:line="225"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37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corporate headquarters is located in Sunnyvale, California and comprises approximately 162,000 square feet of office and building space. Along with our corporate headquarters, as of December 31, 2017, we also owned approximately 200,000 square feet in Union City, California used as a distribution facility; approximately 135,000 square feet of buildings adjacent to our corporate headquarters intended to support growth in our business operations; approximately 340,000 square feet of office and building space in Burnaby and Ottawa, Canada used for operations, support and research and development work; and 40,000 square feet of office space in Sophia, France predominantly used as a sales and support office.</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maintain additional offices throughout the United States and various international locations, including Singapore, Japan, France, India, China, the United Kingdom, Mexico and Germany. We believe that our existing properties are sufficient and suitable to meet our current needs. We intend to expand our facilities or add new facilities as we add employees and enter new geographic markets, and we believe that suitable additional or alternative space will be available as needed to accommodate ongoing operations and any such growth. However, we expect to incur additional operating expenses and capital expenditures in connection with such new or expanded facilities.</w:t>
      </w:r>
    </w:p>
    <w:p>
      <w:pPr>
        <w:spacing w:after="0" w:line="18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information regarding the geographical location of our property and equipment, see Note 14 to our consolidated financial statements in Part II, Item 8 of this Annual Report on Form 10-K.</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58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8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 October 2016, we received a letter from the United States Attorney's Office for the Northern District of California requesting information relating to our compliance with the Trade Agreements Act. We have been fully cooperating with this ongoing inquiry and have periodically met and spoken with the United States Attorney’s Office in connection with this matter.</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“FTNT.” The following table sets forth, for the time periods indicated, the high and low closing sales price of our common stock, as reported on the Nasdaq Global Select Market.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4"/>
              </w:rPr>
              <w:t>2017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84"/>
              </w:rPr>
              <w:t>2016</w:t>
            </w:r>
          </w:p>
        </w:tc>
        <w:tc>
          <w:tcPr>
            <w:tcW w:w="86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12"/>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Low</w:t>
            </w:r>
          </w:p>
        </w:tc>
        <w:tc>
          <w:tcPr>
            <w:tcW w:w="260" w:type="dxa"/>
            <w:vAlign w:val="bottom"/>
          </w:tcPr>
          <w:p>
            <w:pPr>
              <w:spacing w:after="0"/>
              <w:rPr>
                <w:sz w:val="20"/>
                <w:szCs w:val="20"/>
                <w:color w:val="auto"/>
              </w:rPr>
            </w:pPr>
          </w:p>
        </w:tc>
        <w:tc>
          <w:tcPr>
            <w:tcW w:w="780" w:type="dxa"/>
            <w:vAlign w:val="bottom"/>
          </w:tcPr>
          <w:p>
            <w:pPr>
              <w:jc w:val="right"/>
              <w:ind w:right="212"/>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32"/>
              <w:spacing w:after="0"/>
              <w:rPr>
                <w:sz w:val="20"/>
                <w:szCs w:val="20"/>
                <w:color w:val="auto"/>
              </w:rPr>
            </w:pPr>
            <w:r>
              <w:rPr>
                <w:rFonts w:ascii="Arial" w:cs="Arial" w:eastAsia="Arial" w:hAnsi="Arial"/>
                <w:sz w:val="16"/>
                <w:szCs w:val="16"/>
                <w:b w:val="1"/>
                <w:bCs w:val="1"/>
                <w:color w:val="auto"/>
              </w:rPr>
              <w:t>Low</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41.10</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35.84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37.17</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31.57</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4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38.35</w:t>
            </w:r>
          </w:p>
        </w:tc>
        <w:tc>
          <w:tcPr>
            <w:tcW w:w="4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30.63</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23.83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of February 16, 2018, there were 57 holders of record of our common stock. A substantially greater number of holders of our common stock are “street name” or beneficial holders, whose shares are held by banks, brokers and other financial institutions.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We have never declared or paid cash dividends on our capital stock. We do not anticipate paying any cash dividends in the foreseeable future. Any future determination to declare cash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This performance graph shall not be deemed “filed” for purposes of Section 18 of the Securities and Exchange Act of 1934 </w:t>
      </w:r>
      <w:r>
        <w:rPr>
          <w:rFonts w:ascii="Arial" w:cs="Arial" w:eastAsia="Arial" w:hAnsi="Arial"/>
          <w:sz w:val="18"/>
          <w:szCs w:val="18"/>
          <w:color w:val="auto"/>
        </w:rPr>
        <w:t>(</w:t>
      </w:r>
      <w:r>
        <w:rPr>
          <w:rFonts w:ascii="Arial" w:cs="Arial" w:eastAsia="Arial" w:hAnsi="Arial"/>
          <w:sz w:val="18"/>
          <w:szCs w:val="18"/>
          <w:i w:val="1"/>
          <w:iCs w:val="1"/>
          <w:color w:val="auto"/>
        </w:rPr>
        <w:t>the “Exchange Act”), or incorporated by reference into any filing of Fortinet under the Securities Act of 1933, as amended (the “Securities Act</w:t>
      </w:r>
      <w:r>
        <w:rPr>
          <w:rFonts w:ascii="Arial" w:cs="Arial" w:eastAsia="Arial" w:hAnsi="Arial"/>
          <w:sz w:val="18"/>
          <w:szCs w:val="18"/>
          <w:color w:val="auto"/>
        </w:rPr>
        <w:t>”</w:t>
      </w:r>
      <w:r>
        <w:rPr>
          <w:rFonts w:ascii="Arial" w:cs="Arial" w:eastAsia="Arial" w:hAnsi="Arial"/>
          <w:sz w:val="18"/>
          <w:szCs w:val="18"/>
          <w:i w:val="1"/>
          <w:iCs w:val="1"/>
          <w:color w:val="auto"/>
        </w:rPr>
        <w:t>), or the Exchange Act, except as shall be expressly set forth by specific reference in such filing.</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following graph compares the cumulative five-year total return for our common stock, the NASDAQ Composite Index and the NASDAQ Computer Index. Such returns are based on historical results and are not intended to suggest future performance. Data for the NASDAQ Composite Index and the NASDAQ Computer Index assume reinvestment of dividends. We have never declared or paid cash dividends on our capital stock, nor do we anticipate paying any such cash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Among Fortinet, Inc., The NASDAQ Composite Index and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5715</wp:posOffset>
            </wp:positionV>
            <wp:extent cx="5848985" cy="3087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December</w:t>
            </w:r>
          </w:p>
        </w:tc>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December</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December</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December</w:t>
            </w:r>
          </w:p>
        </w:tc>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December</w:t>
            </w:r>
          </w:p>
        </w:tc>
        <w:tc>
          <w:tcPr>
            <w:tcW w:w="140" w:type="dxa"/>
            <w:vAlign w:val="bottom"/>
          </w:tcPr>
          <w:p>
            <w:pPr>
              <w:spacing w:after="0"/>
              <w:rPr>
                <w:sz w:val="17"/>
                <w:szCs w:val="17"/>
                <w:color w:val="auto"/>
              </w:rPr>
            </w:pPr>
          </w:p>
        </w:tc>
        <w:tc>
          <w:tcPr>
            <w:tcW w:w="820" w:type="dxa"/>
            <w:vAlign w:val="bottom"/>
          </w:tcPr>
          <w:p>
            <w:pPr>
              <w:jc w:val="right"/>
              <w:ind w:right="74"/>
              <w:spacing w:after="0"/>
              <w:rPr>
                <w:sz w:val="20"/>
                <w:szCs w:val="20"/>
                <w:color w:val="auto"/>
              </w:rPr>
            </w:pPr>
            <w:r>
              <w:rPr>
                <w:rFonts w:ascii="Arial" w:cs="Arial" w:eastAsia="Arial" w:hAnsi="Arial"/>
                <w:sz w:val="16"/>
                <w:szCs w:val="16"/>
                <w:color w:val="auto"/>
                <w:w w:val="86"/>
              </w:rPr>
              <w:t>December</w:t>
            </w:r>
          </w:p>
        </w:tc>
      </w:tr>
      <w:tr>
        <w:trPr>
          <w:trHeight w:val="206"/>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154"/>
              <w:spacing w:after="0"/>
              <w:rPr>
                <w:sz w:val="20"/>
                <w:szCs w:val="20"/>
                <w:color w:val="auto"/>
              </w:rPr>
            </w:pPr>
            <w:r>
              <w:rPr>
                <w:rFonts w:ascii="Arial" w:cs="Arial" w:eastAsia="Arial" w:hAnsi="Arial"/>
                <w:sz w:val="16"/>
                <w:szCs w:val="16"/>
                <w:color w:val="auto"/>
              </w:rPr>
              <w:t>2012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234"/>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234"/>
              <w:spacing w:after="0"/>
              <w:rPr>
                <w:sz w:val="20"/>
                <w:szCs w:val="20"/>
                <w:color w:val="auto"/>
              </w:rPr>
            </w:pPr>
            <w:r>
              <w:rPr>
                <w:rFonts w:ascii="Arial" w:cs="Arial" w:eastAsia="Arial" w:hAnsi="Arial"/>
                <w:sz w:val="16"/>
                <w:szCs w:val="16"/>
                <w:color w:val="auto"/>
              </w:rPr>
              <w:t>2017</w:t>
            </w:r>
          </w:p>
        </w:tc>
      </w:tr>
      <w:tr>
        <w:trPr>
          <w:trHeight w:val="33"/>
        </w:trPr>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Fortinet,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r>
      <w:tr>
        <w:trPr>
          <w:trHeight w:val="264"/>
        </w:trPr>
        <w:tc>
          <w:tcPr>
            <w:tcW w:w="4220" w:type="dxa"/>
            <w:vAlign w:val="bottom"/>
          </w:tcPr>
          <w:p>
            <w:pPr>
              <w:ind w:left="20"/>
              <w:spacing w:after="0"/>
              <w:rPr>
                <w:sz w:val="20"/>
                <w:szCs w:val="20"/>
                <w:color w:val="auto"/>
              </w:rPr>
            </w:pPr>
            <w:r>
              <w:rPr>
                <w:rFonts w:ascii="Arial" w:cs="Arial" w:eastAsia="Arial" w:hAnsi="Arial"/>
                <w:sz w:val="14"/>
                <w:szCs w:val="14"/>
                <w:color w:val="auto"/>
              </w:rPr>
              <w:t>NASDAQ Composite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229</w:t>
            </w:r>
          </w:p>
        </w:tc>
      </w:tr>
      <w:tr>
        <w:trPr>
          <w:trHeight w:val="276"/>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NASDAQ Computer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w:t>
      </w:r>
    </w:p>
    <w:p>
      <w:pPr>
        <w:spacing w:after="0" w:line="27" w:lineRule="exact"/>
        <w:rPr>
          <w:sz w:val="20"/>
          <w:szCs w:val="20"/>
          <w:color w:val="auto"/>
        </w:rPr>
      </w:pPr>
    </w:p>
    <w:p>
      <w:pPr>
        <w:ind w:right="320" w:firstLine="8"/>
        <w:spacing w:after="0" w:line="261" w:lineRule="auto"/>
        <w:tabs>
          <w:tab w:leader="none" w:pos="1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Assumes that $100 was invested on December 31, 2012 in stock or index, including reinvestment of dividends. Stockholder returns over the indicated period should not be considered indicative of future stockholder returns.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January 2016, our board of directors approved a Share Repurchase Program (the “Repurchase Program”), which authorized the repurchase of up to $200.0 million of our outstanding common stock through December 31, 2017. In 2016 and 2017, our board of directors approved the increases in the aggregate authorized repurchase amount under the Repurchase Program by $100.0 million and $700.0 million, respectively, bringing the total amount authorized to $1.0 billion through January 31, 2019. Under the Repurchase Program,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w:t>
      </w:r>
    </w:p>
    <w:p>
      <w:pPr>
        <w:spacing w:after="0" w:line="200" w:lineRule="exact"/>
        <w:rPr>
          <w:sz w:val="20"/>
          <w:szCs w:val="20"/>
          <w:color w:val="auto"/>
        </w:rPr>
      </w:pP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60"/>
          </w:cols>
          <w:pgMar w:left="240" w:top="122" w:right="39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provides information with respect to the shares of common stock we repurchased during the three months ended December 31, 2017 (in thousands, except share and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Total Number of Shares</w:t>
            </w:r>
          </w:p>
        </w:tc>
        <w:tc>
          <w:tcPr>
            <w:tcW w:w="140" w:type="dxa"/>
            <w:vAlign w:val="bottom"/>
          </w:tcPr>
          <w:p>
            <w:pPr>
              <w:spacing w:after="0"/>
              <w:rPr>
                <w:sz w:val="14"/>
                <w:szCs w:val="14"/>
                <w:color w:val="auto"/>
              </w:rPr>
            </w:pPr>
          </w:p>
        </w:tc>
        <w:tc>
          <w:tcPr>
            <w:tcW w:w="19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 Number of Shares</w:t>
            </w: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w:t>
            </w: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206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w w:val="97"/>
              </w:rPr>
              <w:t>Purchased Under the Plans or</w:t>
            </w: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Announced Plan or Program</w:t>
            </w:r>
          </w:p>
        </w:tc>
        <w:tc>
          <w:tcPr>
            <w:tcW w:w="140" w:type="dxa"/>
            <w:vAlign w:val="bottom"/>
          </w:tcPr>
          <w:p>
            <w:pPr>
              <w:spacing w:after="0"/>
              <w:rPr>
                <w:sz w:val="7"/>
                <w:szCs w:val="7"/>
                <w:color w:val="auto"/>
              </w:rPr>
            </w:pPr>
          </w:p>
        </w:tc>
        <w:tc>
          <w:tcPr>
            <w:tcW w:w="19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05"/>
        </w:trPr>
        <w:tc>
          <w:tcPr>
            <w:tcW w:w="37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9"/>
                <w:szCs w:val="9"/>
                <w:color w:val="auto"/>
              </w:rPr>
            </w:pPr>
          </w:p>
        </w:tc>
        <w:tc>
          <w:tcPr>
            <w:tcW w:w="2060" w:type="dxa"/>
            <w:vAlign w:val="bottom"/>
            <w:vMerge w:val="restart"/>
          </w:tcPr>
          <w:p>
            <w:pPr>
              <w:jc w:val="right"/>
              <w:ind w:right="617"/>
              <w:spacing w:after="0"/>
              <w:rPr>
                <w:sz w:val="20"/>
                <w:szCs w:val="20"/>
                <w:color w:val="auto"/>
              </w:rPr>
            </w:pPr>
            <w:r>
              <w:rPr>
                <w:rFonts w:ascii="Arial" w:cs="Arial" w:eastAsia="Arial" w:hAnsi="Arial"/>
                <w:sz w:val="14"/>
                <w:szCs w:val="14"/>
                <w:b w:val="1"/>
                <w:bCs w:val="1"/>
                <w:color w:val="auto"/>
              </w:rPr>
              <w:t>Purchased</w:t>
            </w:r>
          </w:p>
        </w:tc>
        <w:tc>
          <w:tcPr>
            <w:tcW w:w="120" w:type="dxa"/>
            <w:vAlign w:val="bottom"/>
            <w:vMerge w:val="restart"/>
          </w:tcPr>
          <w:p>
            <w:pPr>
              <w:spacing w:after="0"/>
              <w:rPr>
                <w:sz w:val="9"/>
                <w:szCs w:val="9"/>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Paid per Share</w:t>
            </w:r>
          </w:p>
        </w:tc>
        <w:tc>
          <w:tcPr>
            <w:tcW w:w="100" w:type="dxa"/>
            <w:vAlign w:val="bottom"/>
            <w:vMerge w:val="restart"/>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7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20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04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 October 31, 2017</w:t>
            </w:r>
          </w:p>
        </w:tc>
        <w:tc>
          <w:tcPr>
            <w:tcW w:w="2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955,867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38.68</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955,867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728,242</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November 1 - November 30, 2017</w:t>
            </w:r>
          </w:p>
        </w:tc>
        <w:tc>
          <w:tcPr>
            <w:tcW w:w="2060" w:type="dxa"/>
            <w:vAlign w:val="bottom"/>
          </w:tcPr>
          <w:p>
            <w:pPr>
              <w:jc w:val="right"/>
              <w:ind w:right="37"/>
              <w:spacing w:after="0"/>
              <w:rPr>
                <w:sz w:val="20"/>
                <w:szCs w:val="20"/>
                <w:color w:val="auto"/>
              </w:rPr>
            </w:pPr>
            <w:r>
              <w:rPr>
                <w:rFonts w:ascii="Arial" w:cs="Arial" w:eastAsia="Arial" w:hAnsi="Arial"/>
                <w:sz w:val="18"/>
                <w:szCs w:val="18"/>
                <w:color w:val="auto"/>
              </w:rPr>
              <w:t>4,688,088</w:t>
            </w:r>
          </w:p>
        </w:tc>
        <w:tc>
          <w:tcPr>
            <w:tcW w:w="120" w:type="dxa"/>
            <w:vAlign w:val="bottom"/>
          </w:tcPr>
          <w:p>
            <w:pPr>
              <w:spacing w:after="0"/>
              <w:rPr>
                <w:sz w:val="21"/>
                <w:szCs w:val="21"/>
                <w:color w:val="auto"/>
              </w:rPr>
            </w:pPr>
          </w:p>
        </w:tc>
        <w:tc>
          <w:tcPr>
            <w:tcW w:w="320" w:type="dxa"/>
            <w:vAlign w:val="bottom"/>
          </w:tcPr>
          <w:p>
            <w:pPr>
              <w:jc w:val="right"/>
              <w:ind w:right="117"/>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40.18</w:t>
            </w:r>
          </w:p>
        </w:tc>
        <w:tc>
          <w:tcPr>
            <w:tcW w:w="100" w:type="dxa"/>
            <w:vAlign w:val="bottom"/>
          </w:tcPr>
          <w:p>
            <w:pPr>
              <w:spacing w:after="0"/>
              <w:rPr>
                <w:sz w:val="21"/>
                <w:szCs w:val="21"/>
                <w:color w:val="auto"/>
              </w:rPr>
            </w:pPr>
          </w:p>
        </w:tc>
        <w:tc>
          <w:tcPr>
            <w:tcW w:w="2040" w:type="dxa"/>
            <w:vAlign w:val="bottom"/>
          </w:tcPr>
          <w:p>
            <w:pPr>
              <w:jc w:val="right"/>
              <w:ind w:right="19"/>
              <w:spacing w:after="0"/>
              <w:rPr>
                <w:sz w:val="20"/>
                <w:szCs w:val="20"/>
                <w:color w:val="auto"/>
              </w:rPr>
            </w:pPr>
            <w:r>
              <w:rPr>
                <w:rFonts w:ascii="Arial" w:cs="Arial" w:eastAsia="Arial" w:hAnsi="Arial"/>
                <w:sz w:val="18"/>
                <w:szCs w:val="18"/>
                <w:color w:val="auto"/>
              </w:rPr>
              <w:t>4,688,088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539,865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1 - December 31, 2017</w:t>
            </w:r>
          </w:p>
        </w:tc>
        <w:tc>
          <w:tcPr>
            <w:tcW w:w="2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2,270,446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42.73</w:t>
            </w:r>
          </w:p>
        </w:tc>
        <w:tc>
          <w:tcPr>
            <w:tcW w:w="100" w:type="dxa"/>
            <w:vAlign w:val="bottom"/>
            <w:shd w:val="clear" w:color="auto" w:fill="CCEEFF"/>
          </w:tcPr>
          <w:p>
            <w:pPr>
              <w:spacing w:after="0"/>
              <w:rPr>
                <w:sz w:val="21"/>
                <w:szCs w:val="21"/>
                <w:color w:val="auto"/>
              </w:rPr>
            </w:pPr>
          </w:p>
        </w:tc>
        <w:tc>
          <w:tcPr>
            <w:tcW w:w="2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2,270,446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442,839</w:t>
            </w:r>
          </w:p>
        </w:tc>
        <w:tc>
          <w:tcPr>
            <w:tcW w:w="0" w:type="dxa"/>
            <w:vAlign w:val="bottom"/>
          </w:tcPr>
          <w:p>
            <w:pPr>
              <w:spacing w:after="0"/>
              <w:rPr>
                <w:sz w:val="1"/>
                <w:szCs w:val="1"/>
                <w:color w:val="auto"/>
              </w:rPr>
            </w:pPr>
          </w:p>
        </w:tc>
      </w:tr>
      <w:tr>
        <w:trPr>
          <w:trHeight w:val="27"/>
        </w:trPr>
        <w:tc>
          <w:tcPr>
            <w:tcW w:w="3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 following selected consolidated financial data set forth below was derived from our historical audited consolidated financial statements and should be read in conjunction with the section titled “Management’s Discussion and Analysis of Financial Condition and Results of Operations” and “Financial Statements and Supplementary Data,” and other financial data included elsewhere in this Annual Report on Form 10-K. Our historical results of operations are not indicative of our future results of operations.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20" w:type="dxa"/>
            <w:vAlign w:val="bottom"/>
            <w:gridSpan w:val="4"/>
          </w:tcPr>
          <w:p>
            <w:pPr>
              <w:jc w:val="center"/>
              <w:ind w:left="592"/>
              <w:spacing w:after="0"/>
              <w:rPr>
                <w:sz w:val="20"/>
                <w:szCs w:val="20"/>
                <w:color w:val="auto"/>
              </w:rPr>
            </w:pPr>
            <w:r>
              <w:rPr>
                <w:rFonts w:ascii="Arial" w:cs="Arial" w:eastAsia="Arial" w:hAnsi="Arial"/>
                <w:sz w:val="16"/>
                <w:szCs w:val="16"/>
                <w:b w:val="1"/>
                <w:bCs w:val="1"/>
                <w:color w:val="auto"/>
                <w:w w:val="91"/>
              </w:rPr>
              <w:t>Year Ended December 31,</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20"/>
                <w:szCs w:val="20"/>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2015</w:t>
            </w:r>
          </w:p>
        </w:tc>
        <w:tc>
          <w:tcPr>
            <w:tcW w:w="36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2014</w:t>
            </w:r>
          </w:p>
        </w:tc>
        <w:tc>
          <w:tcPr>
            <w:tcW w:w="4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80" w:type="dxa"/>
            <w:vAlign w:val="bottom"/>
            <w:gridSpan w:val="5"/>
          </w:tcPr>
          <w:p>
            <w:pPr>
              <w:jc w:val="center"/>
              <w:ind w:right="271"/>
              <w:spacing w:after="0"/>
              <w:rPr>
                <w:sz w:val="20"/>
                <w:szCs w:val="20"/>
                <w:color w:val="auto"/>
              </w:rPr>
            </w:pPr>
            <w:r>
              <w:rPr>
                <w:rFonts w:ascii="Arial" w:cs="Arial" w:eastAsia="Arial" w:hAnsi="Arial"/>
                <w:sz w:val="16"/>
                <w:szCs w:val="16"/>
                <w:b w:val="1"/>
                <w:bCs w:val="1"/>
                <w:color w:val="auto"/>
                <w:w w:val="88"/>
              </w:rPr>
              <w:t>(in thousands, except per share amounts)</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1,494,930</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1,275,443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1,009,268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770,364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615,297</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1,109,646</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937,606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722,491</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539,355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434,654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109,804</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42,944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14,877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59,324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72,090</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31,399</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32,187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7,987</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25,343</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44,273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8"/>
                <w:szCs w:val="18"/>
                <w:color w:val="auto"/>
                <w:vertAlign w:val="subscript"/>
              </w:rPr>
              <w:t>:</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0.05</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0.27</w:t>
            </w:r>
          </w:p>
        </w:tc>
      </w:tr>
      <w:tr>
        <w:trPr>
          <w:trHeight w:val="243"/>
        </w:trPr>
        <w:tc>
          <w:tcPr>
            <w:tcW w:w="4120" w:type="dxa"/>
            <w:vAlign w:val="bottom"/>
          </w:tcPr>
          <w:p>
            <w:pPr>
              <w:ind w:left="60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0.18</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0.05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0.15</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0.26</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60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174,315</w:t>
            </w:r>
          </w:p>
        </w:tc>
        <w:tc>
          <w:tcPr>
            <w:tcW w:w="4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172,621</w:t>
            </w: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170,385</w:t>
            </w:r>
          </w:p>
        </w:tc>
        <w:tc>
          <w:tcPr>
            <w:tcW w:w="3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163,831</w:t>
            </w:r>
          </w:p>
        </w:tc>
        <w:tc>
          <w:tcPr>
            <w:tcW w:w="4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162,435</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178,079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176,338</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176,141</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169,289</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168,183</w:t>
            </w:r>
          </w:p>
        </w:tc>
      </w:tr>
      <w:tr>
        <w:trPr>
          <w:trHeight w:val="548"/>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As of December 31,</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260" w:type="dxa"/>
            <w:vAlign w:val="bottom"/>
          </w:tcPr>
          <w:p>
            <w:pPr>
              <w:spacing w:after="0"/>
              <w:rPr>
                <w:sz w:val="20"/>
                <w:szCs w:val="20"/>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2015</w:t>
            </w:r>
          </w:p>
        </w:tc>
        <w:tc>
          <w:tcPr>
            <w:tcW w:w="36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2014</w:t>
            </w:r>
          </w:p>
        </w:tc>
        <w:tc>
          <w:tcPr>
            <w:tcW w:w="4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2013</w:t>
            </w:r>
          </w:p>
        </w:tc>
      </w:tr>
      <w:tr>
        <w:trPr>
          <w:trHeight w:val="33"/>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center"/>
              <w:ind w:right="132"/>
              <w:spacing w:after="0"/>
              <w:rPr>
                <w:sz w:val="20"/>
                <w:szCs w:val="20"/>
                <w:color w:val="auto"/>
              </w:rPr>
            </w:pPr>
            <w:r>
              <w:rPr>
                <w:rFonts w:ascii="Arial" w:cs="Arial" w:eastAsia="Arial" w:hAnsi="Arial"/>
                <w:sz w:val="16"/>
                <w:szCs w:val="16"/>
                <w:b w:val="1"/>
                <w:bCs w:val="1"/>
                <w:color w:val="auto"/>
                <w:w w:val="88"/>
              </w:rPr>
              <w:t>(in thousands)</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cash equivalents and investments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1,349,299</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1,310,508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1,164,310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991,744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843,045</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2,257,916</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2,139,941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1,790,510</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1,424,774</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1,168,464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589,377</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837,681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755,377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675,966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585,760</w:t>
            </w:r>
          </w:p>
        </w:tc>
      </w:tr>
      <w:tr>
        <w:trPr>
          <w:trHeight w:val="702"/>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right="180" w:firstLine="648"/>
        <w:spacing w:after="0" w:line="342" w:lineRule="auto"/>
        <w:rPr>
          <w:sz w:val="20"/>
          <w:szCs w:val="20"/>
          <w:color w:val="auto"/>
        </w:rPr>
      </w:pPr>
      <w:r>
        <w:rPr>
          <w:rFonts w:ascii="Arial" w:cs="Arial" w:eastAsia="Arial" w:hAnsi="Arial"/>
          <w:sz w:val="16"/>
          <w:szCs w:val="16"/>
          <w:i w:val="1"/>
          <w:iCs w:val="1"/>
          <w:color w:val="auto"/>
        </w:rPr>
        <w:t>In addition to historical information, this Annual Report on Form 10-K contains forward-looking statements within the meaning of Section 27A of the Securities Act and Section 21E of the Exchange Act. These statements include, among other things, statements concerning our expectations regarding:</w:t>
      </w:r>
    </w:p>
    <w:p>
      <w:pPr>
        <w:spacing w:after="0" w:line="124"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79"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the impact of macro-economic and geopolitical factors on our international sales;</w:t>
      </w:r>
    </w:p>
    <w:p>
      <w:pPr>
        <w:spacing w:after="0" w:line="26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 and the mix of billings between products and services, and the duration of service contracts;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increased sales productivity, functionality and value in our standalone and bundled subscription service offerings;</w:t>
      </w:r>
    </w:p>
    <w:p>
      <w:pPr>
        <w:spacing w:after="0" w:line="170" w:lineRule="exact"/>
        <w:rPr>
          <w:rFonts w:ascii="Arial" w:cs="Arial" w:eastAsia="Arial" w:hAnsi="Arial"/>
          <w:sz w:val="18"/>
          <w:szCs w:val="18"/>
          <w:color w:val="auto"/>
        </w:rPr>
      </w:pPr>
    </w:p>
    <w:p>
      <w:pPr>
        <w:ind w:left="1300" w:right="200" w:hanging="644"/>
        <w:spacing w:after="0" w:line="308"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growing our sales to businesses, service providers and government organizations, the impact of sales to these organizations on our long-term growth, expansion and operating results, and the effectiveness of our internal sales organization;</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 as a percentage of total revenue;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managing our continued investments in sales and marketing, and the impact of those investments;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tax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2017 Tax Act;</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real estate and other capital expenditures and to the impact on free cash flows;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25" w:lineRule="exact"/>
        <w:rPr>
          <w:rFonts w:ascii="Arial" w:cs="Arial" w:eastAsia="Arial" w:hAnsi="Arial"/>
          <w:sz w:val="18"/>
          <w:szCs w:val="18"/>
          <w:i w:val="1"/>
          <w:iCs w:val="1"/>
          <w:color w:val="auto"/>
        </w:rPr>
      </w:pPr>
    </w:p>
    <w:p>
      <w:pPr>
        <w:ind w:left="130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our intentions regarding repatriation of cash, cash equivalents and investments held by our international subsidiaries and the sufficiency of our existing cash, cash equivalents and investments to meet our cash needs for at least the next 12 months;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 including those related to revenue recognition and accounting for leases.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122" w:right="29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Annual Report on Form 10-K and, in particular, the risks discussed under the heading “Risk Factors” in Part I, Item 1A of this Annual Report on Form 10-K and those discussed in other documents we file with the Securities and Exchange Commission (the “SEC”).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Fortinet is a global leader in broad, automated and integrated cybersecurity solutions. We provide high performance cybersecurity solutions to a wide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variety of businesses, such as enterprises, data centers and distributed offices, including majority of the Fortune 100 companies. Our cybersecurity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solutions are designed to provide broad, automated and integrated protection against dynamic and sophisticated security threats, while simplifying the IT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infrastructure of our end-customers.</w:t>
      </w:r>
    </w:p>
    <w:p>
      <w:pPr>
        <w:spacing w:after="0" w:line="211"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have four current focus areas for our business. First, we derive a majority of product sales from our FortiGate network security appliances. We continue to develop and improve our offerings, which provide opportunities for market share gains. Second, the Fortinet Security Fabric has been developed to provide unified security across the entire digital attack surface, including network core, endpoints, applications, data centers, access and private and public cloud, and is designed to enable traditionally disparate security devices to work together as an integrated and collaborative whole. As a result of the increased success in selling the Security Fabric, billings for non-FortiGate products and services grew significantly in 2017. Third, cloud security provides opportunity for growth and was one of the fastest growing parts of our business in 2017. We help customers secure their cloud implementations by offering integration, visibility and automation across multi-cloud and hybrid deployments. Our FortiCASB extends the core capabilities of our security fabric architecture to provide businesses the same level of cybersecurity and threat intelligence in cloud environments as they do on their physical networks. The Fortinet cloud security is available across all major cloud providers, including Microsoft Azure, Amazon Web Services, Google Cloud, IBM Cloud and Oracle Cloud. Fourth, the emergence of the IoT has created an environment where data move freely between devices across locations, network environments, remote offices, mobile workers and public cloud environments, making it difficult to consistently track and secure.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ind w:left="660" w:right="18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recorded total revenue of $1.49 billion in 2017, an increase of 17% compared to $1.28 billion in 2016. Product revenue was $577.2 million in 2017, an increase of 5% compared to $548.1 million in 2016. Service revenue was $917.8 million in 2017, an increase of 26% compared to $727.3 million in 2016.</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generated operating income of $109.8 million in 2017, an increase of 156% compared to $42.9 million in 2016.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Cash, cash equivalents and investments were $1.35 billion as of December 31, 2017, an increase of $38.8 million, or 3%, from December 31, 2016.</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Deferred revenue was $1.34 billion as of December 31, 2017, an increase of $301.0 million, or 29%, from December 31, 2016</w:t>
      </w:r>
      <w:r>
        <w:rPr>
          <w:rFonts w:ascii="Arial" w:cs="Arial" w:eastAsia="Arial" w:hAnsi="Arial"/>
          <w:sz w:val="18"/>
          <w:szCs w:val="18"/>
          <w:color w:val="0000FF"/>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$594.4 million in 2017, an increase of $248.7 million, or 72%, compared to 2016.</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2017, we repurchased 11.2 million shares of common stock under the Repurchase Program for an aggregate purchase price of $446.3 million. In 2016, we repurchased 3.9 million shares of common stock for a total purchase price of $110.8 million.</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revenue growth was driven by the strength in sales of our FortiGate and non-FortiGate products and the sale of new, and the renewal and upgrade of existing, FortiCare technical support and FortiGuard security subscription service contracts. Revenue grew in 2017 as the investment made in sales and marketing enabled us to continue to gain enterprise customers.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continue to see a shift in our revenue mix from product revenues to higher-margin, recurring service revenues, reflecting our success in driving higher-priced subscription bundles and services. On a geographic basis, revenue continues to be diversified globally, which remains a key strength of our business.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percentage of our FortiGate-related billings from high-end products increased from 38% in 2016 to 39% in 2017, and the percentage of our FortiGate-related billings from mid-range products increased from 28% in 2016 to 30% in 2017. The percentage of our FortiGate-related billings from entry-level products decreased to 31% in 2017 from 34% in 2016. The sale of non-FortiGate products also grew significantly in 2017. We also saw more deals that included multiple Fortinet products in physical, virtual and cloud environments.</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2017, operating expenses as a percentage of revenue decreased by 3 percentage points compared to 2016. The decrease was primarily driven by a reduction in sales and marketing expenses as a percentage of revenue. Headcount increased by 9% to 5,066 employees and contractors as of December 31, 2017, up from 4,665 as of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Our sales strategy is based on a distribution model whereby we primarily sell our products, software licenses and services directly to distributors which sell to resellers and service providers, which, in turn, sell to our end-customers. In certain cases, we sell directly to large service providers and major systems integrators. We also offer our products across all major cloud providers, including Amazon Web Services, Microsoft Azure, Google Cloud, IBM Cloud and Oracle Cloud. While the revenue from such sales are still relatively insignificant, they have increased significantly in recent periods on a percentage basis.</w:t>
      </w:r>
    </w:p>
    <w:p>
      <w:pPr>
        <w:spacing w:after="0" w:line="188"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Typically, FortiGuard security subscription and FortiCare technical support services are purchased along with our hardware products and software licenses, most frequently as part of a bundle offering that includes hardware and services functionality. We generally invoice at the time of our sale for the total price of the products and security and technical support services, and the invoice is payable within 30 to 90 days. We also invoice certain licenses and services on a monthly basis.</w:t>
      </w:r>
    </w:p>
    <w:p>
      <w:pPr>
        <w:spacing w:after="0" w:line="187" w:lineRule="exact"/>
        <w:rPr>
          <w:sz w:val="20"/>
          <w:szCs w:val="20"/>
          <w:color w:val="auto"/>
        </w:rPr>
      </w:pPr>
    </w:p>
    <w:p>
      <w:pPr>
        <w:ind w:right="500" w:firstLine="648"/>
        <w:spacing w:after="0" w:line="273" w:lineRule="auto"/>
        <w:rPr>
          <w:sz w:val="20"/>
          <w:szCs w:val="20"/>
          <w:color w:val="auto"/>
        </w:rPr>
      </w:pPr>
      <w:r>
        <w:rPr>
          <w:rFonts w:ascii="Arial" w:cs="Arial" w:eastAsia="Arial" w:hAnsi="Arial"/>
          <w:sz w:val="17"/>
          <w:szCs w:val="17"/>
          <w:color w:val="auto"/>
        </w:rPr>
        <w:t>We generally recognize product revenue up front, and recognize revenue for the sale of new and the renewal of existing FortiGuard security subscription and FortiCare technical support services contracts ratably over the term of the service contract. We recognize revenue for certain software licenses up front as product revenue and, to a lesser extent, recognize other software licenses over the term of the agreement as services revenue. We recognize the security and support revenue over the service period, which is typically one to three years, to a lesser extent, five years. Sales of new and renewal services are a source of recurring revenue and increase our deferred revenue balance, which has contributed to our positive cash flow from operations. We recognize commissions on both product and service sales at the time of sale.</w:t>
      </w:r>
    </w:p>
    <w:p>
      <w:pPr>
        <w:spacing w:after="0" w:line="1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approach to network security is defined by our SPU hardware architecture. The SPU includes three lines of proprietary ASICs, content processor, network processor and the system on a chip. The ASICs are designed for highly efficient execution of computationally intensive tasks, including policy enforcement, threat detection and encryption. As such, ASIC-based solutions can run many security applications simultaneously without a significant reduction in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monitor a number of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cash, cash equivalents and investments, net cash provided by operating activities, and free cash flow (non-GAAP). We discuss revenue below under “—Components of Operating Results,” and we discuss our cash, cash equivalents and investments, and net cash provided by operating activities below under “—Liquidity and Capital Resources.” Deferred revenue, billings (non-GAAP), and free cash flow (non-GAAP) are discussed immediately below the following table.</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2" w:right="27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gridSpan w:val="4"/>
          </w:tcPr>
          <w:p>
            <w:pPr>
              <w:jc w:val="center"/>
              <w:ind w:left="612"/>
              <w:spacing w:after="0"/>
              <w:rPr>
                <w:sz w:val="20"/>
                <w:szCs w:val="20"/>
                <w:color w:val="auto"/>
              </w:rPr>
            </w:pPr>
            <w:r>
              <w:rPr>
                <w:rFonts w:ascii="Arial" w:cs="Arial" w:eastAsia="Arial" w:hAnsi="Arial"/>
                <w:sz w:val="16"/>
                <w:szCs w:val="16"/>
                <w:b w:val="1"/>
                <w:bCs w:val="1"/>
                <w:color w:val="auto"/>
                <w:w w:val="91"/>
              </w:rPr>
              <w:t>Year Ended or As of December 31,</w:t>
            </w: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20"/>
                <w:szCs w:val="20"/>
                <w:color w:val="auto"/>
              </w:rPr>
            </w:pPr>
          </w:p>
        </w:tc>
        <w:tc>
          <w:tcPr>
            <w:tcW w:w="132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2016</w:t>
            </w:r>
          </w:p>
        </w:tc>
        <w:tc>
          <w:tcPr>
            <w:tcW w:w="540" w:type="dxa"/>
            <w:vAlign w:val="bottom"/>
          </w:tcPr>
          <w:p>
            <w:pPr>
              <w:spacing w:after="0"/>
              <w:rPr>
                <w:sz w:val="20"/>
                <w:szCs w:val="20"/>
                <w:color w:val="auto"/>
              </w:rPr>
            </w:pPr>
          </w:p>
        </w:tc>
        <w:tc>
          <w:tcPr>
            <w:tcW w:w="10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center"/>
              <w:ind w:right="112"/>
              <w:spacing w:after="0"/>
              <w:rPr>
                <w:sz w:val="20"/>
                <w:szCs w:val="20"/>
                <w:color w:val="auto"/>
              </w:rPr>
            </w:pPr>
            <w:r>
              <w:rPr>
                <w:rFonts w:ascii="Arial" w:cs="Arial" w:eastAsia="Arial" w:hAnsi="Arial"/>
                <w:sz w:val="16"/>
                <w:szCs w:val="16"/>
                <w:b w:val="1"/>
                <w:bCs w:val="1"/>
                <w:color w:val="auto"/>
                <w:w w:val="90"/>
              </w:rPr>
              <w:t>(in thousands)</w:t>
            </w: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1,494,930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1,275,443</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1,009,268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1,336,314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1,035,349</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791,303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(non-GAAP)</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1,795,895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1,515,089</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1,232,014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cash equivalents and investments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1,349,299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1,310,508</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1,164,310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594,405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345,708</w:t>
            </w:r>
          </w:p>
        </w:tc>
        <w:tc>
          <w:tcPr>
            <w:tcW w:w="5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282,547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Free cash flow (non-GAAP)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459,093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278,526</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245,189</w:t>
            </w:r>
          </w:p>
        </w:tc>
      </w:tr>
    </w:tbl>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Deferred revenue. </w:t>
      </w:r>
      <w:r>
        <w:rPr>
          <w:rFonts w:ascii="Arial" w:cs="Arial" w:eastAsia="Arial" w:hAnsi="Arial"/>
          <w:sz w:val="16"/>
          <w:szCs w:val="16"/>
          <w:color w:val="auto"/>
        </w:rPr>
        <w:t>Our deferred revenue consists of amounts that have been invoiced but that have not yet been recognized as revenue.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our deferred revenue balance consists of the unrecognized portion of service revenue from FortiGuard security subscription and FortiCare technical support service contracts, which is recognized as revenue ratably over the contractual service period. We monitor our deferred revenue balance, growth and the mix of short-term and long-term deferred revenue because it represents a significant portion of revenue and free cash flow to be recognized in future periods. Deferred revenue was $1.34 billion as of December 31, 2017, an increase of $301.0 million, or 29%, from December 31, 2016</w:t>
      </w:r>
      <w:r>
        <w:rPr>
          <w:rFonts w:ascii="Arial" w:cs="Arial" w:eastAsia="Arial" w:hAnsi="Arial"/>
          <w:sz w:val="16"/>
          <w:szCs w:val="16"/>
          <w:color w:val="0000FF"/>
        </w:rPr>
        <w:t>.</w:t>
      </w:r>
    </w:p>
    <w:p>
      <w:pPr>
        <w:spacing w:after="0" w:line="15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i w:val="1"/>
          <w:iCs w:val="1"/>
          <w:color w:val="auto"/>
        </w:rPr>
        <w:t xml:space="preserve">Billings (non-GAAP). </w:t>
      </w:r>
      <w:r>
        <w:rPr>
          <w:rFonts w:ascii="Arial" w:cs="Arial" w:eastAsia="Arial" w:hAnsi="Arial"/>
          <w:sz w:val="17"/>
          <w:szCs w:val="17"/>
          <w:color w:val="auto"/>
        </w:rPr>
        <w:t>We define billings as revenue recognized in accordance with generally accepted accounting principles in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(“GAAP”) plus the change in deferred revenue from the beginning to the end of the period less any deferred revenue balances acquired from business combination(s) during the period. We consider billings to be a useful metric for management and investors because billings drive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$1.80 billion for 2017, an increase of 19% compared to $1.52 billion in 2016.</w:t>
      </w:r>
    </w:p>
    <w:p>
      <w:pPr>
        <w:spacing w:after="0" w:line="17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 reconciliation of billings to revenue, the most directly comparable financial measure calculated and presented in accordance with GAAP, is provided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3"/>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2"/>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(in thousands)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1,494,930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1,275,443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1,009,268</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change in deferred revenue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300,965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244,046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232,546</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Less deferred revenue balance acquired in business combination</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(9,800)</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billings (non-GAAP)</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1,795,895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1,515,089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1,232,014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i w:val="1"/>
          <w:iCs w:val="1"/>
          <w:color w:val="auto"/>
        </w:rPr>
        <w:t xml:space="preserve">Free cash flow (non-GAAP). </w:t>
      </w:r>
      <w:r>
        <w:rPr>
          <w:rFonts w:ascii="Arial" w:cs="Arial" w:eastAsia="Arial" w:hAnsi="Arial"/>
          <w:sz w:val="16"/>
          <w:szCs w:val="16"/>
          <w:color w:val="auto"/>
        </w:rPr>
        <w:t>We define free cash flow as net cash provided by operating activities minus capital expenditures such as purchases of</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and other property and equipment.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 of net cash provided by operating activities is that free cash flow does not represent the total increase or decrease in the cash, cash equivalents and investments balance for the period because it excludes cash provided by or used for other investing and financing activities. Management accounts for this limitation by providing information about our capital expenditures and other investing and financing activities on the face of the cash flow statement and under “—Liquidity and Capital Resources” and by presenting cash flows from investing and financing activities in our reconciliation of free cash flows.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flows as a comparative measure. A reconciliation of free cash flow to net cash provided by operating activities, the most directly comparable financial measure calculated and presented in accordance with GAAP, is provided below:</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3"/>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(in thousands)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594,405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345,708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282,547</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(67,182)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(37,358)</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Free cash flow (non-GAAP)</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459,093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278,526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245,189</w:t>
            </w: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(415,601)</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(105,859)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(21,557)</w:t>
            </w:r>
          </w:p>
        </w:tc>
      </w:tr>
      <w:tr>
        <w:trPr>
          <w:trHeight w:val="20"/>
        </w:trPr>
        <w:tc>
          <w:tcPr>
            <w:tcW w:w="60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generate the majority of our revenue from sales of our products and amortization of amounts included in deferred revenue related to previous sales of FortiGuard security subscription and FortiCare technical support services. We also recognize revenue from sales of software licenses, cloud business relationships and providing professional services. Revenue is recognized when persuasive evidence of an arrangement exists, delivery has occurred or services have been rendered, the sales price is fixed or determinable and collectability is reasonably assured.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total revenue is comprised of the following:</w:t>
      </w:r>
    </w:p>
    <w:p>
      <w:pPr>
        <w:spacing w:after="0" w:line="117" w:lineRule="exact"/>
        <w:rPr>
          <w:sz w:val="20"/>
          <w:szCs w:val="20"/>
          <w:color w:val="auto"/>
        </w:rPr>
      </w:pPr>
    </w:p>
    <w:p>
      <w:pPr>
        <w:ind w:left="1300" w:right="160" w:hanging="644"/>
        <w:spacing w:after="0" w:line="25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Product revenue</w:t>
      </w:r>
      <w:r>
        <w:rPr>
          <w:rFonts w:ascii="Arial" w:cs="Arial" w:eastAsia="Arial" w:hAnsi="Arial"/>
          <w:sz w:val="18"/>
          <w:szCs w:val="18"/>
          <w:color w:val="auto"/>
        </w:rPr>
        <w:t>. Product revenue is primarily generated from sales of our appliances. The majority of our product revenue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our FortiGate line of appliances, and we do not expect this to change in the foreseeable future. Product revenue also includes revenue derived from sales of software. As a percentage of total revenue, we expect that our product revenue may vary from quarter-to-quarter based on certain factors, as discussed below under “—Quarterly Results of Operations,” and we expect the trend to continue in 2018.</w:t>
      </w:r>
    </w:p>
    <w:p>
      <w:pPr>
        <w:spacing w:after="0" w:line="188" w:lineRule="exact"/>
        <w:rPr>
          <w:rFonts w:ascii="Arial" w:cs="Arial" w:eastAsia="Arial" w:hAnsi="Arial"/>
          <w:sz w:val="18"/>
          <w:szCs w:val="18"/>
          <w:color w:val="auto"/>
        </w:rPr>
      </w:pPr>
    </w:p>
    <w:p>
      <w:pPr>
        <w:ind w:left="1300" w:right="20" w:hanging="644"/>
        <w:spacing w:after="0" w:line="269" w:lineRule="auto"/>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Service revenue</w:t>
      </w:r>
      <w:r>
        <w:rPr>
          <w:rFonts w:ascii="Arial" w:cs="Arial" w:eastAsia="Arial" w:hAnsi="Arial"/>
          <w:sz w:val="17"/>
          <w:szCs w:val="17"/>
          <w:color w:val="auto"/>
        </w:rPr>
        <w:t>. Service revenue is generated primarily from FortiGuard security subscription services related to application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antivirus, intrusion prevention, web filtering, anti-spam, ATP and vulnerability management updates, and from FortiCare technical support services for software updates, maintenance releases and patches, internet access to technical content, telephone and internet access to technical support personnel and hardware support. We recognize revenue from FortiGuard security subscription and FortiCare technical support services over the contractual service period. Our typical contractual support and subscription term is one to three years and, to a lesser extent, five years. We also generate a small portion of our revenue from professional services and training services, for which we recognize revenue as the services are provided, and cloud-based services, for which we recognize revenue as the subscription service is delivered over the term, which is typically one year, or on a monthly usage basis. We continue to see a shift from product revenue to higher-margin, recurring service revenue, which reflects our ongoing success in driving sales of mid-range and high-end service bundles, as well as increases in certain software and other time based service models. Our service revenue growth rate depends significantly on the growth of our customer base, the expansion of our service bundle offerings, the expansion and introduction of new service offerings and the renewal of service contracts by our existing customers.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total cost of revenue is comprised of the following:</w:t>
      </w:r>
    </w:p>
    <w:p>
      <w:pPr>
        <w:spacing w:after="0" w:line="225" w:lineRule="exact"/>
        <w:rPr>
          <w:sz w:val="20"/>
          <w:szCs w:val="20"/>
          <w:color w:val="auto"/>
        </w:rPr>
      </w:pPr>
    </w:p>
    <w:p>
      <w:pPr>
        <w:ind w:left="1300" w:right="40" w:hanging="644"/>
        <w:spacing w:after="0" w:line="279"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Cost of product revenue</w:t>
      </w:r>
      <w:r>
        <w:rPr>
          <w:rFonts w:ascii="Arial" w:cs="Arial" w:eastAsia="Arial" w:hAnsi="Arial"/>
          <w:sz w:val="17"/>
          <w:szCs w:val="17"/>
          <w:color w:val="auto"/>
        </w:rPr>
        <w:t>. A substantial majority of the cost of product revenue consists of third-party contract manufacturers' costs,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other costs of materials used in production. Our cost of product revenue also includes supplies, shipping costs, personnel costs associated with logistics and quality control, facility-related costs, excess and obsolete inventory costs, warranty costs, and amortization and impairment of intangible assets, if applicable. Personnel costs include direct compensation and benefits.</w:t>
      </w:r>
    </w:p>
    <w:p>
      <w:pPr>
        <w:spacing w:after="0" w:line="171" w:lineRule="exact"/>
        <w:rPr>
          <w:rFonts w:ascii="Arial" w:cs="Arial" w:eastAsia="Arial" w:hAnsi="Arial"/>
          <w:sz w:val="17"/>
          <w:szCs w:val="17"/>
          <w:color w:val="auto"/>
        </w:rPr>
      </w:pPr>
    </w:p>
    <w:p>
      <w:pPr>
        <w:ind w:left="1300" w:right="92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Cost of service revenue</w:t>
      </w:r>
      <w:r>
        <w:rPr>
          <w:rFonts w:ascii="Arial" w:cs="Arial" w:eastAsia="Arial" w:hAnsi="Arial"/>
          <w:sz w:val="18"/>
          <w:szCs w:val="18"/>
          <w:color w:val="auto"/>
        </w:rPr>
        <w:t>. Cost of service revenue is primarily comprised of salaries, benefits and bonuses, as well as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Cost of service revenue also includes supplies and facility-related costs.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Gross margin</w:t>
      </w:r>
      <w:r>
        <w:rPr>
          <w:rFonts w:ascii="Arial" w:cs="Arial" w:eastAsia="Arial" w:hAnsi="Arial"/>
          <w:sz w:val="16"/>
          <w:szCs w:val="16"/>
          <w:color w:val="auto"/>
        </w:rPr>
        <w:t>. Gross profit as a percentage of revenue, or gross margin, has been and will continue to be affected by a variety of factors,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average sales price of our products, product costs, the mix of products sold and the mix of revenue between products, software licenses and services and any excess inventory write-offs. Service revenue and software licenses have had a positive effect on our total gross margin given the higher gross margins compared to product gross margins. During 2017, service gross margin benefited from the shift to higher-margin service revenue. Product gross margin was negatively impacted as longer term deals and higher priced service bundles resulted in allocating a lower percentage of contract values to product and allocating a larger percentage of contact values to services. As a result, the service margin expansion was partially offset by a decline in product gross margin in 2017. We believe our overall gross margin will remain at a relatively comparable level in 2018.</w:t>
      </w:r>
    </w:p>
    <w:p>
      <w:pPr>
        <w:spacing w:after="0" w:line="167" w:lineRule="exact"/>
        <w:rPr>
          <w:sz w:val="20"/>
          <w:szCs w:val="20"/>
          <w:color w:val="auto"/>
        </w:rPr>
      </w:pPr>
    </w:p>
    <w:p>
      <w:pPr>
        <w:ind w:firstLine="531"/>
        <w:spacing w:after="0" w:line="257" w:lineRule="auto"/>
        <w:rPr>
          <w:sz w:val="20"/>
          <w:szCs w:val="20"/>
          <w:color w:val="auto"/>
        </w:rPr>
      </w:pPr>
      <w:r>
        <w:rPr>
          <w:rFonts w:ascii="Arial" w:cs="Arial" w:eastAsia="Arial" w:hAnsi="Arial"/>
          <w:sz w:val="18"/>
          <w:szCs w:val="18"/>
          <w:i w:val="1"/>
          <w:iCs w:val="1"/>
          <w:color w:val="auto"/>
        </w:rPr>
        <w:t>Operating expenses</w:t>
      </w:r>
      <w:r>
        <w:rPr>
          <w:rFonts w:ascii="Arial" w:cs="Arial" w:eastAsia="Arial" w:hAnsi="Arial"/>
          <w:sz w:val="18"/>
          <w:szCs w:val="18"/>
          <w:color w:val="auto"/>
        </w:rPr>
        <w:t>. Our operating expenses consist of research and development, sales and marketing, general and administrative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charges. Personnel costs are the most significant component of operating expenses and consist primarily of salaries, benefits, bonuses, stock-based compensation, and sales commissions, as applicable. We expect personnel costs to continue to increase in absolute dollars as we expand our workforce. We expect sales commission expense recognized at the time of sale to decrease as a percentage of revenue due to the adoption of ASU 2014-09—Revenue from Contracts with Customers.</w:t>
      </w:r>
    </w:p>
    <w:p>
      <w:pPr>
        <w:spacing w:after="0" w:line="188" w:lineRule="exact"/>
        <w:rPr>
          <w:sz w:val="20"/>
          <w:szCs w:val="20"/>
          <w:color w:val="auto"/>
        </w:rPr>
      </w:pPr>
    </w:p>
    <w:p>
      <w:pPr>
        <w:ind w:left="1300" w:right="40" w:hanging="644"/>
        <w:spacing w:after="0" w:line="25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consists primarily of personnel costs. Additional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include ASIC and system prototypes and certification-related expenses, depreciation of capital equipment and facility-related expenses. The majority of our research and development is focused on both software development and the ongoing development of our hardware platform. We record all research and development expenses as incurred. Our research and development teams are primarily located in Canada and the United States.</w:t>
      </w:r>
    </w:p>
    <w:p>
      <w:pPr>
        <w:spacing w:after="0" w:line="188" w:lineRule="exact"/>
        <w:rPr>
          <w:rFonts w:ascii="Arial" w:cs="Arial" w:eastAsia="Arial" w:hAnsi="Arial"/>
          <w:sz w:val="18"/>
          <w:szCs w:val="18"/>
          <w:color w:val="auto"/>
        </w:rPr>
      </w:pPr>
    </w:p>
    <w:p>
      <w:pPr>
        <w:ind w:left="1300" w:hanging="644"/>
        <w:spacing w:after="0" w:line="25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is the largest component of our operating expenses and primarily consists of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costs. Additional sales and marketing expenses include promotional lead generation and other marketing expenses, travel, depreciation of capital equipment and facility-related expenses. We intend to hire additional personnel focused on sales and marketing and expand our sales and marketing efforts worldwide in order to capture additional market share in the high-return enterprise market, where customers tend to provide a higher lifetime value.</w:t>
      </w:r>
    </w:p>
    <w:p>
      <w:pPr>
        <w:spacing w:after="0" w:line="188" w:lineRule="exact"/>
        <w:rPr>
          <w:rFonts w:ascii="Arial" w:cs="Arial" w:eastAsia="Arial" w:hAnsi="Arial"/>
          <w:sz w:val="18"/>
          <w:szCs w:val="18"/>
          <w:color w:val="auto"/>
        </w:rPr>
      </w:pPr>
    </w:p>
    <w:p>
      <w:pPr>
        <w:ind w:left="1300" w:right="100" w:hanging="644"/>
        <w:spacing w:after="0" w:line="25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 consists of personnel costs, as well as professional fees, depreciation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equipment and software, facility-related expenses, expenses associated with the ERP system implementation and business acquisition costs. General and administrative personnel include our executive, finance, human resources, information technology and legal organizations. Our professional fees principally consist of outside legal, auditing, accounting, tax, information technology and other consulting costs.</w:t>
      </w:r>
    </w:p>
    <w:p>
      <w:pPr>
        <w:spacing w:after="0" w:line="18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Restructuring charges</w:t>
      </w:r>
      <w:r>
        <w:rPr>
          <w:rFonts w:ascii="Arial" w:cs="Arial" w:eastAsia="Arial" w:hAnsi="Arial"/>
          <w:sz w:val="18"/>
          <w:szCs w:val="18"/>
          <w:color w:val="auto"/>
        </w:rPr>
        <w:t>. Restructuring charges relate to alignment activities performed in connection with the Meru Networks, Inc. (“Meru”)</w:t>
      </w:r>
      <w:r>
        <w:rPr>
          <w:rFonts w:ascii="Arial" w:cs="Arial" w:eastAsia="Arial" w:hAnsi="Arial"/>
          <w:sz w:val="18"/>
          <w:szCs w:val="18"/>
          <w:i w:val="1"/>
          <w:iCs w:val="1"/>
          <w:color w:val="auto"/>
        </w:rPr>
        <w:t xml:space="preserve"> </w:t>
      </w:r>
      <w:r>
        <w:rPr>
          <w:rFonts w:ascii="Arial" w:cs="Arial" w:eastAsia="Arial" w:hAnsi="Arial"/>
          <w:sz w:val="18"/>
          <w:szCs w:val="18"/>
          <w:color w:val="auto"/>
        </w:rPr>
        <w:t>and AccelOps, Inc. (“AccelOps”) acquisitions to reduce our cost structure and improve operational efficiencies, resulting in workforce reductions, contract terminations and other charges.</w:t>
      </w:r>
    </w:p>
    <w:p>
      <w:pPr>
        <w:spacing w:after="0" w:line="181"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consists of income earned on our cash, cash equivalents and investments. We have historically invested our cash in</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debt securities, money market funds, certificates of deposit, commercial paper, U.S. government and agency securities and municipal bonds.</w:t>
      </w:r>
    </w:p>
    <w:p>
      <w:pPr>
        <w:spacing w:after="0" w:line="12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w:t>
      </w:r>
      <w:r>
        <w:rPr>
          <w:rFonts w:ascii="Arial" w:cs="Arial" w:eastAsia="Arial" w:hAnsi="Arial"/>
          <w:sz w:val="18"/>
          <w:szCs w:val="18"/>
          <w:i w:val="1"/>
          <w:iCs w:val="1"/>
          <w:color w:val="auto"/>
        </w:rPr>
        <w:t>net</w:t>
      </w:r>
      <w:r>
        <w:rPr>
          <w:rFonts w:ascii="Arial" w:cs="Arial" w:eastAsia="Arial" w:hAnsi="Arial"/>
          <w:sz w:val="18"/>
          <w:szCs w:val="18"/>
          <w:color w:val="auto"/>
        </w:rPr>
        <w:t>. Other income (expense)—net consists primarily of foreign exchange gains and losses related to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remeasurement.</w:t>
      </w:r>
    </w:p>
    <w:p>
      <w:pPr>
        <w:spacing w:after="0" w:line="170"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We are subject to tax in the United States, as well as other tax jurisdictions or countries in which we conduct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Earnings from our non-U.S. activities are subject to income taxes in the local country, which are generally lower than U.S. tax rates, and may be subject to U.S. income taxes. Our effective tax rate differs from the U.S. statutory rate primarily due to foreign income subject to different tax rates than in the U.S., research and development tax credits, withholding taxes, nondeductible stock-based compensation expense and the tax impact of the 2017 Tax Act.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2" w:right="27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December, 2017, the U.S. federal government enacted the 2017 Tax Act. The 2017 Tax Act decreased the federal corporate income tax rate from 35% to 21% effective January 1, 2018 and created a territorial tax system with a one-time mandatory tax on foreign earnings of U.S. subsidiaries not previously subject to U.S. income tax. Under GAAP, changes in tax rates and tax law are accounted for in the period of enactment and deferred tax assets and liabilities are measured at the enacted tax rate. As such, we provisionally recorded a $47.9 million expense on the remeasurement of deferred assets due to the reduction of the federal corporate income tax rate, and a $15.2 million expense for the one-time transition tax on the deemed repatriation related to the 2017 Tax Act.</w:t>
      </w:r>
    </w:p>
    <w:p>
      <w:pPr>
        <w:spacing w:after="0" w:line="193"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Our effective tax rate approximates the federal corporate income tax rates plus the impact of state taxes, excess tax benefits related to stock-based compensation expense, research and development tax credits, foreign withholding tax, nondeductible stock-based compensation expense, foreign income subject to lower tax rates than income earned in the United States, deferred tax assets remeasurement and a one-time transition tax.</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8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believe that, of the significant accounting policies described in Note 1 to our consolidated financial statements included in Part II, Item 8 of this Annual Report on Form 10-K, the following accounting policies involve a greater degree of judgment and complexity. Accordingly, we believe these are the most critical to fully understand and evaluate our financial condition and results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derive the majority of our revenue from sales of our hardware, FortiGuard security subscription and FortiCare technical support services, and other services through our channel partners and a direct sales force.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recognized when all of the following criteria have been met:</w:t>
      </w:r>
    </w:p>
    <w:p>
      <w:pPr>
        <w:spacing w:after="0" w:line="225" w:lineRule="exact"/>
        <w:rPr>
          <w:sz w:val="20"/>
          <w:szCs w:val="20"/>
          <w:color w:val="auto"/>
        </w:rPr>
      </w:pPr>
    </w:p>
    <w:p>
      <w:pPr>
        <w:ind w:left="1300" w:right="36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Persuasive evidence of an arrangement exists. </w:t>
      </w:r>
      <w:r>
        <w:rPr>
          <w:rFonts w:ascii="Arial" w:cs="Arial" w:eastAsia="Arial" w:hAnsi="Arial"/>
          <w:sz w:val="18"/>
          <w:szCs w:val="18"/>
          <w:color w:val="auto"/>
        </w:rPr>
        <w:t>Binding contracts or purchase orders are generally used to determine the existence of an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w:t>
      </w:r>
    </w:p>
    <w:p>
      <w:pPr>
        <w:spacing w:after="0" w:line="170" w:lineRule="exact"/>
        <w:rPr>
          <w:rFonts w:ascii="Arial" w:cs="Arial" w:eastAsia="Arial" w:hAnsi="Arial"/>
          <w:sz w:val="18"/>
          <w:szCs w:val="18"/>
          <w:color w:val="auto"/>
        </w:rPr>
      </w:pPr>
    </w:p>
    <w:p>
      <w:pPr>
        <w:ind w:left="1300" w:right="180" w:hanging="644"/>
        <w:spacing w:after="0" w:line="274" w:lineRule="auto"/>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Delivery has occurred or services have been rendered. </w:t>
      </w:r>
      <w:r>
        <w:rPr>
          <w:rFonts w:ascii="Arial" w:cs="Arial" w:eastAsia="Arial" w:hAnsi="Arial"/>
          <w:sz w:val="17"/>
          <w:szCs w:val="17"/>
          <w:color w:val="auto"/>
        </w:rPr>
        <w:t>Product delivery occurs when we fulfill an order and title and risk of loss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Service revenue is deferred and recognized ratably over the contractual service period, which is typically</w:t>
      </w:r>
    </w:p>
    <w:p>
      <w:pPr>
        <w:ind w:left="1300"/>
        <w:spacing w:after="0"/>
        <w:rPr>
          <w:rFonts w:ascii="Arial" w:cs="Arial" w:eastAsia="Arial" w:hAnsi="Arial"/>
          <w:sz w:val="17"/>
          <w:szCs w:val="17"/>
          <w:color w:val="auto"/>
        </w:rPr>
      </w:pPr>
      <w:r>
        <w:rPr>
          <w:rFonts w:ascii="Arial" w:cs="Arial" w:eastAsia="Arial" w:hAnsi="Arial"/>
          <w:sz w:val="18"/>
          <w:szCs w:val="18"/>
          <w:color w:val="auto"/>
        </w:rPr>
        <w:t>from one to three years and, to a lesser extent, five years, and is generally recognized upon delivery or completion of service.</w:t>
      </w:r>
    </w:p>
    <w:p>
      <w:pPr>
        <w:spacing w:after="0" w:line="210" w:lineRule="exact"/>
        <w:rPr>
          <w:rFonts w:ascii="Arial" w:cs="Arial" w:eastAsia="Arial" w:hAnsi="Arial"/>
          <w:sz w:val="17"/>
          <w:szCs w:val="17"/>
          <w:color w:val="auto"/>
        </w:rPr>
      </w:pPr>
    </w:p>
    <w:p>
      <w:pPr>
        <w:ind w:left="1300" w:right="8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Sales price is fixed or determinable. </w:t>
      </w:r>
      <w:r>
        <w:rPr>
          <w:rFonts w:ascii="Arial" w:cs="Arial" w:eastAsia="Arial" w:hAnsi="Arial"/>
          <w:sz w:val="18"/>
          <w:szCs w:val="18"/>
          <w:color w:val="auto"/>
        </w:rPr>
        <w:t>We assess whether the sales price is fixed or determinable based on the payment terms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 and when the sales price is deemed final.</w:t>
      </w:r>
    </w:p>
    <w:p>
      <w:pPr>
        <w:spacing w:after="0" w:line="170"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Collectability is reasonably assured</w:t>
      </w:r>
      <w:r>
        <w:rPr>
          <w:rFonts w:ascii="Arial" w:cs="Arial" w:eastAsia="Arial" w:hAnsi="Arial"/>
          <w:sz w:val="18"/>
          <w:szCs w:val="18"/>
          <w:color w:val="auto"/>
        </w:rPr>
        <w:t>. We assess collectability based primarily on creditworthiness as determined by credit checks,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and payment history.</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recognize product revenue for sales to distributors that have no general right of return and direct sales to end-customers upon shipment, based on general revenue recognition accounting guidance once all other revenue recognition criteria have been met. Certain distributors are granted stock rotation rights, limited rights of return and rebates for sales of our products. The arrangement fee for this group of distributors is not typically fixed or determinable when products are shipped and revenue is therefore deferred and recognized upon sell-through. For sales that include end-customer acceptance criteria, revenue is recognized upon acceptance. We recognize software license revenue upon electronic transfer of the license key to the customer. Historically, software license revenue has not been material.</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693"/>
        <w:spacing w:after="0" w:line="312" w:lineRule="auto"/>
        <w:rPr>
          <w:sz w:val="20"/>
          <w:szCs w:val="20"/>
          <w:color w:val="auto"/>
        </w:rPr>
      </w:pPr>
      <w:r>
        <w:rPr>
          <w:rFonts w:ascii="Arial" w:cs="Arial" w:eastAsia="Arial" w:hAnsi="Arial"/>
          <w:sz w:val="16"/>
          <w:szCs w:val="16"/>
          <w:color w:val="auto"/>
        </w:rPr>
        <w:t>Substantially all of our products have been sold in combination with services, which consist of security subscriptions and technical support services. Security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w:t>
      </w:r>
    </w:p>
    <w:p>
      <w:pPr>
        <w:spacing w:after="0" w:line="14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Service revenue consists of sales from our FortiGuard security subscription and FortiCare technical support services, professional and training services and other services that include SaaS and IaaS, both of which are hosted or cloud-based services. We recognize revenue from these arrangements as the subscription service is delivered over the term, which is typically one year, or on a monthly usage basis. To date, SaaS and IaaS revenues have not represented a significant percentage of our total revenue.</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reduce revenue for estimates of sales returns and allowances and record reductions to revenue for rebates and estimated commitments related to price protection and other customer incentive programs.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Our sales arrangements typically contain multiple elements, such as hardware, security subscription, technical support services and other services. The majority of our hardware appliance products contain our operating system software that together function to deliver the essential functionality of the product. Our products and services generally qualify as separate units of accounting. We allocate revenue to each unit of accounting based on an estimated selling price using vendor-specific objective evidence (“VSOE”) of selling price, if it exists, or third-party evidence (“TPE”) of selling price. If neither VSOE nor TPE of selling price exists for a deliverable, we use our best estimate of selling price (“BESP”) for that deliverable. Revenue allocated to each element is then recognized when the basic revenue recognition criteria are met for each element. Revenue is reported net of sales taxes.</w:t>
      </w:r>
    </w:p>
    <w:p>
      <w:pPr>
        <w:spacing w:after="0" w:line="16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For our hardware appliances, we use BESP as our selling price estimate. For our support and other services, we generally use VSOE as our selling price estimate. We determine VSOE of fair value for elements of an arrangement based on the historical pricing and discounting practices for those services when sold separately. In establishing VSOE, we require that a substantial majority of the selling prices for a service fall within a reasonably narrow pricing range, generally evidenced by a substantial majority of such historical stand-alone transactions falling within a reasonably narrow range as a percentage of list price. When we are unable to establish a selling price using VSOE for our support and other services, we use BESP in our allocation of arrangement consideration. We determine BESP for a product or service by considering multiple historical factors including, but not limited to, cost of products, gross margin objectives, pricing practices, geographies, customer classes and distribution channels that fall within a reasonably narrow range as a percentage of list price.</w:t>
      </w:r>
    </w:p>
    <w:p>
      <w:pPr>
        <w:spacing w:after="0" w:line="19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For multiple-element arrangements where software deliverables are included, revenue is allocated to the non-software deliverables and to the software deliverables as a group using the relative estimated selling prices of each of the deliverables in the arrangement based on the estimated selling price hierarchy. The amount allocated to the software deliverables is then allocated to each software deliverable using the residual method when VSOE of fair value exists. If evidence of VSOE of fair value of one or more undelivered elements does not exist, all software allocated revenue is deferred and recognized when delivery of those elements occurs or when fair value can be established. When the undelivered element for which we do not have VSOE of fair value is support, revenue for the entire arrangement is recognized ratably over the support period. The same residual method and VSOE of fair value principles apply for our multiple element arrangements that contain only software elements.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ASU 2014-09</w:t>
      </w:r>
    </w:p>
    <w:p>
      <w:pPr>
        <w:spacing w:after="0" w:line="225"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On January 1, 2018, we adopted Accounting Standards Update (“ASU”) 2014-09—Revenue from Contracts with Customers, which outlines a single, comprehensive model for entities to use in accounting for revenue arising from contracts with customers. The core principle of ASU 2014-09 is to recognize revenue when promised goods or services are transferred to customers in an amount that reflects the consideration that is expected to be received for those goods or services. ASU 2014-09 defines a five-step process to achieve this core principle and, accordingly, we expect more judgment and estimates may be required within the revenue recognition process than is required under the legacy GAAP, including identifying performance obligations in the contract, estimating the amount of variable consideration to include in the transaction price and allocating the transaction price to each separate performance obligation. ASU 2014-09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 We elected to adopt ASU 2014-09 using the modified retrospective method and will apply the standard to contracts that are not completed as of January 1, 2018, and will recognize the cumulative effect of initially applying the standard as an adjustment to the opening balance of accumulated deficit.</w:t>
      </w:r>
    </w:p>
    <w:p>
      <w:pPr>
        <w:spacing w:after="0" w:line="16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completed our analysis of open revenue contracts as of January 1, 2018. Based on our assessment, the impact on revenue in our consolidated financial statements is not material. The impact on revenue primarily relates to the acceleration of revenue from U.S.-based channel partners that was previously deferred until the product was sold through and certain changes related to revenue recognized on software license sales. We expect the pattern of revenue recognition from direct sales of our FortiGate and other appliances and FortiGuard security subscription and FortiCare technical support services to be substantially unchanged on an ongoing basis.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Commission Expense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recognize commission expense on both product sales and service contracts at the time of sale. Under ASC 2014-09, as of January 1, 2018, we will continue to expense commissions related to appliance sales when incurred, but will capitalize and recognize certain commissions on service contracts over the period of benefit. As part of the transition to the new accounting standard, we expect to capitalize at least $130.0 million of sales commissions that have been determined to be the remaining costs to obtain then existing service contracts. Capitalized sales commissions will be amortized on a straight-line basis over the period of benefit for new business or the contract term for renewals. See Note 1 to our consolidated financial statements in Part II, Item 8 of this Annual Report on Form 10-K for further discussion.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Employee Stock Options. </w:t>
      </w:r>
      <w:r>
        <w:rPr>
          <w:rFonts w:ascii="Arial" w:cs="Arial" w:eastAsia="Arial" w:hAnsi="Arial"/>
          <w:sz w:val="18"/>
          <w:szCs w:val="18"/>
          <w:color w:val="auto"/>
        </w:rPr>
        <w:t>We estimate the fair value of employee stock options awarded to our employees using the Black-Scholes-Merton (“Black-Scholes”) pricing model. For all employee stock options, we recognize expense over the requisite service period using the straight-line method. Our option pricing model requires the input of subjective assumptions, including the expected stock price volatility, expected term, risk-free interest rates and expected dividend yield of our common stock. The assumptions used in our option pricing model represent management’s best estimates. These estimates involve inherent uncertainties and the application of management’s judgment. A 10% change in any of these assumptions would not have a significant impact on our stock-based compensation expense.</w:t>
      </w:r>
    </w:p>
    <w:p>
      <w:pPr>
        <w:spacing w:after="0" w:line="19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Employee Stock Purchase Plan. </w:t>
      </w:r>
      <w:r>
        <w:rPr>
          <w:rFonts w:ascii="Arial" w:cs="Arial" w:eastAsia="Arial" w:hAnsi="Arial"/>
          <w:sz w:val="18"/>
          <w:szCs w:val="18"/>
          <w:color w:val="auto"/>
        </w:rPr>
        <w:t>We estimate the fair value of the rights to acquire stock under our employee stock purchase plan (“ESPP”)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Black-Scholes pricing model and we recognize expense over the requisite service period using the straight-line method. The pricing model requires the input of the fair value of our common stock and assumptions, including the expected term of the award, expected volatility of the price of our common stock, risk-free interest rates and expected dividend yield of our common stock. Our ESPP provides for consecutive six-month offering periods and we use our own historical volatility data in the valuation of ESPP shares. A 10% change in any of these assumptions would not have a significant impact on our stock-based compensation expense.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Valuation of Inventory</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As of December 31, 2016, inventory was recorded at the lower of cost or market. On January 1, 2017, we adopted ASU 2015-11—Inventory: Simplifying the Measurement of Inventory. As such, as of December 31, 2017, inventory is recorded at the lower of cost or net realizable value. Adoption of ASU 2015-11 did not have an impact on our consolidated financial statements. Cost is computed using the first-in, first-out method. In assessing the ultimate recoverability of inventory, we make estimates regarding future customer demand, the timing of new product introductions, economic trends and market conditions. If the actual product demand is significantly lower than forecasted, we could be required to record additional inventory write-downs which would be charged to cost of product revenue. Any write-downs could have an adverse impact on our gross margins and profitability.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include the results of operations of the businesses that we acquire as of the respective dates of acquisition. We allocate the fair value of the purchase price of our business acquisitions to the tangible assets acquired, liabilities assumed, and intangible assets acquired, based on their estimated fair values. The excess of the purchase price over the fair values of these identifiable assets and liabilities is recorded as goodwill. We often continue to gather additional information throughout the measurement period, and if we make changes to the amounts recorded, such charges are recorded in the period in which they are identified.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restructuring expenses consist of severance and other one-time benefits, contract terminations and other expenses. Liabilities for costs associated with a restructuring activity are measured at fair value. One-time termination benefits are expensed at the date we notify the employee, unless the employee must provide future service, in which case the benefits are expensed ratably over the future service period. A liability for terminating a contract before the end of its term, which termination is usually done by giving written notice to the counterparty within the notification period specified by the contract or by otherwise negotiating a termination with the counterparty, is recognized at fair value on the notification date. A liability for costs that will continue to be incurred under a contract for its remaining term without economic benefit to the entity is recognized at the cease-use date. Other costs primarily consist of asset write-offs, which are expensed when incurred.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We record income taxes using the asset and liability method, which requires the recognition of deferred tax assets and liabilities for the expected future tax consequences of events that have been recognized in our financial statements or tax returns. In addition, deferred tax assets are recorded for the future benefit of utilizing net operating losses and research and development credit carryforwards.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w:t>
      </w:r>
    </w:p>
    <w:p>
      <w:pPr>
        <w:spacing w:after="0" w:line="158"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We recognize tax benefits from an uncertain tax position only if it is more likely than not, based on the technical merits of the position that the tax position will be sustained on examination by the taxing authorities. The tax benefits recognized in the financial statements from such positions are then measured based on the largest benefit that has a greater than 50% likelihood of being realized upon ultimate settlement.</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December 2017, the U.S. federal government enacted the 2017 Tax Act. The 2017 Tax Act reduced the federal corporate income tax rate from 35% to 21% effective January 1, 2018 and created a territorial tax system with a one-time transition tax on foreign earnings of U.S. subsidiaries not previously subject to U.S. income tax. Under U.S. GAAP, changes in tax rates and tax law are accounted for in the period of enactment and deferred tax assets and liabilities are measured at the enacted tax rate. Due to the timing of the enactment and the complexity involved in applying the provisions of the 2017 Tax Act, we have recorded provisional estimates associated with the 2017 Tax Act. We consider both the recognition of the transition tax and the remeasurement of deferred income taxes incomplete. New guidance from regulators, interpretation of the law, and refinement of our estimates from ongoing analysis of data and tax positions may change the provisional amounts.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our consolidated balance sheets. In general, deferred tax assets represent future tax benefits to be received when certain expenses previously recognized in our consolidated statements of operations become deductible expenses under applicable income tax laws, or loss or credit carryforwards are utilized.</w:t>
      </w:r>
    </w:p>
    <w:p>
      <w:pPr>
        <w:spacing w:after="0" w:line="15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assets by evaluating both positive and negative evidence that may exist. Any adjustment to the valuation allowance on deferred tax assets would be recorded in the consolidated statements of operations for the period that the adjustment is determined to be required.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make estimates and judgments about our future taxable income that are based on assumptions that are consistent with our plans and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Should the actual amounts differ from our estimates, the amount of our tax expense and liabilities could be materially impacted.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The following tables set forth our results of operations for the periods presented and as a percentage of our total revenue for those periods. The period-to-period comparison of financial results is not necessarily indicative of financial results to be achieved in future periods.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1"/>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(in thousands)</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Revenue:</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577,171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548,110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476,782</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Service</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917,759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727,333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532,486</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revenue</w:t>
            </w:r>
          </w:p>
        </w:tc>
        <w:tc>
          <w:tcPr>
            <w:tcW w:w="15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1,494,930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1,275,443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1,009,268</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15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243,824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208,984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190,398</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Service</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141,460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128,853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96,379</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cost of revenue</w:t>
            </w:r>
          </w:p>
        </w:tc>
        <w:tc>
          <w:tcPr>
            <w:tcW w:w="15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385,284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337,837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286,777</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5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333,347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339,126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286,384</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Service</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776,299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598,480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436,107</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gross profit</w:t>
            </w:r>
          </w:p>
        </w:tc>
        <w:tc>
          <w:tcPr>
            <w:tcW w:w="15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1,109,646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937,606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722,491</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5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210,614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183,084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158,129</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701,026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626,501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470,371</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87,862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81,080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71,514</w:t>
            </w:r>
          </w:p>
        </w:tc>
        <w:tc>
          <w:tcPr>
            <w:tcW w:w="0" w:type="dxa"/>
            <w:vAlign w:val="bottom"/>
          </w:tcPr>
          <w:p>
            <w:pPr>
              <w:spacing w:after="0"/>
              <w:rPr>
                <w:sz w:val="1"/>
                <w:szCs w:val="1"/>
                <w:color w:val="auto"/>
              </w:rPr>
            </w:pPr>
          </w:p>
        </w:tc>
      </w:tr>
      <w:tr>
        <w:trPr>
          <w:trHeight w:val="243"/>
        </w:trPr>
        <w:tc>
          <w:tcPr>
            <w:tcW w:w="4540" w:type="dxa"/>
            <w:vAlign w:val="bottom"/>
          </w:tcPr>
          <w:p>
            <w:pPr>
              <w:ind w:left="500"/>
              <w:spacing w:after="0"/>
              <w:rPr>
                <w:sz w:val="20"/>
                <w:szCs w:val="20"/>
                <w:color w:val="auto"/>
              </w:rPr>
            </w:pPr>
            <w:r>
              <w:rPr>
                <w:rFonts w:ascii="Arial" w:cs="Arial" w:eastAsia="Arial" w:hAnsi="Arial"/>
                <w:sz w:val="18"/>
                <w:szCs w:val="18"/>
                <w:color w:val="auto"/>
              </w:rPr>
              <w:t>Restructuring charges</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operating expenses</w:t>
            </w:r>
          </w:p>
        </w:tc>
        <w:tc>
          <w:tcPr>
            <w:tcW w:w="15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999,842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894,662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707,614</w:t>
            </w:r>
          </w:p>
        </w:tc>
        <w:tc>
          <w:tcPr>
            <w:tcW w:w="0" w:type="dxa"/>
            <w:vAlign w:val="bottom"/>
          </w:tcPr>
          <w:p>
            <w:pPr>
              <w:spacing w:after="0"/>
              <w:rPr>
                <w:sz w:val="1"/>
                <w:szCs w:val="1"/>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5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109,804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42,944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14,877</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Other income (expense)—net</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123,994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17,005</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92,595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10,961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31,399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32,187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7,987</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51</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4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6"/>
          </w:tcPr>
          <w:p>
            <w:pPr>
              <w:jc w:val="right"/>
              <w:ind w:right="420"/>
              <w:spacing w:after="0"/>
              <w:rPr>
                <w:sz w:val="20"/>
                <w:szCs w:val="20"/>
                <w:color w:val="auto"/>
              </w:rPr>
            </w:pPr>
            <w:r>
              <w:rPr>
                <w:rFonts w:ascii="Arial" w:cs="Arial" w:eastAsia="Arial" w:hAnsi="Arial"/>
                <w:sz w:val="16"/>
                <w:szCs w:val="16"/>
                <w:b w:val="1"/>
                <w:bCs w:val="1"/>
                <w:color w:val="auto"/>
                <w:w w:val="92"/>
              </w:rPr>
              <w:t>Year Ended December 31,</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133"/>
              <w:spacing w:after="0"/>
              <w:rPr>
                <w:sz w:val="20"/>
                <w:szCs w:val="20"/>
                <w:color w:val="auto"/>
              </w:rPr>
            </w:pPr>
            <w:r>
              <w:rPr>
                <w:rFonts w:ascii="Arial" w:cs="Arial" w:eastAsia="Arial" w:hAnsi="Arial"/>
                <w:sz w:val="16"/>
                <w:szCs w:val="16"/>
                <w:b w:val="1"/>
                <w:bCs w:val="1"/>
                <w:color w:val="auto"/>
              </w:rPr>
              <w:t>2017</w:t>
            </w:r>
          </w:p>
        </w:tc>
        <w:tc>
          <w:tcPr>
            <w:tcW w:w="1820" w:type="dxa"/>
            <w:vAlign w:val="bottom"/>
            <w:gridSpan w:val="7"/>
          </w:tcPr>
          <w:p>
            <w:pPr>
              <w:jc w:val="right"/>
              <w:ind w:right="70"/>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ind w:right="63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5"/>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6"/>
          </w:tcPr>
          <w:p>
            <w:pPr>
              <w:jc w:val="right"/>
              <w:ind w:right="420"/>
              <w:spacing w:after="0"/>
              <w:rPr>
                <w:sz w:val="20"/>
                <w:szCs w:val="20"/>
                <w:color w:val="auto"/>
              </w:rPr>
            </w:pPr>
            <w:r>
              <w:rPr>
                <w:rFonts w:ascii="Arial" w:cs="Arial" w:eastAsia="Arial" w:hAnsi="Arial"/>
                <w:sz w:val="16"/>
                <w:szCs w:val="16"/>
                <w:b w:val="1"/>
                <w:bCs w:val="1"/>
                <w:color w:val="auto"/>
                <w:w w:val="89"/>
              </w:rPr>
              <w:t>(as percentage of revenue)</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3200" w:type="dxa"/>
            <w:vAlign w:val="bottom"/>
          </w:tcPr>
          <w:p>
            <w:pPr>
              <w:ind w:left="82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3"/>
              </w:rPr>
              <w:t>100</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gridSpan w:val="3"/>
          </w:tcPr>
          <w:p>
            <w:pPr>
              <w:jc w:val="right"/>
              <w:ind w:right="1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3200" w:type="dxa"/>
            <w:vAlign w:val="bottom"/>
          </w:tcPr>
          <w:p>
            <w:pPr>
              <w:ind w:left="820"/>
              <w:spacing w:after="0"/>
              <w:rPr>
                <w:sz w:val="20"/>
                <w:szCs w:val="20"/>
                <w:color w:val="auto"/>
              </w:rPr>
            </w:pPr>
            <w:r>
              <w:rPr>
                <w:rFonts w:ascii="Arial" w:cs="Arial" w:eastAsia="Arial" w:hAnsi="Arial"/>
                <w:sz w:val="18"/>
                <w:szCs w:val="18"/>
                <w:color w:val="auto"/>
              </w:rPr>
              <w:t>Total cost of revenue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gridSpan w:val="3"/>
          </w:tcPr>
          <w:p>
            <w:pPr>
              <w:jc w:val="right"/>
              <w:ind w:right="1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3200" w:type="dxa"/>
            <w:vAlign w:val="bottom"/>
          </w:tcPr>
          <w:p>
            <w:pPr>
              <w:ind w:left="820"/>
              <w:spacing w:after="0"/>
              <w:rPr>
                <w:sz w:val="20"/>
                <w:szCs w:val="20"/>
                <w:color w:val="auto"/>
              </w:rPr>
            </w:pPr>
            <w:r>
              <w:rPr>
                <w:rFonts w:ascii="Arial" w:cs="Arial" w:eastAsia="Arial" w:hAnsi="Arial"/>
                <w:sz w:val="18"/>
                <w:szCs w:val="18"/>
                <w:color w:val="auto"/>
              </w:rPr>
              <w:t>Total gross margin</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gridSpan w:val="3"/>
          </w:tcPr>
          <w:p>
            <w:pPr>
              <w:jc w:val="right"/>
              <w:ind w:right="1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gridSpan w:val="3"/>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5"/>
            <w:shd w:val="clear" w:color="auto" w:fill="CCEEFF"/>
          </w:tcPr>
          <w:p>
            <w:pPr>
              <w:jc w:val="right"/>
              <w:ind w:right="13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00" w:type="dxa"/>
            <w:vAlign w:val="bottom"/>
            <w:gridSpan w:val="3"/>
          </w:tcPr>
          <w:p>
            <w:pPr>
              <w:jc w:val="right"/>
              <w:ind w:right="1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(expense)—net</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5"/>
            <w:shd w:val="clear" w:color="auto" w:fill="CCEEFF"/>
          </w:tcPr>
          <w:p>
            <w:pPr>
              <w:jc w:val="right"/>
              <w:ind w:right="13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660"/>
              <w:spacing w:after="0"/>
              <w:rPr>
                <w:sz w:val="20"/>
                <w:szCs w:val="20"/>
                <w:color w:val="auto"/>
              </w:rPr>
            </w:pPr>
            <w:r>
              <w:rPr>
                <w:rFonts w:ascii="Arial" w:cs="Arial" w:eastAsia="Arial" w:hAnsi="Arial"/>
                <w:sz w:val="18"/>
                <w:szCs w:val="18"/>
                <w:b w:val="1"/>
                <w:bCs w:val="1"/>
                <w:i w:val="1"/>
                <w:iCs w:val="1"/>
                <w:color w:val="auto"/>
              </w:rPr>
              <w:t>2017 and 2016</w:t>
            </w: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5"/>
          </w:tcPr>
          <w:p>
            <w:pPr>
              <w:ind w:left="4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gridSpan w:val="3"/>
          </w:tcPr>
          <w:p>
            <w:pPr>
              <w:jc w:val="right"/>
              <w:ind w:right="1057"/>
              <w:spacing w:after="0"/>
              <w:rPr>
                <w:sz w:val="20"/>
                <w:szCs w:val="20"/>
                <w:color w:val="auto"/>
              </w:rPr>
            </w:pPr>
            <w:r>
              <w:rPr>
                <w:rFonts w:ascii="Arial" w:cs="Arial" w:eastAsia="Arial" w:hAnsi="Arial"/>
                <w:sz w:val="16"/>
                <w:szCs w:val="16"/>
                <w:b w:val="1"/>
                <w:bCs w:val="1"/>
                <w:color w:val="auto"/>
                <w:w w:val="95"/>
              </w:rPr>
              <w:t>2017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480"/>
              <w:spacing w:after="0"/>
              <w:rPr>
                <w:sz w:val="20"/>
                <w:szCs w:val="20"/>
                <w:color w:val="auto"/>
              </w:rPr>
            </w:pPr>
            <w:r>
              <w:rPr>
                <w:rFonts w:ascii="Arial" w:cs="Arial" w:eastAsia="Arial" w:hAnsi="Arial"/>
                <w:sz w:val="16"/>
                <w:szCs w:val="16"/>
                <w:b w:val="1"/>
                <w:bCs w:val="1"/>
                <w:color w:val="auto"/>
              </w:rPr>
              <w:t>%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51"/>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360"/>
              <w:spacing w:after="0"/>
              <w:rPr>
                <w:sz w:val="20"/>
                <w:szCs w:val="20"/>
                <w:color w:val="auto"/>
              </w:rPr>
            </w:pPr>
            <w:r>
              <w:rPr>
                <w:rFonts w:ascii="Arial" w:cs="Arial" w:eastAsia="Arial" w:hAnsi="Arial"/>
                <w:sz w:val="16"/>
                <w:szCs w:val="16"/>
                <w:b w:val="1"/>
                <w:bCs w:val="1"/>
                <w:color w:val="auto"/>
              </w:rPr>
              <w:t>Revenue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7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Pr>
          <w:p>
            <w:pPr>
              <w:spacing w:after="0"/>
              <w:rPr>
                <w:sz w:val="18"/>
                <w:szCs w:val="18"/>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jc w:val="right"/>
              <w:ind w:right="19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7"/>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7"/>
          </w:tcPr>
          <w:p>
            <w:pPr>
              <w:ind w:left="20"/>
              <w:spacing w:after="0"/>
              <w:rPr>
                <w:sz w:val="20"/>
                <w:szCs w:val="20"/>
                <w:color w:val="auto"/>
              </w:rPr>
            </w:pPr>
            <w:r>
              <w:rPr>
                <w:rFonts w:ascii="Arial" w:cs="Arial" w:eastAsia="Arial" w:hAnsi="Arial"/>
                <w:sz w:val="16"/>
                <w:szCs w:val="16"/>
                <w:b w:val="1"/>
                <w:bCs w:val="1"/>
                <w:color w:val="auto"/>
                <w:w w:val="96"/>
              </w:rPr>
              <w:t>(in thousands, except percentages)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577,171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548,110</w:t>
            </w:r>
          </w:p>
        </w:tc>
        <w:tc>
          <w:tcPr>
            <w:tcW w:w="1520" w:type="dxa"/>
            <w:vAlign w:val="bottom"/>
            <w:gridSpan w:val="5"/>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29,061</w:t>
            </w: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917,759</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61</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727,333</w:t>
            </w:r>
          </w:p>
        </w:tc>
        <w:tc>
          <w:tcPr>
            <w:tcW w:w="1520" w:type="dxa"/>
            <w:vAlign w:val="bottom"/>
            <w:tcBorders>
              <w:bottom w:val="single" w:sz="8" w:color="CCEEFF"/>
            </w:tcBorders>
            <w:gridSpan w:val="5"/>
            <w:shd w:val="clear" w:color="auto" w:fill="CCEEFF"/>
          </w:tcPr>
          <w:p>
            <w:pPr>
              <w:jc w:val="right"/>
              <w:ind w:right="119"/>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190,426</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97"/>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1,494,930</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1,275,443</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219,487</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642,331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536,706</w:t>
            </w:r>
          </w:p>
        </w:tc>
        <w:tc>
          <w:tcPr>
            <w:tcW w:w="1520" w:type="dxa"/>
            <w:vAlign w:val="bottom"/>
            <w:gridSpan w:val="5"/>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105,625</w:t>
            </w: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Europe, Middle East and Africa</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554,569</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37</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477,393</w:t>
            </w:r>
          </w:p>
        </w:tc>
        <w:tc>
          <w:tcPr>
            <w:tcW w:w="1520" w:type="dxa"/>
            <w:vAlign w:val="bottom"/>
            <w:tcBorders>
              <w:bottom w:val="single" w:sz="8" w:color="CCEEFF"/>
            </w:tcBorders>
            <w:gridSpan w:val="5"/>
            <w:shd w:val="clear" w:color="auto" w:fill="CCEEFF"/>
          </w:tcPr>
          <w:p>
            <w:pPr>
              <w:jc w:val="right"/>
              <w:ind w:right="119"/>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77,176</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Asia Pacific (“APAC”)</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298,030</w:t>
            </w:r>
          </w:p>
        </w:tc>
        <w:tc>
          <w:tcPr>
            <w:tcW w:w="1500" w:type="dxa"/>
            <w:vAlign w:val="bottom"/>
            <w:gridSpan w:val="3"/>
          </w:tcPr>
          <w:p>
            <w:pPr>
              <w:jc w:val="right"/>
              <w:ind w:right="97"/>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261,344</w:t>
            </w:r>
          </w:p>
        </w:tc>
        <w:tc>
          <w:tcPr>
            <w:tcW w:w="1520" w:type="dxa"/>
            <w:vAlign w:val="bottom"/>
            <w:gridSpan w:val="5"/>
          </w:tcPr>
          <w:p>
            <w:pPr>
              <w:jc w:val="right"/>
              <w:ind w:right="119"/>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36,686</w:t>
            </w: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1,494,930</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1,275,443</w:t>
            </w:r>
          </w:p>
        </w:tc>
        <w:tc>
          <w:tcPr>
            <w:tcW w:w="1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219,487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2" w:right="239" w:bottom="1440" w:gutter="0" w:footer="0" w:header="0"/>
          <w:type w:val="continuous"/>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Total revenue increased by $219.5 million, or 17%, in 2017 compared to 2016. We continued to experience global diversification of revenue in 2017. Revenue from all our regions grew, with the Americas contributing the largest portion of our revenue growth both on an absolute dollar and on a percentage basis. Product revenue increased by $29.1 million, or 5%, in 2017 compared to 2016. The increase in product revenue was primarily driven by greater sales volume in our FortiGate product family across all product categories and in particular for our high-end and mid-range products for large enterprise customers. Sales of non-FortiGate products, such as the Fortinet Security Fabric and cloud products, also grew significantly. Service revenue increased by $190.4 million, or 26%, in 2017 compared to 2016. The increase in service revenue was primarily due to the recognition of revenue from our growing deferred revenue balance consisting of FortiGuard security subscription and FortiCare technical support contracts sold to a larger customer base, as well as the renewals of similar contracts sold in earlier periods. We continue to see a shift from product revenues to higher-margin, recurring service revenues, which reflect our ongoing success in driving sales of high-end and mid-range products and tend to include more security subscriptions and support services, as well as longer contract durations.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gridSpan w:val="5"/>
          </w:tcPr>
          <w:p>
            <w:pPr>
              <w:ind w:left="580"/>
              <w:spacing w:after="0"/>
              <w:rPr>
                <w:sz w:val="20"/>
                <w:szCs w:val="20"/>
                <w:color w:val="auto"/>
              </w:rPr>
            </w:pPr>
            <w:r>
              <w:rPr>
                <w:rFonts w:ascii="Arial" w:cs="Arial" w:eastAsia="Arial" w:hAnsi="Arial"/>
                <w:sz w:val="16"/>
                <w:szCs w:val="16"/>
                <w:b w:val="1"/>
                <w:bCs w:val="1"/>
                <w:color w:val="auto"/>
              </w:rPr>
              <w:t>Year Ended December 31,</w:t>
            </w: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1"/>
        </w:trPr>
        <w:tc>
          <w:tcPr>
            <w:tcW w:w="3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7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ind w:left="32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ind w:right="611"/>
              <w:spacing w:after="0"/>
              <w:rPr>
                <w:sz w:val="20"/>
                <w:szCs w:val="20"/>
                <w:color w:val="auto"/>
              </w:rPr>
            </w:pPr>
            <w:r>
              <w:rPr>
                <w:rFonts w:ascii="Arial" w:cs="Arial" w:eastAsia="Arial" w:hAnsi="Arial"/>
                <w:sz w:val="16"/>
                <w:szCs w:val="16"/>
                <w:b w:val="1"/>
                <w:bCs w:val="1"/>
                <w:color w:val="auto"/>
              </w:rPr>
              <w:t>Change</w:t>
            </w:r>
          </w:p>
        </w:tc>
        <w:tc>
          <w:tcPr>
            <w:tcW w:w="1960" w:type="dxa"/>
            <w:vAlign w:val="bottom"/>
          </w:tcPr>
          <w:p>
            <w:pPr>
              <w:ind w:left="6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4"/>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40" w:type="dxa"/>
            <w:vAlign w:val="bottom"/>
            <w:gridSpan w:val="4"/>
          </w:tcPr>
          <w:p>
            <w:pPr>
              <w:ind w:left="320"/>
              <w:spacing w:after="0"/>
              <w:rPr>
                <w:sz w:val="20"/>
                <w:szCs w:val="20"/>
                <w:color w:val="auto"/>
              </w:rPr>
            </w:pPr>
            <w:r>
              <w:rPr>
                <w:rFonts w:ascii="Arial" w:cs="Arial" w:eastAsia="Arial" w:hAnsi="Arial"/>
                <w:sz w:val="16"/>
                <w:szCs w:val="16"/>
                <w:b w:val="1"/>
                <w:bCs w:val="1"/>
                <w:color w:val="auto"/>
              </w:rPr>
              <w:t>(in thousands, except percentages)</w:t>
            </w:r>
          </w:p>
        </w:tc>
        <w:tc>
          <w:tcPr>
            <w:tcW w:w="196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jc w:val="center"/>
              <w:ind w:right="1970"/>
              <w:spacing w:after="0"/>
              <w:rPr>
                <w:sz w:val="20"/>
                <w:szCs w:val="20"/>
                <w:color w:val="auto"/>
              </w:rPr>
            </w:pPr>
            <w:r>
              <w:rPr>
                <w:rFonts w:ascii="Arial" w:cs="Arial" w:eastAsia="Arial" w:hAnsi="Arial"/>
                <w:sz w:val="18"/>
                <w:szCs w:val="18"/>
                <w:color w:val="auto"/>
                <w:w w:val="90"/>
              </w:rPr>
              <w:t>Product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92"/>
              <w:spacing w:after="0"/>
              <w:rPr>
                <w:sz w:val="20"/>
                <w:szCs w:val="20"/>
                <w:color w:val="auto"/>
              </w:rPr>
            </w:pPr>
            <w:r>
              <w:rPr>
                <w:rFonts w:ascii="Arial" w:cs="Arial" w:eastAsia="Arial" w:hAnsi="Arial"/>
                <w:sz w:val="18"/>
                <w:szCs w:val="18"/>
                <w:color w:val="auto"/>
              </w:rPr>
              <w:t>243,824</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208,984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1"/>
              <w:spacing w:after="0"/>
              <w:rPr>
                <w:sz w:val="20"/>
                <w:szCs w:val="20"/>
                <w:color w:val="auto"/>
              </w:rPr>
            </w:pPr>
            <w:r>
              <w:rPr>
                <w:rFonts w:ascii="Arial" w:cs="Arial" w:eastAsia="Arial" w:hAnsi="Arial"/>
                <w:sz w:val="18"/>
                <w:szCs w:val="18"/>
                <w:color w:val="auto"/>
              </w:rPr>
              <w:t>34,840</w:t>
            </w:r>
          </w:p>
        </w:tc>
        <w:tc>
          <w:tcPr>
            <w:tcW w:w="1960" w:type="dxa"/>
            <w:vAlign w:val="bottom"/>
          </w:tcPr>
          <w:p>
            <w:pPr>
              <w:ind w:left="1600"/>
              <w:spacing w:after="0"/>
              <w:rPr>
                <w:sz w:val="20"/>
                <w:szCs w:val="20"/>
                <w:color w:val="auto"/>
              </w:rPr>
            </w:pPr>
            <w:r>
              <w:rPr>
                <w:rFonts w:ascii="Arial" w:cs="Arial" w:eastAsia="Arial" w:hAnsi="Arial"/>
                <w:sz w:val="18"/>
                <w:szCs w:val="18"/>
                <w:color w:val="auto"/>
                <w:w w:val="94"/>
              </w:rPr>
              <w:t>17%</w:t>
            </w:r>
          </w:p>
        </w:tc>
      </w:tr>
      <w:tr>
        <w:trPr>
          <w:trHeight w:val="27"/>
        </w:trPr>
        <w:tc>
          <w:tcPr>
            <w:tcW w:w="3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jc w:val="center"/>
              <w:ind w:right="1990"/>
              <w:spacing w:after="0"/>
              <w:rPr>
                <w:sz w:val="20"/>
                <w:szCs w:val="20"/>
                <w:color w:val="auto"/>
              </w:rPr>
            </w:pPr>
            <w:r>
              <w:rPr>
                <w:rFonts w:ascii="Arial" w:cs="Arial" w:eastAsia="Arial" w:hAnsi="Arial"/>
                <w:sz w:val="18"/>
                <w:szCs w:val="18"/>
                <w:color w:val="auto"/>
                <w:w w:val="89"/>
              </w:rPr>
              <w:t>Service</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141,460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128,853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12,607</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10</w:t>
            </w:r>
          </w:p>
        </w:tc>
      </w:tr>
      <w:tr>
        <w:trPr>
          <w:trHeight w:val="297"/>
        </w:trPr>
        <w:tc>
          <w:tcPr>
            <w:tcW w:w="3620" w:type="dxa"/>
            <w:vAlign w:val="bottom"/>
            <w:tcBorders>
              <w:bottom w:val="single" w:sz="8" w:color="CCEEFF"/>
            </w:tcBorders>
          </w:tcPr>
          <w:p>
            <w:pPr>
              <w:jc w:val="center"/>
              <w:ind w:right="1950"/>
              <w:spacing w:after="0"/>
              <w:rPr>
                <w:sz w:val="20"/>
                <w:szCs w:val="20"/>
                <w:color w:val="auto"/>
              </w:rPr>
            </w:pPr>
            <w:r>
              <w:rPr>
                <w:rFonts w:ascii="Arial" w:cs="Arial" w:eastAsia="Arial" w:hAnsi="Arial"/>
                <w:sz w:val="18"/>
                <w:szCs w:val="18"/>
                <w:color w:val="auto"/>
                <w:w w:val="89"/>
              </w:rPr>
              <w:t>Total cost of revenue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385,284</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337,837</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47,447</w:t>
            </w:r>
          </w:p>
        </w:tc>
        <w:tc>
          <w:tcPr>
            <w:tcW w:w="1960" w:type="dxa"/>
            <w:vAlign w:val="bottom"/>
            <w:tcBorders>
              <w:bottom w:val="single" w:sz="8" w:color="CCEEFF"/>
            </w:tcBorders>
          </w:tcPr>
          <w:p>
            <w:pPr>
              <w:ind w:left="1600"/>
              <w:spacing w:after="0"/>
              <w:rPr>
                <w:sz w:val="20"/>
                <w:szCs w:val="20"/>
                <w:color w:val="auto"/>
              </w:rPr>
            </w:pPr>
            <w:r>
              <w:rPr>
                <w:rFonts w:ascii="Arial" w:cs="Arial" w:eastAsia="Arial" w:hAnsi="Arial"/>
                <w:sz w:val="18"/>
                <w:szCs w:val="18"/>
                <w:color w:val="auto"/>
                <w:w w:val="94"/>
              </w:rPr>
              <w:t>14%</w:t>
            </w:r>
          </w:p>
        </w:tc>
      </w:tr>
      <w:tr>
        <w:trPr>
          <w:trHeight w:val="237"/>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3620" w:type="dxa"/>
            <w:vAlign w:val="bottom"/>
          </w:tcPr>
          <w:p>
            <w:pPr>
              <w:jc w:val="center"/>
              <w:ind w:right="1970"/>
              <w:spacing w:after="0"/>
              <w:rPr>
                <w:sz w:val="20"/>
                <w:szCs w:val="20"/>
                <w:color w:val="auto"/>
              </w:rPr>
            </w:pPr>
            <w:r>
              <w:rPr>
                <w:rFonts w:ascii="Arial" w:cs="Arial" w:eastAsia="Arial" w:hAnsi="Arial"/>
                <w:sz w:val="18"/>
                <w:szCs w:val="18"/>
                <w:color w:val="auto"/>
                <w:w w:val="90"/>
              </w:rPr>
              <w:t>Product</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w:t>
            </w:r>
          </w:p>
        </w:tc>
        <w:tc>
          <w:tcPr>
            <w:tcW w:w="196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jc w:val="center"/>
              <w:ind w:right="1990"/>
              <w:spacing w:after="0"/>
              <w:rPr>
                <w:sz w:val="20"/>
                <w:szCs w:val="20"/>
                <w:color w:val="auto"/>
              </w:rPr>
            </w:pPr>
            <w:r>
              <w:rPr>
                <w:rFonts w:ascii="Arial" w:cs="Arial" w:eastAsia="Arial" w:hAnsi="Arial"/>
                <w:sz w:val="18"/>
                <w:szCs w:val="18"/>
                <w:color w:val="auto"/>
                <w:w w:val="89"/>
              </w:rPr>
              <w:t>Service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0.7 %</w:t>
            </w:r>
          </w:p>
        </w:tc>
        <w:tc>
          <w:tcPr>
            <w:tcW w:w="1960" w:type="dxa"/>
            <w:vAlign w:val="bottom"/>
          </w:tcPr>
          <w:p>
            <w:pPr>
              <w:spacing w:after="0"/>
              <w:rPr>
                <w:sz w:val="21"/>
                <w:szCs w:val="21"/>
                <w:color w:val="auto"/>
              </w:rPr>
            </w:pPr>
          </w:p>
        </w:tc>
      </w:tr>
    </w:tbl>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Total gross margin increased by 0.7 percentage points in 2017 compared to 2016, driven by higher margin on service revenue. Service gross margin increased by 2.3 percentage points during 2017 as compared to 2016. Product gross margin decreased by 4.1 percentage points in 2017 compared to 2016. During 2017, service gross margin benefited from the shift to higher-margin service revenue. Product gross margin was negatively impacted by longer term deals and higher priced service bundles, resulting in lower product revenue recognized in 2017 and higher deferred revenue for services that will be recognized in future periods, and as a result of product costs being recognized upon shipment. As a result, the service margin expansion was partially offset by a decline in product gross margin in 2017. Total cost of product revenue was comprised primarily of direct and indirect cost of products sold, inventory reserves and other charges. Cost of service revenue was comprised primarily of personnel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ind w:left="4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gridSpan w:val="3"/>
          </w:tcPr>
          <w:p>
            <w:pPr>
              <w:jc w:val="right"/>
              <w:ind w:right="1055"/>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gridSpan w:val="3"/>
          </w:tcPr>
          <w:p>
            <w:pPr>
              <w:jc w:val="right"/>
              <w:ind w:right="1076"/>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21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40"/>
              <w:spacing w:after="0"/>
              <w:rPr>
                <w:sz w:val="20"/>
                <w:szCs w:val="20"/>
                <w:color w:val="auto"/>
              </w:rPr>
            </w:pPr>
            <w:r>
              <w:rPr>
                <w:rFonts w:ascii="Arial" w:cs="Arial" w:eastAsia="Arial" w:hAnsi="Arial"/>
                <w:sz w:val="16"/>
                <w:szCs w:val="16"/>
                <w:b w:val="1"/>
                <w:bCs w:val="1"/>
                <w:color w:val="auto"/>
                <w:w w:val="95"/>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210,614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183,084</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27,530</w:t>
            </w:r>
          </w:p>
        </w:tc>
        <w:tc>
          <w:tcPr>
            <w:tcW w:w="146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701,026</w:t>
            </w:r>
          </w:p>
        </w:tc>
        <w:tc>
          <w:tcPr>
            <w:tcW w:w="1480" w:type="dxa"/>
            <w:vAlign w:val="bottom"/>
            <w:tcBorders>
              <w:bottom w:val="single" w:sz="8" w:color="CCEEFF"/>
            </w:tcBorders>
            <w:gridSpan w:val="3"/>
            <w:shd w:val="clear" w:color="auto" w:fill="CCEEFF"/>
          </w:tcPr>
          <w:p>
            <w:pPr>
              <w:jc w:val="right"/>
              <w:ind w:right="95"/>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626,501</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74,525</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87,862</w:t>
            </w:r>
          </w:p>
        </w:tc>
        <w:tc>
          <w:tcPr>
            <w:tcW w:w="1480" w:type="dxa"/>
            <w:vAlign w:val="bottom"/>
            <w:gridSpan w:val="3"/>
          </w:tcPr>
          <w:p>
            <w:pPr>
              <w:jc w:val="right"/>
              <w:ind w:right="95"/>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81,080</w:t>
            </w:r>
          </w:p>
        </w:tc>
        <w:tc>
          <w:tcPr>
            <w:tcW w:w="1520" w:type="dxa"/>
            <w:vAlign w:val="bottom"/>
            <w:gridSpan w:val="3"/>
          </w:tcPr>
          <w:p>
            <w:pPr>
              <w:jc w:val="right"/>
              <w:ind w:right="11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6,782</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8</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w:t>
            </w: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999,842</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894,662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105,180</w:t>
            </w:r>
          </w:p>
        </w:tc>
        <w:tc>
          <w:tcPr>
            <w:tcW w:w="146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662"/>
        </w:trPr>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Research and development expense increased by $27.5 million, or 15%, in 2017 compared to 2016, primarily due to an increase of $17.6 million in personnel costs as a result of increased headcount to support the development of new products and continued enhancements of our existing products. In addition, product development costs, such as third-party testing and prototypes, increased by $6.2 million and depreciation and other occupancy-related costs increased by $3.1 million. We intend to continue to invest in our research and development organization, and expect research and development expense to increase in absolute dollars in 2018.</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Sales and marketing expense increased by $74.5 million, or 12%, in 2017 compared to 2016, primarily due to an increase of $55.1 million in personnel costs as we continued to increase our sales and marketing headcount in order to drive continued market share gains globally. Marketing-related expense increased by $11.9 million as we invested significantly in marketing programs to drive broader market awareness, build lead generation programs and accelerate pipeline. In addition, depreciation expense and other occupancy-related expense increased by $6.8 million. As a percentage of total revenue, sales and marketing expense decreased as revenue grew at a higher pace compared to personnel costs. We intend to continue to make investments in our sales resources and infrastructure and marketing strategy, which are critical to support growth, and expect sales and marketing expense to increase in absolute dollars in 2018.</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General and administrative expense increased by $6.8 million, or 8%, in 2017 compared to 2016. Personnel costs increased by $8.5 million as we continued to increase headcount in order to support our expanding business. Professional fees increased by $10.6 million, primarily due to the implementation of a new revenue recognition system and a litigation settlement expense of $1.8 million. The increase in expense was partially offset by a decrease in third-party costs of $13.4 million related to the substantial completion of our ERP system implementation in 2016. We expect general and administrative expense to increase in absolute dollars in 2018.</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Restructuring expenses of $0.3 million and $4.0 million in 2017 and 2016, respectively, primarily relate to our restructuring activities to improve operating efficiencies due to the acquisition of AccelOps and certain other activities. See Note 9 to the consolidated financial statements for additional details, including the types of expenses incurred and cash payments made.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margin</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We generated operating income of $109.8 million in 2017, an increase of $66.9 million, or 156%, compared to $42.9 million in 2016. The improvement in operating margin was primarily due to the improvement in gross margin, and the decline in sales and marketing expenses as a percentage of total revenue. As a percentage of total revenue, sales and marketing expenses decreased to 47% in 2017 from 49% in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3720" w:type="dxa"/>
            <w:vAlign w:val="bottom"/>
            <w:gridSpan w:val="4"/>
          </w:tcPr>
          <w:p>
            <w:pPr>
              <w:jc w:val="right"/>
              <w:ind w:right="854"/>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3"/>
        </w:trPr>
        <w:tc>
          <w:tcPr>
            <w:tcW w:w="3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1"/>
        </w:trPr>
        <w:tc>
          <w:tcPr>
            <w:tcW w:w="37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80" w:type="dxa"/>
            <w:vAlign w:val="bottom"/>
          </w:tcPr>
          <w:p>
            <w:pPr>
              <w:jc w:val="right"/>
              <w:ind w:right="654"/>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20"/>
                <w:szCs w:val="20"/>
                <w:color w:val="auto"/>
              </w:rPr>
            </w:pPr>
          </w:p>
        </w:tc>
        <w:tc>
          <w:tcPr>
            <w:tcW w:w="1740" w:type="dxa"/>
            <w:vAlign w:val="bottom"/>
          </w:tcPr>
          <w:p>
            <w:pPr>
              <w:jc w:val="right"/>
              <w:ind w:right="853"/>
              <w:spacing w:after="0"/>
              <w:rPr>
                <w:sz w:val="20"/>
                <w:szCs w:val="20"/>
                <w:color w:val="auto"/>
              </w:rPr>
            </w:pPr>
            <w:r>
              <w:rPr>
                <w:rFonts w:ascii="Arial" w:cs="Arial" w:eastAsia="Arial" w:hAnsi="Arial"/>
                <w:sz w:val="16"/>
                <w:szCs w:val="16"/>
                <w:b w:val="1"/>
                <w:bCs w:val="1"/>
                <w:color w:val="auto"/>
              </w:rPr>
              <w:t>Change</w:t>
            </w:r>
          </w:p>
        </w:tc>
        <w:tc>
          <w:tcPr>
            <w:tcW w:w="1740" w:type="dxa"/>
            <w:vAlign w:val="bottom"/>
          </w:tcPr>
          <w:p>
            <w:pPr>
              <w:jc w:val="right"/>
              <w:ind w:right="5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3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20" w:type="dxa"/>
            <w:vAlign w:val="bottom"/>
            <w:gridSpan w:val="3"/>
          </w:tcPr>
          <w:p>
            <w:pPr>
              <w:jc w:val="right"/>
              <w:ind w:right="833"/>
              <w:spacing w:after="0"/>
              <w:rPr>
                <w:sz w:val="20"/>
                <w:szCs w:val="20"/>
                <w:color w:val="auto"/>
              </w:rPr>
            </w:pPr>
            <w:r>
              <w:rPr>
                <w:rFonts w:ascii="Arial" w:cs="Arial" w:eastAsia="Arial" w:hAnsi="Arial"/>
                <w:sz w:val="16"/>
                <w:szCs w:val="16"/>
                <w:b w:val="1"/>
                <w:bCs w:val="1"/>
                <w:color w:val="auto"/>
                <w:w w:val="99"/>
              </w:rPr>
              <w:t>(in thousands, except percentages)</w:t>
            </w:r>
          </w:p>
        </w:tc>
        <w:tc>
          <w:tcPr>
            <w:tcW w:w="1740" w:type="dxa"/>
            <w:vAlign w:val="bottom"/>
          </w:tcPr>
          <w:p>
            <w:pPr>
              <w:spacing w:after="0"/>
              <w:rPr>
                <w:sz w:val="18"/>
                <w:szCs w:val="18"/>
                <w:color w:val="auto"/>
              </w:rPr>
            </w:pPr>
          </w:p>
        </w:tc>
      </w:tr>
      <w:tr>
        <w:trPr>
          <w:trHeight w:val="33"/>
        </w:trPr>
        <w:tc>
          <w:tcPr>
            <w:tcW w:w="3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13,482</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7,303</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6,179</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Other income (expense)—net</w:t>
            </w:r>
          </w:p>
        </w:tc>
        <w:tc>
          <w:tcPr>
            <w:tcW w:w="11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708</w:t>
            </w:r>
          </w:p>
        </w:tc>
        <w:tc>
          <w:tcPr>
            <w:tcW w:w="5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(7,099)</w:t>
            </w:r>
          </w:p>
        </w:tc>
        <w:tc>
          <w:tcPr>
            <w:tcW w:w="500" w:type="dxa"/>
            <w:vAlign w:val="bottom"/>
          </w:tcPr>
          <w:p>
            <w:pPr>
              <w:spacing w:after="0"/>
              <w:rPr>
                <w:sz w:val="21"/>
                <w:szCs w:val="21"/>
                <w:color w:val="auto"/>
              </w:rPr>
            </w:pPr>
          </w:p>
        </w:tc>
        <w:tc>
          <w:tcPr>
            <w:tcW w:w="1740" w:type="dxa"/>
            <w:vAlign w:val="bottom"/>
          </w:tcPr>
          <w:p>
            <w:pPr>
              <w:jc w:val="right"/>
              <w:ind w:right="313"/>
              <w:spacing w:after="0"/>
              <w:rPr>
                <w:sz w:val="20"/>
                <w:szCs w:val="20"/>
                <w:color w:val="auto"/>
              </w:rPr>
            </w:pPr>
            <w:r>
              <w:rPr>
                <w:rFonts w:ascii="Arial" w:cs="Arial" w:eastAsia="Arial" w:hAnsi="Arial"/>
                <w:sz w:val="18"/>
                <w:szCs w:val="18"/>
                <w:color w:val="auto"/>
              </w:rPr>
              <w:t>7,807</w:t>
            </w:r>
          </w:p>
        </w:tc>
        <w:tc>
          <w:tcPr>
            <w:tcW w:w="1740" w:type="dxa"/>
            <w:vAlign w:val="bottom"/>
          </w:tcPr>
          <w:p>
            <w:pPr>
              <w:jc w:val="right"/>
              <w:ind w:right="73"/>
              <w:spacing w:after="0"/>
              <w:rPr>
                <w:sz w:val="20"/>
                <w:szCs w:val="20"/>
                <w:color w:val="auto"/>
              </w:rPr>
            </w:pPr>
            <w:r>
              <w:rPr>
                <w:rFonts w:ascii="Arial" w:cs="Arial" w:eastAsia="Arial" w:hAnsi="Arial"/>
                <w:sz w:val="18"/>
                <w:szCs w:val="18"/>
                <w:color w:val="auto"/>
              </w:rPr>
              <w:t>(110)</w:t>
            </w:r>
          </w:p>
        </w:tc>
      </w:tr>
    </w:tbl>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Interest income increased in 2017 as compared to 2016, primarily due to higher interest rates on invested balances of cash, cash equivalents and investments. Interest income varies depending on our average investment balances during the period, types and mix of investments, and market interest rates. The change in other income (expense)—net in 2017 as compared to 2016 was the result of a gain of approximately $1.0 million for foreign currency exchange gains in 2017 compared to a loss of $6.6 million in 2016, due primarily to changes in the value of Euro relative to the U.S. dollar.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3840" w:type="dxa"/>
            <w:vAlign w:val="bottom"/>
            <w:gridSpan w:val="4"/>
          </w:tcPr>
          <w:p>
            <w:pPr>
              <w:jc w:val="right"/>
              <w:ind w:right="914"/>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1"/>
        </w:trPr>
        <w:tc>
          <w:tcPr>
            <w:tcW w:w="36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jc w:val="right"/>
              <w:ind w:right="694"/>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20"/>
                <w:szCs w:val="20"/>
                <w:color w:val="auto"/>
              </w:rPr>
            </w:pPr>
          </w:p>
        </w:tc>
        <w:tc>
          <w:tcPr>
            <w:tcW w:w="1780" w:type="dxa"/>
            <w:vAlign w:val="bottom"/>
          </w:tcPr>
          <w:p>
            <w:pPr>
              <w:jc w:val="right"/>
              <w:ind w:right="893"/>
              <w:spacing w:after="0"/>
              <w:rPr>
                <w:sz w:val="20"/>
                <w:szCs w:val="20"/>
                <w:color w:val="auto"/>
              </w:rPr>
            </w:pPr>
            <w:r>
              <w:rPr>
                <w:rFonts w:ascii="Arial" w:cs="Arial" w:eastAsia="Arial" w:hAnsi="Arial"/>
                <w:sz w:val="16"/>
                <w:szCs w:val="16"/>
                <w:b w:val="1"/>
                <w:bCs w:val="1"/>
                <w:color w:val="auto"/>
              </w:rPr>
              <w:t>Change</w:t>
            </w:r>
          </w:p>
        </w:tc>
        <w:tc>
          <w:tcPr>
            <w:tcW w:w="1660" w:type="dxa"/>
            <w:vAlign w:val="bottom"/>
          </w:tcPr>
          <w:p>
            <w:pPr>
              <w:jc w:val="right"/>
              <w:ind w:right="47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3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20" w:type="dxa"/>
            <w:vAlign w:val="bottom"/>
            <w:gridSpan w:val="3"/>
          </w:tcPr>
          <w:p>
            <w:pPr>
              <w:jc w:val="right"/>
              <w:ind w:right="953"/>
              <w:spacing w:after="0"/>
              <w:rPr>
                <w:sz w:val="20"/>
                <w:szCs w:val="20"/>
                <w:color w:val="auto"/>
              </w:rPr>
            </w:pPr>
            <w:r>
              <w:rPr>
                <w:rFonts w:ascii="Arial" w:cs="Arial" w:eastAsia="Arial" w:hAnsi="Arial"/>
                <w:sz w:val="16"/>
                <w:szCs w:val="16"/>
                <w:b w:val="1"/>
                <w:bCs w:val="1"/>
                <w:color w:val="auto"/>
                <w:w w:val="99"/>
              </w:rPr>
              <w:t>(in thousands, except percentages)</w:t>
            </w:r>
          </w:p>
        </w:tc>
        <w:tc>
          <w:tcPr>
            <w:tcW w:w="166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4"/>
              </w:rPr>
              <w:t>92,595</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10,961</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413"/>
              <w:spacing w:after="0"/>
              <w:rPr>
                <w:sz w:val="20"/>
                <w:szCs w:val="20"/>
                <w:color w:val="auto"/>
              </w:rPr>
            </w:pPr>
            <w:r>
              <w:rPr>
                <w:rFonts w:ascii="Arial" w:cs="Arial" w:eastAsia="Arial" w:hAnsi="Arial"/>
                <w:sz w:val="18"/>
                <w:szCs w:val="18"/>
                <w:color w:val="auto"/>
              </w:rPr>
              <w:t>81,634</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1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4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21"/>
                <w:szCs w:val="21"/>
                <w:color w:val="auto"/>
              </w:rPr>
            </w:pPr>
          </w:p>
        </w:tc>
        <w:tc>
          <w:tcPr>
            <w:tcW w:w="1780" w:type="dxa"/>
            <w:vAlign w:val="bottom"/>
          </w:tcPr>
          <w:p>
            <w:pPr>
              <w:jc w:val="right"/>
              <w:ind w:right="273"/>
              <w:spacing w:after="0"/>
              <w:rPr>
                <w:sz w:val="20"/>
                <w:szCs w:val="20"/>
                <w:color w:val="auto"/>
              </w:rPr>
            </w:pPr>
            <w:r>
              <w:rPr>
                <w:rFonts w:ascii="Arial" w:cs="Arial" w:eastAsia="Arial" w:hAnsi="Arial"/>
                <w:sz w:val="18"/>
                <w:szCs w:val="18"/>
                <w:color w:val="auto"/>
              </w:rPr>
              <w:t>50%</w:t>
            </w:r>
          </w:p>
        </w:tc>
        <w:tc>
          <w:tcPr>
            <w:tcW w:w="1660" w:type="dxa"/>
            <w:vAlign w:val="bottom"/>
          </w:tcPr>
          <w:p>
            <w:pPr>
              <w:jc w:val="right"/>
              <w:ind w:right="9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effective tax rate was 75% for 2017, compared to an effective tax rate of 25% for 2016. The provision for income taxes for 2017 was comprised primarily of U.S. federal and state taxes, other foreign income taxes, foreign withholding taxes, an increase in tax reserves, remeasurement of deferred tax assets and a one-time transition tax.</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December 2017, the U.S. federal government enacted the 2017 Tax Act. The 2017 Tax Act reduced the federal corporate income tax rate from 35% to 21% effective January 1, 2018 and created a territorial tax system with a one-time mandatory tax on foreign earnings of U.S. subsidiaries not previously subject to U.S. income tax. Under GAAP, changes in tax rates and tax law are accounted for in the period of enactment and deferred tax assets and liabilities are measured at the enacted tax rate.</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SEC staff has issued Staff Accounting Bulletin No. 118 (</w:t>
      </w:r>
      <w:r>
        <w:rPr>
          <w:rFonts w:ascii="Arial" w:cs="Arial" w:eastAsia="Arial" w:hAnsi="Arial"/>
          <w:sz w:val="18"/>
          <w:szCs w:val="18"/>
          <w:i w:val="1"/>
          <w:iCs w:val="1"/>
          <w:color w:val="auto"/>
        </w:rPr>
        <w:t>“</w:t>
      </w:r>
      <w:r>
        <w:rPr>
          <w:rFonts w:ascii="Arial" w:cs="Arial" w:eastAsia="Arial" w:hAnsi="Arial"/>
          <w:sz w:val="18"/>
          <w:szCs w:val="18"/>
          <w:color w:val="auto"/>
        </w:rPr>
        <w:t>SAB 118”), which provides guidance on accounting for the tax effects of the 2017 Tax Act. SAB 118 provides a measurement period that should not extend beyond one year from the 2017 Tax Act enactment date for companies to complete the accounting under ASC 740. In accordance with SAB 118, a company must reflect the income tax effects of those aspects of the 2017 Tax Act for which the accounting under ASC 740 is complete. To the extent that a company’s accounting for certain income tax effects of the 2017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2017 Tax Act.</w:t>
      </w:r>
    </w:p>
    <w:p>
      <w:pPr>
        <w:spacing w:after="0" w:line="18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increase in the effective tax rate in 2017 was primarily due to the deferred tax assets remeasurement and a one-time transition tax due to the 2017 Tax Act. Excluding the tax impact from the 2017 Tax Act, the 2017 effective tax rate would have been 24%, which was relatively consistent with 2016. In 2016, due to the early adoption of ASU 2016-09, approximately $10.8 million of excess tax benefits were recognized in the income tax provision. In 2017, $13.5 million of excess tax benefits was included in the income tax provision.</w:t>
      </w:r>
    </w:p>
    <w:p>
      <w:pPr>
        <w:spacing w:after="0" w:line="18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It is our policy to classify accrued interest and penalties related to unrecognized tax benefits in the provision for income taxes. As of December 31, 2017, we had accrued $13.5 million for estimated interest related to uncertain tax provisions compared to an accrual of $9.5 million as of December 31, 2016.</w:t>
      </w:r>
    </w:p>
    <w:p>
      <w:pPr>
        <w:spacing w:after="0" w:line="124"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It is reasonably possible that our gross unrecognized tax benefits will decrease by up to $12.0 million in the next 12 months, primarily due to the lapse of the statute of limitations and audit settlement. These adjustments, if recognized, would positively impact our effective tax rate, and would be recognized as additional tax benefits.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4"/>
          </w:tcPr>
          <w:p>
            <w:pPr>
              <w:ind w:left="4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00" w:type="dxa"/>
            <w:vAlign w:val="bottom"/>
            <w:gridSpan w:val="3"/>
          </w:tcPr>
          <w:p>
            <w:pPr>
              <w:jc w:val="right"/>
              <w:ind w:right="1057"/>
              <w:spacing w:after="0"/>
              <w:rPr>
                <w:sz w:val="20"/>
                <w:szCs w:val="20"/>
                <w:color w:val="auto"/>
              </w:rPr>
            </w:pPr>
            <w:r>
              <w:rPr>
                <w:rFonts w:ascii="Arial" w:cs="Arial" w:eastAsia="Arial" w:hAnsi="Arial"/>
                <w:sz w:val="16"/>
                <w:szCs w:val="16"/>
                <w:b w:val="1"/>
                <w:bCs w:val="1"/>
                <w:color w:val="auto"/>
                <w:w w:val="95"/>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20" w:type="dxa"/>
            <w:vAlign w:val="bottom"/>
            <w:gridSpan w:val="3"/>
          </w:tcPr>
          <w:p>
            <w:pPr>
              <w:jc w:val="right"/>
              <w:ind w:right="1076"/>
              <w:spacing w:after="0"/>
              <w:rPr>
                <w:sz w:val="20"/>
                <w:szCs w:val="20"/>
                <w:color w:val="auto"/>
              </w:rPr>
            </w:pPr>
            <w:r>
              <w:rPr>
                <w:rFonts w:ascii="Arial" w:cs="Arial" w:eastAsia="Arial" w:hAnsi="Arial"/>
                <w:sz w:val="16"/>
                <w:szCs w:val="16"/>
                <w:b w:val="1"/>
                <w:bCs w:val="1"/>
                <w:color w:val="auto"/>
                <w:w w:val="95"/>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51"/>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8"/>
                <w:szCs w:val="18"/>
                <w:color w:val="auto"/>
              </w:rPr>
            </w:pPr>
          </w:p>
        </w:tc>
        <w:tc>
          <w:tcPr>
            <w:tcW w:w="1020" w:type="dxa"/>
            <w:vAlign w:val="bottom"/>
          </w:tcPr>
          <w:p>
            <w:pPr>
              <w:jc w:val="right"/>
              <w:ind w:right="17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5"/>
          </w:tcPr>
          <w:p>
            <w:pPr>
              <w:ind w:left="20"/>
              <w:spacing w:after="0"/>
              <w:rPr>
                <w:sz w:val="20"/>
                <w:szCs w:val="20"/>
                <w:color w:val="auto"/>
              </w:rPr>
            </w:pPr>
            <w:r>
              <w:rPr>
                <w:rFonts w:ascii="Arial" w:cs="Arial" w:eastAsia="Arial" w:hAnsi="Arial"/>
                <w:sz w:val="16"/>
                <w:szCs w:val="16"/>
                <w:b w:val="1"/>
                <w:bCs w:val="1"/>
                <w:color w:val="auto"/>
                <w:w w:val="96"/>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548,110</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476,782</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71,328</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15%</w:t>
            </w: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727,333</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532,486</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194,847</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37</w:t>
            </w:r>
          </w:p>
        </w:tc>
      </w:tr>
      <w:tr>
        <w:trPr>
          <w:trHeight w:val="297"/>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1,275,443</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1,009,268</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266,175</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26%</w:t>
            </w: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536,706</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435,282</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101,424</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23%</w:t>
            </w: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477,393</w:t>
            </w:r>
          </w:p>
        </w:tc>
        <w:tc>
          <w:tcPr>
            <w:tcW w:w="150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366,018</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111,375</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30</w:t>
            </w: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APAC</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261,344</w:t>
            </w:r>
          </w:p>
        </w:tc>
        <w:tc>
          <w:tcPr>
            <w:tcW w:w="1500" w:type="dxa"/>
            <w:vAlign w:val="bottom"/>
            <w:gridSpan w:val="3"/>
          </w:tcPr>
          <w:p>
            <w:pPr>
              <w:jc w:val="right"/>
              <w:ind w:right="97"/>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207,968</w:t>
            </w:r>
          </w:p>
        </w:tc>
        <w:tc>
          <w:tcPr>
            <w:tcW w:w="1520" w:type="dxa"/>
            <w:vAlign w:val="bottom"/>
            <w:gridSpan w:val="3"/>
          </w:tcPr>
          <w:p>
            <w:pPr>
              <w:jc w:val="right"/>
              <w:ind w:right="11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53,376</w:t>
            </w:r>
          </w:p>
        </w:tc>
        <w:tc>
          <w:tcPr>
            <w:tcW w:w="1420" w:type="dxa"/>
            <w:vAlign w:val="bottom"/>
          </w:tcPr>
          <w:p>
            <w:pPr>
              <w:ind w:left="1060"/>
              <w:spacing w:after="0"/>
              <w:rPr>
                <w:sz w:val="20"/>
                <w:szCs w:val="20"/>
                <w:color w:val="auto"/>
              </w:rPr>
            </w:pPr>
            <w:r>
              <w:rPr>
                <w:rFonts w:ascii="Arial" w:cs="Arial" w:eastAsia="Arial" w:hAnsi="Arial"/>
                <w:sz w:val="18"/>
                <w:szCs w:val="18"/>
                <w:color w:val="auto"/>
              </w:rPr>
              <w:t>26</w:t>
            </w:r>
          </w:p>
        </w:tc>
      </w:tr>
      <w:tr>
        <w:trPr>
          <w:trHeight w:val="27"/>
        </w:trPr>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1,275,443</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1,009,268</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266,175</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26%</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Total revenue increased by $266.2 million, or 26%, in 2016 compared to 2015. We continued to experience global diversification of revenue in 2016. Revenue from all our regions grew, with EMEA contributing the largest portion of our revenue growth both on an absolute dollar and on a percentage basis. Product revenue increased by $71.3 million, or 15%, in 2016 compared to 2015. The increase in product revenue was primarily driven by greater sales volume in our FortiGate product family across all product categories and in particular for our high-end and mid-range products for large enterprise customers. Sales of non-FortiGate products also grew significantly. Service revenue increased by $194.8 million, or 37%, in 2016 compared to 2015. The increase in service revenue was primarily due to the recognition of revenue from our growing deferred revenue balance consisting of FortiGuard security subscription and FortiCare technical support contracts sold to a larger customer base, as well as the renewals of similar contracts sold in earlier periods. We started to see a shift from product revenues to higher-margin, recurring service revenues, which reflected our ongoing success in driving sales of service bundles.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5"/>
          </w:tcPr>
          <w:p>
            <w:pPr>
              <w:ind w:left="600"/>
              <w:spacing w:after="0"/>
              <w:rPr>
                <w:sz w:val="20"/>
                <w:szCs w:val="20"/>
                <w:color w:val="auto"/>
              </w:rPr>
            </w:pPr>
            <w:r>
              <w:rPr>
                <w:rFonts w:ascii="Arial" w:cs="Arial" w:eastAsia="Arial" w:hAnsi="Arial"/>
                <w:sz w:val="16"/>
                <w:szCs w:val="16"/>
                <w:b w:val="1"/>
                <w:bCs w:val="1"/>
                <w:color w:val="auto"/>
              </w:rPr>
              <w:t>Year Ended December 31,</w:t>
            </w: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1"/>
        </w:trPr>
        <w:tc>
          <w:tcPr>
            <w:tcW w:w="3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67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69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ind w:right="571"/>
              <w:spacing w:after="0"/>
              <w:rPr>
                <w:sz w:val="20"/>
                <w:szCs w:val="20"/>
                <w:color w:val="auto"/>
              </w:rPr>
            </w:pPr>
            <w:r>
              <w:rPr>
                <w:rFonts w:ascii="Arial" w:cs="Arial" w:eastAsia="Arial" w:hAnsi="Arial"/>
                <w:sz w:val="16"/>
                <w:szCs w:val="16"/>
                <w:b w:val="1"/>
                <w:bCs w:val="1"/>
                <w:color w:val="auto"/>
              </w:rPr>
              <w:t>Change</w:t>
            </w:r>
          </w:p>
        </w:tc>
        <w:tc>
          <w:tcPr>
            <w:tcW w:w="1980" w:type="dxa"/>
            <w:vAlign w:val="bottom"/>
          </w:tcPr>
          <w:p>
            <w:pPr>
              <w:ind w:left="6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4"/>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w w:val="99"/>
              </w:rPr>
              <w:t>(in thousands, except percentages)</w:t>
            </w:r>
          </w:p>
        </w:tc>
        <w:tc>
          <w:tcPr>
            <w:tcW w:w="1980" w:type="dxa"/>
            <w:vAlign w:val="bottom"/>
          </w:tcPr>
          <w:p>
            <w:pPr>
              <w:spacing w:after="0"/>
              <w:rPr>
                <w:sz w:val="18"/>
                <w:szCs w:val="18"/>
                <w:color w:val="auto"/>
              </w:rPr>
            </w:pPr>
          </w:p>
        </w:tc>
      </w:tr>
      <w:tr>
        <w:trPr>
          <w:trHeight w:val="33"/>
        </w:trPr>
        <w:tc>
          <w:tcPr>
            <w:tcW w:w="3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208,984</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12"/>
              <w:spacing w:after="0"/>
              <w:rPr>
                <w:sz w:val="20"/>
                <w:szCs w:val="20"/>
                <w:color w:val="auto"/>
              </w:rPr>
            </w:pPr>
            <w:r>
              <w:rPr>
                <w:rFonts w:ascii="Arial" w:cs="Arial" w:eastAsia="Arial" w:hAnsi="Arial"/>
                <w:sz w:val="18"/>
                <w:szCs w:val="18"/>
                <w:color w:val="auto"/>
              </w:rPr>
              <w:t>190,398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18,586</w:t>
            </w:r>
          </w:p>
        </w:tc>
        <w:tc>
          <w:tcPr>
            <w:tcW w:w="1980" w:type="dxa"/>
            <w:vAlign w:val="bottom"/>
          </w:tcPr>
          <w:p>
            <w:pPr>
              <w:ind w:left="1620"/>
              <w:spacing w:after="0"/>
              <w:rPr>
                <w:sz w:val="20"/>
                <w:szCs w:val="20"/>
                <w:color w:val="auto"/>
              </w:rPr>
            </w:pPr>
            <w:r>
              <w:rPr>
                <w:rFonts w:ascii="Arial" w:cs="Arial" w:eastAsia="Arial" w:hAnsi="Arial"/>
                <w:sz w:val="18"/>
                <w:szCs w:val="18"/>
                <w:color w:val="auto"/>
                <w:w w:val="94"/>
              </w:rPr>
              <w:t>10%</w:t>
            </w:r>
          </w:p>
        </w:tc>
      </w:tr>
      <w:tr>
        <w:trPr>
          <w:trHeight w:val="27"/>
        </w:trPr>
        <w:tc>
          <w:tcPr>
            <w:tcW w:w="3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128,853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96,379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32,474</w:t>
            </w:r>
          </w:p>
        </w:tc>
        <w:tc>
          <w:tcPr>
            <w:tcW w:w="19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34</w:t>
            </w:r>
          </w:p>
        </w:tc>
      </w:tr>
      <w:tr>
        <w:trPr>
          <w:trHeight w:val="297"/>
        </w:trPr>
        <w:tc>
          <w:tcPr>
            <w:tcW w:w="3640" w:type="dxa"/>
            <w:vAlign w:val="bottom"/>
            <w:tcBorders>
              <w:bottom w:val="single" w:sz="8" w:color="CCEEFF"/>
            </w:tcBorders>
          </w:tcPr>
          <w:p>
            <w:pPr>
              <w:jc w:val="center"/>
              <w:ind w:right="1970"/>
              <w:spacing w:after="0"/>
              <w:rPr>
                <w:sz w:val="20"/>
                <w:szCs w:val="20"/>
                <w:color w:val="auto"/>
              </w:rPr>
            </w:pPr>
            <w:r>
              <w:rPr>
                <w:rFonts w:ascii="Arial" w:cs="Arial" w:eastAsia="Arial" w:hAnsi="Arial"/>
                <w:sz w:val="18"/>
                <w:szCs w:val="18"/>
                <w:color w:val="auto"/>
                <w:w w:val="89"/>
              </w:rPr>
              <w:t>Total cost of revenue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337,837</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286,777</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51,060</w:t>
            </w:r>
          </w:p>
        </w:tc>
        <w:tc>
          <w:tcPr>
            <w:tcW w:w="1980" w:type="dxa"/>
            <w:vAlign w:val="bottom"/>
            <w:tcBorders>
              <w:bottom w:val="single" w:sz="8" w:color="CCEEFF"/>
            </w:tcBorders>
          </w:tcPr>
          <w:p>
            <w:pPr>
              <w:ind w:left="1620"/>
              <w:spacing w:after="0"/>
              <w:rPr>
                <w:sz w:val="20"/>
                <w:szCs w:val="20"/>
                <w:color w:val="auto"/>
              </w:rPr>
            </w:pPr>
            <w:r>
              <w:rPr>
                <w:rFonts w:ascii="Arial" w:cs="Arial" w:eastAsia="Arial" w:hAnsi="Arial"/>
                <w:sz w:val="18"/>
                <w:szCs w:val="18"/>
                <w:color w:val="auto"/>
                <w:w w:val="94"/>
              </w:rPr>
              <w:t>18%</w:t>
            </w:r>
          </w:p>
        </w:tc>
      </w:tr>
      <w:tr>
        <w:trPr>
          <w:trHeight w:val="237"/>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4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43"/>
        </w:trPr>
        <w:tc>
          <w:tcPr>
            <w:tcW w:w="3640" w:type="dxa"/>
            <w:vAlign w:val="bottom"/>
          </w:tcPr>
          <w:p>
            <w:pPr>
              <w:jc w:val="center"/>
              <w:ind w:right="1990"/>
              <w:spacing w:after="0"/>
              <w:rPr>
                <w:sz w:val="20"/>
                <w:szCs w:val="20"/>
                <w:color w:val="auto"/>
              </w:rPr>
            </w:pPr>
            <w:r>
              <w:rPr>
                <w:rFonts w:ascii="Arial" w:cs="Arial" w:eastAsia="Arial" w:hAnsi="Arial"/>
                <w:sz w:val="18"/>
                <w:szCs w:val="18"/>
                <w:color w:val="auto"/>
                <w:w w:val="90"/>
              </w:rPr>
              <w:t>Product</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1980" w:type="dxa"/>
            <w:vAlign w:val="bottom"/>
          </w:tcPr>
          <w:p>
            <w:pPr>
              <w:spacing w:after="0"/>
              <w:rPr>
                <w:sz w:val="21"/>
                <w:szCs w:val="21"/>
                <w:color w:val="auto"/>
              </w:rPr>
            </w:pPr>
          </w:p>
        </w:tc>
      </w:tr>
      <w:tr>
        <w:trPr>
          <w:trHeight w:val="27"/>
        </w:trPr>
        <w:tc>
          <w:tcPr>
            <w:tcW w:w="3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jc w:val="center"/>
              <w:ind w:right="2010"/>
              <w:spacing w:after="0"/>
              <w:rPr>
                <w:sz w:val="20"/>
                <w:szCs w:val="20"/>
                <w:color w:val="auto"/>
              </w:rPr>
            </w:pPr>
            <w:r>
              <w:rPr>
                <w:rFonts w:ascii="Arial" w:cs="Arial" w:eastAsia="Arial" w:hAnsi="Arial"/>
                <w:sz w:val="18"/>
                <w:szCs w:val="18"/>
                <w:color w:val="auto"/>
                <w:w w:val="89"/>
              </w:rPr>
              <w:t>Service</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0.4</w:t>
            </w: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w:t>
            </w:r>
          </w:p>
        </w:tc>
        <w:tc>
          <w:tcPr>
            <w:tcW w:w="1980" w:type="dxa"/>
            <w:vAlign w:val="bottom"/>
          </w:tcPr>
          <w:p>
            <w:pPr>
              <w:spacing w:after="0"/>
              <w:rPr>
                <w:sz w:val="21"/>
                <w:szCs w:val="21"/>
                <w:color w:val="auto"/>
              </w:rPr>
            </w:pPr>
          </w:p>
        </w:tc>
      </w:tr>
    </w:tbl>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Total gross margin increased by 1.9 percentage points in 2016 compared to 2015, as both product and service gross margins increased. Product gross margin increased by 1.8 percentage points in 2016 compared to 2015. Product gross margin was positively impacted by higher sales of software products such as certain of our virtualized security solutions and by lower warranty related costs, and was partially offset by higher inventory reserves.</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Service gross margin increased during 2016 as compared to 2015, as we scaled efficiencies resulting from an increased mix on higher-margin service revenue. Cost of service revenue was comprised primarily of personnel costs.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4"/>
          </w:tcPr>
          <w:p>
            <w:pPr>
              <w:ind w:left="48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gridSpan w:val="3"/>
          </w:tcPr>
          <w:p>
            <w:pPr>
              <w:jc w:val="right"/>
              <w:ind w:right="1057"/>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20" w:type="dxa"/>
            <w:vAlign w:val="bottom"/>
            <w:gridSpan w:val="3"/>
          </w:tcPr>
          <w:p>
            <w:pPr>
              <w:jc w:val="right"/>
              <w:ind w:right="1076"/>
              <w:spacing w:after="0"/>
              <w:rPr>
                <w:sz w:val="20"/>
                <w:szCs w:val="20"/>
                <w:color w:val="auto"/>
              </w:rPr>
            </w:pPr>
            <w:r>
              <w:rPr>
                <w:rFonts w:ascii="Arial" w:cs="Arial" w:eastAsia="Arial" w:hAnsi="Arial"/>
                <w:sz w:val="16"/>
                <w:szCs w:val="16"/>
                <w:b w:val="1"/>
                <w:bCs w:val="1"/>
                <w:color w:val="auto"/>
                <w:w w:val="95"/>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71"/>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360"/>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8"/>
                <w:szCs w:val="18"/>
                <w:color w:val="auto"/>
              </w:rPr>
            </w:pPr>
          </w:p>
        </w:tc>
        <w:tc>
          <w:tcPr>
            <w:tcW w:w="100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21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ind w:left="40"/>
              <w:spacing w:after="0"/>
              <w:rPr>
                <w:sz w:val="20"/>
                <w:szCs w:val="20"/>
                <w:color w:val="auto"/>
              </w:rPr>
            </w:pPr>
            <w:r>
              <w:rPr>
                <w:rFonts w:ascii="Arial" w:cs="Arial" w:eastAsia="Arial" w:hAnsi="Arial"/>
                <w:sz w:val="16"/>
                <w:szCs w:val="16"/>
                <w:b w:val="1"/>
                <w:bCs w:val="1"/>
                <w:color w:val="auto"/>
                <w:w w:val="95"/>
              </w:rPr>
              <w:t>(in thousands,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183,084</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158,129</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24,955</w:t>
            </w:r>
          </w:p>
        </w:tc>
        <w:tc>
          <w:tcPr>
            <w:tcW w:w="14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626,501</w:t>
            </w:r>
          </w:p>
        </w:tc>
        <w:tc>
          <w:tcPr>
            <w:tcW w:w="148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470,371</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156,130</w:t>
            </w:r>
          </w:p>
        </w:tc>
        <w:tc>
          <w:tcPr>
            <w:tcW w:w="1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33</w:t>
            </w:r>
          </w:p>
        </w:tc>
      </w:tr>
      <w:tr>
        <w:trPr>
          <w:trHeight w:val="243"/>
        </w:trPr>
        <w:tc>
          <w:tcPr>
            <w:tcW w:w="320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81,080</w:t>
            </w:r>
          </w:p>
        </w:tc>
        <w:tc>
          <w:tcPr>
            <w:tcW w:w="1480" w:type="dxa"/>
            <w:vAlign w:val="bottom"/>
            <w:gridSpan w:val="3"/>
          </w:tcPr>
          <w:p>
            <w:pPr>
              <w:jc w:val="right"/>
              <w:ind w:right="97"/>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71,514</w:t>
            </w:r>
          </w:p>
        </w:tc>
        <w:tc>
          <w:tcPr>
            <w:tcW w:w="1520" w:type="dxa"/>
            <w:vAlign w:val="bottom"/>
            <w:gridSpan w:val="3"/>
          </w:tcPr>
          <w:p>
            <w:pPr>
              <w:jc w:val="right"/>
              <w:ind w:right="11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9,566</w:t>
            </w:r>
          </w:p>
        </w:tc>
        <w:tc>
          <w:tcPr>
            <w:tcW w:w="1460" w:type="dxa"/>
            <w:vAlign w:val="bottom"/>
          </w:tcPr>
          <w:p>
            <w:pPr>
              <w:jc w:val="right"/>
              <w:ind w:right="131"/>
              <w:spacing w:after="0"/>
              <w:rPr>
                <w:sz w:val="20"/>
                <w:szCs w:val="20"/>
                <w:color w:val="auto"/>
              </w:rPr>
            </w:pPr>
            <w:r>
              <w:rPr>
                <w:rFonts w:ascii="Arial" w:cs="Arial" w:eastAsia="Arial" w:hAnsi="Arial"/>
                <w:sz w:val="18"/>
                <w:szCs w:val="18"/>
                <w:color w:val="auto"/>
              </w:rPr>
              <w:t>13</w:t>
            </w:r>
          </w:p>
        </w:tc>
      </w:tr>
      <w:tr>
        <w:trPr>
          <w:trHeight w:val="27"/>
        </w:trPr>
        <w:tc>
          <w:tcPr>
            <w:tcW w:w="3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480" w:type="dxa"/>
            <w:vAlign w:val="bottom"/>
            <w:tcBorders>
              <w:bottom w:val="single" w:sz="8" w:color="CCEEFF"/>
            </w:tcBorders>
            <w:gridSpan w:val="3"/>
            <w:shd w:val="clear" w:color="auto" w:fill="CCEEFF"/>
          </w:tcPr>
          <w:p>
            <w:pPr>
              <w:jc w:val="right"/>
              <w:ind w:right="97"/>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w:t>
            </w: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894,662</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707,614</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187,048</w:t>
            </w:r>
          </w:p>
        </w:tc>
        <w:tc>
          <w:tcPr>
            <w:tcW w:w="146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0"/>
        </w:trPr>
        <w:tc>
          <w:tcPr>
            <w:tcW w:w="3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Research and development expense increased by $25.0 million, or 16%, in 2016 compared to 2015, primarily due to an increase of $19.0 million in personnel costs as a result of increased headcount to support the development of new products and continued enhancements of our existing products. Depreciation and other occupancy-related costs increased by $6.6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Sales and marketing expense increased by $156.1 million, or 33%, in 2016 compared to 2015, primarily due to an increase of $122.3 million in personnel costs as we continued to increase our sales and marketing headcount in order to drive continued market share gains globally. In addition, depreciation expense and other occupancy-related expense increased by $14.0 million, and travel and entertainment expense increased by $8.1 million. Marketing-related expense increased by $7.6 million as we invested significantly in marketing programs, particularly in the large enterprise market, including costs related to trade shows and lead generation. As a percentage of total revenue, sales and marketing expense increased as we accelerated the investment in our sales force and marketing programs to drive future growth.</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General and administrative expense increased by $9.6 million, or 13%, in 2016 compared to 2015. Personnel costs increased by $9.6 million as we continued to increase headcount in order to support our expanding business and ERP implementation. During 2016, we expensed $7.8 million of third-party costs relating to the implementation and maintenance of the ERP system implementation compared to $5.4 million in 2015. These increases were partially offset by lower professional fees of $6.7 million in 2016.</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Restructuring expenses of $4.0 million in 2016 primarily relate to our restructuring activities to improve operating efficiencies due to the acquisition of AccelOps and certain other activities. Restructuring charges of $7.6 million during 2015 relate to restructuring activities in connection with the Meru acquisition. See Note 9 to the consolidated financial statements for additional details, including the types of expenses incurred and cash payments made.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margin</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We generated operating income of $42.9 million in 2016, an increase of $28.0 million, or 189%, compared to operating income of $14.9 million in 2015. The improvement in operating margin was primarily due to the improvement in gross margin, and the decline in general and administrative expenses as a percentage of total revenue. As a percentage of total revenue, general and administrative expenses decreased to 6% in 2016 from 7% in 2015.</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3740" w:type="dxa"/>
            <w:vAlign w:val="bottom"/>
            <w:gridSpan w:val="4"/>
          </w:tcPr>
          <w:p>
            <w:pPr>
              <w:jc w:val="right"/>
              <w:ind w:right="874"/>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374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Arial" w:cs="Arial" w:eastAsia="Arial" w:hAnsi="Arial"/>
                <w:sz w:val="16"/>
                <w:szCs w:val="16"/>
                <w:b w:val="1"/>
                <w:bCs w:val="1"/>
                <w:color w:val="auto"/>
              </w:rPr>
              <w:t>2016</w:t>
            </w: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80" w:type="dxa"/>
            <w:vAlign w:val="bottom"/>
          </w:tcPr>
          <w:p>
            <w:pPr>
              <w:jc w:val="right"/>
              <w:ind w:right="654"/>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20"/>
                <w:szCs w:val="20"/>
                <w:color w:val="auto"/>
              </w:rPr>
            </w:pPr>
          </w:p>
        </w:tc>
        <w:tc>
          <w:tcPr>
            <w:tcW w:w="1760" w:type="dxa"/>
            <w:vAlign w:val="bottom"/>
          </w:tcPr>
          <w:p>
            <w:pPr>
              <w:jc w:val="right"/>
              <w:ind w:right="87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40" w:type="dxa"/>
            <w:vAlign w:val="bottom"/>
            <w:gridSpan w:val="3"/>
          </w:tcPr>
          <w:p>
            <w:pPr>
              <w:jc w:val="right"/>
              <w:ind w:right="873"/>
              <w:spacing w:after="0"/>
              <w:rPr>
                <w:sz w:val="20"/>
                <w:szCs w:val="20"/>
                <w:color w:val="auto"/>
              </w:rPr>
            </w:pPr>
            <w:r>
              <w:rPr>
                <w:rFonts w:ascii="Arial" w:cs="Arial" w:eastAsia="Arial" w:hAnsi="Arial"/>
                <w:sz w:val="16"/>
                <w:szCs w:val="16"/>
                <w:b w:val="1"/>
                <w:bCs w:val="1"/>
                <w:color w:val="auto"/>
                <w:w w:val="99"/>
              </w:rPr>
              <w:t>(in thousands, except percentages)</w:t>
            </w: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7,303</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5,295</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2,008</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income (expense)—net</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(7,099)</w:t>
            </w: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(3,167)</w:t>
            </w:r>
          </w:p>
        </w:tc>
        <w:tc>
          <w:tcPr>
            <w:tcW w:w="500" w:type="dxa"/>
            <w:vAlign w:val="bottom"/>
          </w:tcPr>
          <w:p>
            <w:pPr>
              <w:spacing w:after="0"/>
              <w:rPr>
                <w:sz w:val="21"/>
                <w:szCs w:val="21"/>
                <w:color w:val="auto"/>
              </w:rPr>
            </w:pPr>
          </w:p>
        </w:tc>
        <w:tc>
          <w:tcPr>
            <w:tcW w:w="1760" w:type="dxa"/>
            <w:vAlign w:val="bottom"/>
          </w:tcPr>
          <w:p>
            <w:pPr>
              <w:jc w:val="right"/>
              <w:ind w:right="273"/>
              <w:spacing w:after="0"/>
              <w:rPr>
                <w:sz w:val="20"/>
                <w:szCs w:val="20"/>
                <w:color w:val="auto"/>
              </w:rPr>
            </w:pPr>
            <w:r>
              <w:rPr>
                <w:rFonts w:ascii="Arial" w:cs="Arial" w:eastAsia="Arial" w:hAnsi="Arial"/>
                <w:sz w:val="18"/>
                <w:szCs w:val="18"/>
                <w:color w:val="auto"/>
              </w:rPr>
              <w:t>(3,932)</w:t>
            </w:r>
          </w:p>
        </w:tc>
        <w:tc>
          <w:tcPr>
            <w:tcW w:w="1680" w:type="dxa"/>
            <w:vAlign w:val="bottom"/>
          </w:tcPr>
          <w:p>
            <w:pPr>
              <w:jc w:val="right"/>
              <w:ind w:right="93"/>
              <w:spacing w:after="0"/>
              <w:rPr>
                <w:sz w:val="20"/>
                <w:szCs w:val="20"/>
                <w:color w:val="auto"/>
              </w:rPr>
            </w:pPr>
            <w:r>
              <w:rPr>
                <w:rFonts w:ascii="Arial" w:cs="Arial" w:eastAsia="Arial" w:hAnsi="Arial"/>
                <w:sz w:val="18"/>
                <w:szCs w:val="18"/>
                <w:color w:val="auto"/>
              </w:rPr>
              <w:t>124</w:t>
            </w:r>
          </w:p>
        </w:tc>
      </w:tr>
    </w:tbl>
    <w:p>
      <w:pPr>
        <w:spacing w:after="0" w:line="229"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Interest income increased in 2016 as compared to 2015, primarily due to higher interest earned on invested balances of cash, cash equivalents and investments. Interest income varies depending on our average investment balances during the period, types and mix of investments, and market interest rates. The increase in other expense—net in 2016 as compared to 2015 was the result of higher foreign currency exchange losses.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820" w:type="dxa"/>
            <w:vAlign w:val="bottom"/>
            <w:gridSpan w:val="4"/>
          </w:tcPr>
          <w:p>
            <w:pPr>
              <w:jc w:val="right"/>
              <w:ind w:right="914"/>
              <w:spacing w:after="0"/>
              <w:rPr>
                <w:sz w:val="20"/>
                <w:szCs w:val="20"/>
                <w:color w:val="auto"/>
              </w:rPr>
            </w:pPr>
            <w:r>
              <w:rPr>
                <w:rFonts w:ascii="Arial" w:cs="Arial" w:eastAsia="Arial" w:hAnsi="Arial"/>
                <w:sz w:val="16"/>
                <w:szCs w:val="16"/>
                <w:b w:val="1"/>
                <w:bCs w:val="1"/>
                <w:color w:val="auto"/>
              </w:rPr>
              <w:t>Year Ended December 31,</w:t>
            </w:r>
          </w:p>
        </w:tc>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1"/>
        </w:trPr>
        <w:tc>
          <w:tcPr>
            <w:tcW w:w="36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ind w:left="320"/>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20"/>
                <w:szCs w:val="20"/>
                <w:color w:val="auto"/>
              </w:rPr>
            </w:pPr>
          </w:p>
        </w:tc>
        <w:tc>
          <w:tcPr>
            <w:tcW w:w="1840" w:type="dxa"/>
            <w:vAlign w:val="bottom"/>
          </w:tcPr>
          <w:p>
            <w:pPr>
              <w:jc w:val="right"/>
              <w:ind w:right="933"/>
              <w:spacing w:after="0"/>
              <w:rPr>
                <w:sz w:val="20"/>
                <w:szCs w:val="20"/>
                <w:color w:val="auto"/>
              </w:rPr>
            </w:pPr>
            <w:r>
              <w:rPr>
                <w:rFonts w:ascii="Arial" w:cs="Arial" w:eastAsia="Arial" w:hAnsi="Arial"/>
                <w:sz w:val="16"/>
                <w:szCs w:val="16"/>
                <w:b w:val="1"/>
                <w:bCs w:val="1"/>
                <w:color w:val="auto"/>
              </w:rPr>
              <w:t>Change</w:t>
            </w:r>
          </w:p>
        </w:tc>
        <w:tc>
          <w:tcPr>
            <w:tcW w:w="1640" w:type="dxa"/>
            <w:vAlign w:val="bottom"/>
          </w:tcPr>
          <w:p>
            <w:pPr>
              <w:ind w:left="34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3"/>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760" w:type="dxa"/>
            <w:vAlign w:val="bottom"/>
            <w:gridSpan w:val="3"/>
          </w:tcPr>
          <w:p>
            <w:pPr>
              <w:ind w:left="320"/>
              <w:spacing w:after="0"/>
              <w:rPr>
                <w:sz w:val="20"/>
                <w:szCs w:val="20"/>
                <w:color w:val="auto"/>
              </w:rPr>
            </w:pPr>
            <w:r>
              <w:rPr>
                <w:rFonts w:ascii="Arial" w:cs="Arial" w:eastAsia="Arial" w:hAnsi="Arial"/>
                <w:sz w:val="16"/>
                <w:szCs w:val="16"/>
                <w:b w:val="1"/>
                <w:bCs w:val="1"/>
                <w:color w:val="auto"/>
              </w:rPr>
              <w:t>(in thousands, except percentages)</w:t>
            </w:r>
          </w:p>
        </w:tc>
        <w:tc>
          <w:tcPr>
            <w:tcW w:w="164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14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0"/>
              </w:rPr>
              <w:t>10,961</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9,018</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rPr>
              <w:t>1,943</w:t>
            </w:r>
          </w:p>
        </w:tc>
        <w:tc>
          <w:tcPr>
            <w:tcW w:w="164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w w:val="94"/>
              </w:rPr>
              <w:t>22%</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c>
          <w:tcPr>
            <w:tcW w:w="500" w:type="dxa"/>
            <w:vAlign w:val="bottom"/>
          </w:tcPr>
          <w:p>
            <w:pPr>
              <w:spacing w:after="0"/>
              <w:rPr>
                <w:sz w:val="21"/>
                <w:szCs w:val="21"/>
                <w:color w:val="auto"/>
              </w:rPr>
            </w:pPr>
          </w:p>
        </w:tc>
        <w:tc>
          <w:tcPr>
            <w:tcW w:w="1840" w:type="dxa"/>
            <w:vAlign w:val="bottom"/>
          </w:tcPr>
          <w:p>
            <w:pPr>
              <w:jc w:val="right"/>
              <w:ind w:right="273"/>
              <w:spacing w:after="0"/>
              <w:rPr>
                <w:sz w:val="20"/>
                <w:szCs w:val="20"/>
                <w:color w:val="auto"/>
              </w:rPr>
            </w:pPr>
            <w:r>
              <w:rPr>
                <w:rFonts w:ascii="Arial" w:cs="Arial" w:eastAsia="Arial" w:hAnsi="Arial"/>
                <w:sz w:val="18"/>
                <w:szCs w:val="18"/>
                <w:color w:val="auto"/>
              </w:rPr>
              <w:t>(28)%</w:t>
            </w:r>
          </w:p>
        </w:tc>
        <w:tc>
          <w:tcPr>
            <w:tcW w:w="1640" w:type="dxa"/>
            <w:vAlign w:val="bottom"/>
          </w:tcPr>
          <w:p>
            <w:pPr>
              <w:ind w:left="128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Our effective tax rate was 25% for 2016, compared with an effective tax rate of 53% for 2015. The provision for income taxes for 2016 was comprised primarily of U.S. federal and state taxes, other foreign income taxes, foreign withholding taxes, an increase in tax reserves, as well as transfer pricing allocations that impact jurisdictional income taxed at various tax rates. The decrease in the effective tax rate in 2016 was primarily due to the recognition of excess tax benefits for income tax provision from the adoption of ASU 2016-09. In 2016, due to the early adoption of ASU 2016-09, approximately $10.8 million of excess tax benefits were recognized in the income tax provision. In 2015, there were no excess tax benefits included in the income tax provision.</w:t>
      </w:r>
    </w:p>
    <w:p>
      <w:pPr>
        <w:spacing w:after="0" w:line="193"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It is our policy to classify accrued interest and penalties related to unrecognized tax benefits in the provision for income taxes. As of December 31, 2016, we had accrued $9.5 million for estimated interest related to uncertain tax provisions compared to an accrual of $5.5 million as of December 31, 2015.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 of Operations</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following table sets forth our unaudited quarterly statements of operations data for the last eight quarters. The information for each of these quarters has been prepared on the same basis as the audited annual financial statements included elsewhere in this Annual Report and, in the opinion of management, includes all adjustments, which includes only normal recurring adjustments, necessary for the fair presentation of the results of operations for these periods. This data should be read in conjunction with our audited consolidated financial statements and related notes included elsewhere in this annual report. These quarterly operating results are not necessarily indicative of our operating results for any future period.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 31,</w:t>
            </w: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 30,</w:t>
            </w:r>
          </w:p>
        </w:tc>
        <w:tc>
          <w:tcPr>
            <w:tcW w:w="14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Jun 30,</w:t>
            </w:r>
          </w:p>
        </w:tc>
        <w:tc>
          <w:tcPr>
            <w:tcW w:w="16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Mar 31,</w:t>
            </w:r>
          </w:p>
        </w:tc>
        <w:tc>
          <w:tcPr>
            <w:tcW w:w="16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 31,</w:t>
            </w:r>
          </w:p>
        </w:tc>
        <w:tc>
          <w:tcPr>
            <w:tcW w:w="16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 30,</w:t>
            </w:r>
          </w:p>
        </w:tc>
        <w:tc>
          <w:tcPr>
            <w:tcW w:w="16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Jun 30,</w:t>
            </w:r>
          </w:p>
        </w:tc>
        <w:tc>
          <w:tcPr>
            <w:tcW w:w="14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6"/>
                <w:szCs w:val="16"/>
                <w:b w:val="1"/>
                <w:bCs w:val="1"/>
                <w:color w:val="auto"/>
              </w:rPr>
              <w:t>Mar 31,</w:t>
            </w:r>
          </w:p>
        </w:tc>
      </w:t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1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9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2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9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11"/>
              <w:spacing w:after="0"/>
              <w:rPr>
                <w:sz w:val="20"/>
                <w:szCs w:val="20"/>
                <w:color w:val="auto"/>
              </w:rPr>
            </w:pPr>
            <w:r>
              <w:rPr>
                <w:rFonts w:ascii="Arial" w:cs="Arial" w:eastAsia="Arial" w:hAnsi="Arial"/>
                <w:sz w:val="16"/>
                <w:szCs w:val="16"/>
                <w:b w:val="1"/>
                <w:bCs w:val="1"/>
                <w:color w:val="auto"/>
              </w:rPr>
              <w:t>2016</w:t>
            </w: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11"/>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11"/>
          </w:tcPr>
          <w:p>
            <w:pPr>
              <w:ind w:left="380"/>
              <w:spacing w:after="0"/>
              <w:rPr>
                <w:sz w:val="20"/>
                <w:szCs w:val="20"/>
                <w:color w:val="auto"/>
              </w:rPr>
            </w:pPr>
            <w:r>
              <w:rPr>
                <w:rFonts w:ascii="Arial" w:cs="Arial" w:eastAsia="Arial" w:hAnsi="Arial"/>
                <w:sz w:val="16"/>
                <w:szCs w:val="16"/>
                <w:b w:val="1"/>
                <w:bCs w:val="1"/>
                <w:color w:val="auto"/>
              </w:rPr>
              <w:t>(in thousands, except per share amounts)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5"/>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7"/>
              </w:rPr>
              <w:t>Consolidated Statements of Operations</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Data:</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162,118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137,095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142,705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135,253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158,925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127,972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136,641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124,572</w:t>
            </w:r>
          </w:p>
        </w:tc>
      </w:tr>
      <w:tr>
        <w:trPr>
          <w:trHeight w:val="243"/>
        </w:trPr>
        <w:tc>
          <w:tcPr>
            <w:tcW w:w="3340" w:type="dxa"/>
            <w:vAlign w:val="bottom"/>
          </w:tcPr>
          <w:p>
            <w:pPr>
              <w:ind w:left="380"/>
              <w:spacing w:after="0"/>
              <w:rPr>
                <w:sz w:val="20"/>
                <w:szCs w:val="20"/>
                <w:color w:val="auto"/>
              </w:rPr>
            </w:pPr>
            <w:r>
              <w:rPr>
                <w:rFonts w:ascii="Arial" w:cs="Arial" w:eastAsia="Arial" w:hAnsi="Arial"/>
                <w:sz w:val="18"/>
                <w:szCs w:val="18"/>
                <w:color w:val="auto"/>
              </w:rPr>
              <w:t>Service</w:t>
            </w:r>
          </w:p>
        </w:tc>
        <w:tc>
          <w:tcPr>
            <w:tcW w:w="1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254,550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w w:val="98"/>
              </w:rPr>
              <w:t>237,122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w w:val="95"/>
              </w:rPr>
              <w:t>220,764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205,323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203,905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w w:val="95"/>
              </w:rPr>
              <w:t>188,674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174,750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8"/>
              </w:rPr>
              <w:t>160,004</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3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416,668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374,217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363,469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340,576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362,830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5"/>
              </w:rPr>
              <w:t>316,646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311,391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284,576</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Product </w:t>
            </w:r>
            <w:r>
              <w:rPr>
                <w:rFonts w:ascii="Arial" w:cs="Arial" w:eastAsia="Arial" w:hAnsi="Arial"/>
                <w:sz w:val="18"/>
                <w:szCs w:val="18"/>
                <w:color w:val="auto"/>
                <w:vertAlign w:val="superscript"/>
              </w:rPr>
              <w:t>(1)(2)</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69,634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58,106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60,787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55,297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56,616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50,267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52,788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49,313</w:t>
            </w:r>
          </w:p>
        </w:tc>
      </w:tr>
      <w:tr>
        <w:trPr>
          <w:trHeight w:val="264"/>
        </w:trPr>
        <w:tc>
          <w:tcPr>
            <w:tcW w:w="3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 xml:space="preserve">Service </w:t>
            </w:r>
            <w:r>
              <w:rPr>
                <w:rFonts w:ascii="Arial" w:cs="Arial" w:eastAsia="Arial" w:hAnsi="Arial"/>
                <w:sz w:val="18"/>
                <w:szCs w:val="18"/>
                <w:color w:val="auto"/>
                <w:vertAlign w:val="superscript"/>
              </w:rPr>
              <w:t>(1)(2)</w:t>
            </w: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35,785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35,543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34,865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35,267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34,275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34,532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31,715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28,331</w:t>
            </w:r>
          </w:p>
        </w:tc>
      </w:tr>
      <w:tr>
        <w:trPr>
          <w:trHeight w:val="270"/>
        </w:trPr>
        <w:tc>
          <w:tcPr>
            <w:tcW w:w="3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cost of revenue</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8"/>
              </w:rPr>
              <w:t>105,419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93,649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95,652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90,564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77,644</w:t>
            </w:r>
          </w:p>
        </w:tc>
      </w:tr>
      <w:tr>
        <w:trPr>
          <w:trHeight w:val="237"/>
        </w:trPr>
        <w:tc>
          <w:tcPr>
            <w:tcW w:w="3340" w:type="dxa"/>
            <w:vAlign w:val="bottom"/>
          </w:tcPr>
          <w:p>
            <w:pPr>
              <w:ind w:left="820"/>
              <w:spacing w:after="0"/>
              <w:rPr>
                <w:sz w:val="20"/>
                <w:szCs w:val="20"/>
                <w:color w:val="auto"/>
              </w:rPr>
            </w:pPr>
            <w:r>
              <w:rPr>
                <w:rFonts w:ascii="Arial" w:cs="Arial" w:eastAsia="Arial" w:hAnsi="Arial"/>
                <w:sz w:val="18"/>
                <w:szCs w:val="18"/>
                <w:color w:val="auto"/>
              </w:rPr>
              <w:t>Total gross profit</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8"/>
              </w:rPr>
              <w:t>311,249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8"/>
              </w:rPr>
              <w:t>280,568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5"/>
              </w:rPr>
              <w:t>267,817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250,012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271,939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5"/>
              </w:rPr>
              <w:t>231,847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226,888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206,932</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62"/>
        </w:trPr>
        <w:tc>
          <w:tcPr>
            <w:tcW w:w="3340" w:type="dxa"/>
            <w:vAlign w:val="bottom"/>
          </w:tcPr>
          <w:p>
            <w:pPr>
              <w:ind w:left="38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18"/>
                <w:szCs w:val="18"/>
                <w:color w:val="auto"/>
                <w:vertAlign w:val="superscript"/>
              </w:rPr>
              <w:t>(1)</w:t>
            </w:r>
          </w:p>
        </w:tc>
        <w:tc>
          <w:tcPr>
            <w:tcW w:w="16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54,774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53,486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51,159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51,195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45,589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47,239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45,502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44,754</w:t>
            </w:r>
          </w:p>
        </w:tc>
      </w:tr>
      <w:tr>
        <w:trPr>
          <w:trHeight w:val="278"/>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8"/>
                <w:szCs w:val="18"/>
                <w:color w:val="auto"/>
                <w:vertAlign w:val="superscript"/>
              </w:rPr>
              <w:t>(1)(2)</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8"/>
              </w:rPr>
              <w:t>191,928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8"/>
              </w:rPr>
              <w:t>172,361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5"/>
              </w:rPr>
              <w:t>166,337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5"/>
              </w:rPr>
              <w:t>170,400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5"/>
              </w:rPr>
              <w:t>162,873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5"/>
              </w:rPr>
              <w:t>154,831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5"/>
              </w:rPr>
              <w:t>162,694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8"/>
              </w:rPr>
              <w:t>146,103</w:t>
            </w:r>
          </w:p>
        </w:tc>
      </w:tr>
      <w:tr>
        <w:trPr>
          <w:trHeight w:val="262"/>
        </w:trPr>
        <w:tc>
          <w:tcPr>
            <w:tcW w:w="3340" w:type="dxa"/>
            <w:vAlign w:val="bottom"/>
          </w:tcPr>
          <w:p>
            <w:pPr>
              <w:ind w:left="38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8"/>
                <w:szCs w:val="18"/>
                <w:color w:val="auto"/>
                <w:vertAlign w:val="superscript"/>
              </w:rPr>
              <w:t>(1)</w:t>
            </w:r>
          </w:p>
        </w:tc>
        <w:tc>
          <w:tcPr>
            <w:tcW w:w="16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22,349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21,025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21,911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22,577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17,451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22,006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22,184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19,439</w:t>
            </w:r>
          </w:p>
        </w:tc>
      </w:tr>
      <w:tr>
        <w:trPr>
          <w:trHeight w:val="278"/>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w:t>
            </w:r>
          </w:p>
        </w:tc>
      </w:tr>
      <w:tr>
        <w:trPr>
          <w:trHeight w:val="237"/>
        </w:trPr>
        <w:tc>
          <w:tcPr>
            <w:tcW w:w="3340" w:type="dxa"/>
            <w:vAlign w:val="bottom"/>
          </w:tcPr>
          <w:p>
            <w:pPr>
              <w:ind w:left="8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8"/>
              </w:rPr>
              <w:t>269,051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8"/>
              </w:rPr>
              <w:t>246,872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5"/>
              </w:rPr>
              <w:t>239,317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244,602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226,746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5"/>
              </w:rPr>
              <w:t>226,359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230,933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8"/>
              </w:rPr>
              <w:t>210,624</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4,061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3,866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2,392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1,746</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(expense)—net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45,078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37,906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32,906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(3,258)</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74,039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11,296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(5,376)</w:t>
            </w:r>
          </w:p>
        </w:tc>
      </w:tr>
      <w:tr>
        <w:trPr>
          <w:trHeight w:val="29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(28,961)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26,610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23,033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10,717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25,166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6,291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2,118</w:t>
            </w: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304"/>
        </w:trPr>
        <w:tc>
          <w:tcPr>
            <w:tcW w:w="3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0.01</w:t>
            </w:r>
          </w:p>
        </w:tc>
      </w:tr>
      <w:tr>
        <w:trPr>
          <w:trHeight w:val="251"/>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9"/>
          <w:szCs w:val="9"/>
          <w:color w:val="auto"/>
        </w:rPr>
        <w:t>_______________________________________________</w:t>
      </w:r>
    </w:p>
    <w:p>
      <w:pPr>
        <w:spacing w:after="0" w:line="5"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9"/>
          <w:szCs w:val="9"/>
          <w:color w:val="auto"/>
        </w:rPr>
      </w:pPr>
      <w:r>
        <w:rPr>
          <w:rFonts w:ascii="Arial" w:cs="Arial" w:eastAsia="Arial" w:hAnsi="Arial"/>
          <w:sz w:val="14"/>
          <w:szCs w:val="14"/>
          <w:color w:val="auto"/>
        </w:rPr>
        <w:t>Includes stock-based compensation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2"/>
              </w:rPr>
              <w:t>Three Months Ended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Dec 31,</w:t>
            </w: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 30,</w:t>
            </w:r>
          </w:p>
        </w:tc>
        <w:tc>
          <w:tcPr>
            <w:tcW w:w="20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 30,</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 31,</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 31,</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 30,</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Jun 30,</w:t>
            </w:r>
          </w:p>
        </w:tc>
        <w:tc>
          <w:tcPr>
            <w:tcW w:w="18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rPr>
              <w:t>Mar 31,</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Cost of service revenue</w:t>
            </w:r>
          </w:p>
        </w:tc>
        <w:tc>
          <w:tcPr>
            <w:tcW w:w="18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2,349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2,473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2,310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2,134</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7,143</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Sales and marketing</w:t>
            </w:r>
          </w:p>
        </w:tc>
        <w:tc>
          <w:tcPr>
            <w:tcW w:w="18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19,614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19,609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19,745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19,026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17,930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17,378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16,990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15,815</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3,530</w:t>
            </w:r>
          </w:p>
        </w:tc>
        <w:tc>
          <w:tcPr>
            <w:tcW w:w="0" w:type="dxa"/>
            <w:vAlign w:val="bottom"/>
          </w:tcPr>
          <w:p>
            <w:pPr>
              <w:spacing w:after="0"/>
              <w:rPr>
                <w:sz w:val="1"/>
                <w:szCs w:val="1"/>
                <w:color w:val="auto"/>
              </w:rPr>
            </w:pPr>
          </w:p>
        </w:tc>
      </w:tr>
      <w:tr>
        <w:trPr>
          <w:trHeight w:val="200"/>
        </w:trPr>
        <w:tc>
          <w:tcPr>
            <w:tcW w:w="2420" w:type="dxa"/>
            <w:vAlign w:val="bottom"/>
          </w:tcPr>
          <w:p>
            <w:pPr>
              <w:ind w:left="380"/>
              <w:spacing w:after="0"/>
              <w:rPr>
                <w:sz w:val="20"/>
                <w:szCs w:val="20"/>
                <w:color w:val="auto"/>
              </w:rPr>
            </w:pPr>
            <w:r>
              <w:rPr>
                <w:rFonts w:ascii="Arial" w:cs="Arial" w:eastAsia="Arial" w:hAnsi="Arial"/>
                <w:sz w:val="16"/>
                <w:szCs w:val="16"/>
                <w:color w:val="auto"/>
              </w:rPr>
              <w:t>Total stock-based</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34,454</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34,307</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35,091</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33,331</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32,081</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31,093</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30,347</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28,902</w:t>
            </w:r>
          </w:p>
        </w:tc>
        <w:tc>
          <w:tcPr>
            <w:tcW w:w="0" w:type="dxa"/>
            <w:vAlign w:val="bottom"/>
          </w:tcPr>
          <w:p>
            <w:pPr>
              <w:spacing w:after="0"/>
              <w:rPr>
                <w:sz w:val="1"/>
                <w:szCs w:val="1"/>
                <w:color w:val="auto"/>
              </w:rPr>
            </w:pPr>
          </w:p>
        </w:tc>
      </w:tr>
      <w:tr>
        <w:trPr>
          <w:trHeight w:val="224"/>
        </w:trPr>
        <w:tc>
          <w:tcPr>
            <w:tcW w:w="2420" w:type="dxa"/>
            <w:vAlign w:val="bottom"/>
          </w:tcPr>
          <w:p>
            <w:pPr>
              <w:ind w:left="380"/>
              <w:spacing w:after="0"/>
              <w:rPr>
                <w:sz w:val="20"/>
                <w:szCs w:val="20"/>
                <w:color w:val="auto"/>
              </w:rPr>
            </w:pPr>
            <w:r>
              <w:rPr>
                <w:rFonts w:ascii="Arial" w:cs="Arial" w:eastAsia="Arial" w:hAnsi="Arial"/>
                <w:sz w:val="16"/>
                <w:szCs w:val="16"/>
                <w:color w:val="auto"/>
              </w:rPr>
              <w:t>compensation expense</w:t>
            </w:r>
          </w:p>
        </w:tc>
        <w:tc>
          <w:tcPr>
            <w:tcW w:w="18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9"/>
          <w:szCs w:val="9"/>
          <w:color w:val="auto"/>
        </w:rPr>
      </w:pPr>
      <w:r>
        <w:rPr>
          <w:rFonts w:ascii="Arial" w:cs="Arial" w:eastAsia="Arial" w:hAnsi="Arial"/>
          <w:sz w:val="14"/>
          <w:szCs w:val="14"/>
          <w:color w:val="auto"/>
        </w:rPr>
        <w:t>Total amortization included in the product costs, service costs, and sales and marketing expense are as follows: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4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37465</wp:posOffset>
            </wp:positionV>
            <wp:extent cx="5394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66"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Dec 31,</w:t>
            </w: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Sept 30,</w:t>
            </w:r>
          </w:p>
        </w:tc>
        <w:tc>
          <w:tcPr>
            <w:tcW w:w="18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Jun 30,</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Mar 31,</w:t>
            </w:r>
          </w:p>
        </w:tc>
        <w:tc>
          <w:tcPr>
            <w:tcW w:w="16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Dec 31,</w:t>
            </w:r>
          </w:p>
        </w:tc>
        <w:tc>
          <w:tcPr>
            <w:tcW w:w="16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Sept 30,</w:t>
            </w:r>
          </w:p>
        </w:tc>
        <w:tc>
          <w:tcPr>
            <w:tcW w:w="16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Jun 30,</w:t>
            </w:r>
          </w:p>
        </w:tc>
        <w:tc>
          <w:tcPr>
            <w:tcW w:w="140" w:type="dxa"/>
            <w:vAlign w:val="bottom"/>
          </w:tcPr>
          <w:p>
            <w:pPr>
              <w:spacing w:after="0"/>
              <w:rPr>
                <w:sz w:val="17"/>
                <w:szCs w:val="17"/>
                <w:color w:val="auto"/>
              </w:rPr>
            </w:pPr>
          </w:p>
        </w:tc>
        <w:tc>
          <w:tcPr>
            <w:tcW w:w="80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Mar 31,</w:t>
            </w:r>
          </w:p>
        </w:tc>
      </w:tr>
      <w:tr>
        <w:trPr>
          <w:trHeight w:val="210"/>
        </w:trPr>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237"/>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2016</w:t>
            </w:r>
          </w:p>
        </w:tc>
      </w:tr>
      <w:tr>
        <w:trPr>
          <w:trHeight w:val="33"/>
        </w:trPr>
        <w:tc>
          <w:tcPr>
            <w:tcW w:w="2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24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2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Amortization of intangible assets  $</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1,178</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Cyclicality and Quarterly Revenue Trends</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Our quarterly results reflect a pattern of increased customer buying at year-end, which has positively impacted billings and product revenue activity in the fourth quarter. In the first quarter, we generally experience lower sequential customer buying, which results in lower billings and product revenue. Although these seasonal factors are common in the technology sector, historical patterns should not be considered a reliable indicator of our future sales activity or performance. On a quarterly basis, we have usually generated the majority of our product revenue in the final month of each quarter and a significant amount in the last two weeks of each quarter. We believe this is due to customer buying patterns typical in this industry.</w:t>
      </w:r>
    </w:p>
    <w:p>
      <w:pPr>
        <w:spacing w:after="0" w:line="173"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Consistent with the seasonality note above, our total quarterly revenue over the past eight quarters has generally increased sequentially in each quarter, except in the first quarters of 2017 and 2016. Product revenue, on average throughout the year, increased in 2017 as compared to the same quarters in 2016, which we believe was due in part to the investments made in our sales and marketing organizations, to a robust security market and to continued product innovation. We continue to see a shift from product revenues to higher-margin, recurring service revenues, which reflect our ongoing success in driving sales of mid-range and high-end service bundles, richer service offerings and the average contract length.</w:t>
      </w:r>
    </w:p>
    <w:p>
      <w:pPr>
        <w:spacing w:after="0" w:line="17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Total gross margin has fluctuated on a quarterly basis primarily due to shifts in the mix of sales between products and services, and among products. Product gross margin varies based on the types of products sold and the average selling prices of our products. In 2017, product gross margin was impacted by the shift toward higher-margin subscription bundles and longer duration of service contracts. Service gross margin benefited from the shift to higher-margin service revenue.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As of December 31,</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(in thousands)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811,004</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709,003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543,277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538,295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601,505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621,033</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1,349,299</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1,310,508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1,164,310</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689,597</w:t>
            </w: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709,276</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591,873</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08"/>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00" w:type="dxa"/>
            <w:vAlign w:val="bottom"/>
            <w:gridSpan w:val="6"/>
          </w:tcPr>
          <w:p>
            <w:pPr>
              <w:jc w:val="center"/>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2"/>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(in thousands)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594,405</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345,708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282,547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(76,803)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(74,123)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(415,601)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(105,859)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(21,557)</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102,001</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165,726</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260,023</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Liquidity and capital resources may be impacted by our operating activities, as well as by our stock repurchases, real estate and other capital expenditures, proceeds associated with stock option exercises and issuances of common stock under our ESPP, payment of taxes in connection with the net settlement of equity awards and business acquisitions. In recent years, we have received significant capital resources as a result of increases in our deferred revenue and the proceeds from exercise of stock options and purchases under our ESPP. Additional increases in deferred revenue may depend on a number of factors including our billing growth rate, service contract renewal rates and length of initial and renewals service contracts. We expect proceeds from the issuance of stock options in future years to be impacted by the increased mix of restricted stock units granted versus stock options and also to vary based on our share price. As of December 31, 2017, $442.8 million remained available for future share repurchase under the Repurchase Program.</w:t>
      </w:r>
    </w:p>
    <w:p>
      <w:pPr>
        <w:spacing w:after="0" w:line="16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We currently expect to spend $90.0 million to $120.0 million for 2018 in capital expenditures, primarily related to expansion of our offices to support worldwide growth.</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of December 31, 2017, our cash, cash equivalents and investments of $1.35 billion were invested primarily in corporate debt securities, money market fund, certificate of deposits, commercial paper and U.S. government and agency securities. It is our investment policy to invest excess cash in a manner that preserves capital, provides liquidity and maximizes return without significantly increasing risk.</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of December 31, 2017, $848.0 million of our cash and investments were held by our international subsidiaries. Under the 2017 Tax Act signed into law in December 2017, starting on January 1, 2018, we are no longer subject to federal income tax on earnings remitted from our foreign subsidiaries. We have analyzed our global working capital and cash requirements and the potential tax liabilities attributable to a repatriation, and have determined that we will be repatriating certain unremitted foreign earnings which was previously deemed indefinitely reinvested. For those investments from which we were able to make a reasonable estimate of the tax effects of such repatriation, we have recorded a provisional estimate for withholding and state taxes. We do not enter into investments for trading or speculative purposes. We believe that our existing cash and cash equivalents will be sufficient to meet our anticipated cash needs for at least the next 12 months. Our future capital requirements will depend on many factors, including our growth rate, the timing and amount of our planned share repurchases, the timing and extent of spending to support development efforts, the expansion of sales and marketing activities, the introduction of new and enhanced products and services offerings, the costs to ensure access to adequate manufacturing capacity, the continuing market acceptance of our products and our investments in real estate through purchases or long-term leases.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including deferred revenue. Non-cash adjustments consist primarily of stock-based compensation, depreciation of property and equipment, amortization of intangible assets and amortization of investment premiums.</w:t>
      </w:r>
    </w:p>
    <w:p>
      <w:pPr>
        <w:spacing w:after="0" w:line="18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operating activities during 2017 provided $594.4 million in cash as a result of our continued growth of our business and our ability to successfully manage our working capital. Changes in operating assets and liabilities primarily resulted from an increase in sales of our FortiGuard security subscription and FortiCare technical support services to new and existing customers, as reflected by an increase in our deferred revenue, which was partially offset by an increase in accounts receivable. We continue to see a shift from product revenues to higher-margin, recurring service revenues and longer duration contracts. For example, our total revenue grew 17% in 2017 compared to 2016, while our total deferred revenue balance grew 29%.</w:t>
      </w:r>
    </w:p>
    <w:p>
      <w:pPr>
        <w:spacing w:after="0" w:line="15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operating activities during 2016 provided $345.7 million in cash as a result of our continued growth of our business and the ability to successfully manage our working capital. Changes in operating assets and liabilities primarily resulted from an increase in sales of our FortiGuard security subscription and FortiCare technical supports to new and existing customers, as reflected by an increase in our deferred revenue, which was partially offset by an increase in accounts receivable and payments for inventory purchases. We are also starting to see a shift from product revenues to higher-margin, recurring service revenues. For example, our total revenue grew 26% in 2016 compared to 2015, while our total deferred revenue balance grew 31%.</w:t>
      </w:r>
    </w:p>
    <w:p>
      <w:pPr>
        <w:spacing w:after="0" w:line="15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Our operating activities during 2015 provided $282.5 million in cash as a result of our continued growth in billings and the ability to successfully manage our working capital. Additionally, in 2015, we received $9.0 million related to a mutual three-year covenant-not-to-sue agreement. Changes in operating assets and liabilities primarily resulted from an increase in payments received from customers, partially offset by an increase in payments to vendors.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changes in cash flows from investing activities primarily relate to timing of purchases, maturities and sales of investments, purchases of property and equipment, and payments made in connection with business acquisitions. Historically, in making a lease versus purchase decision related to our larger facilities, we have considered various factors including financial metrics and the impact on our employees. In certain cases, we have elected to purchase the facility if we believe that purchasing rather than leasing is more in line with our long-term strategy. We expect to make similar decisions in the future.</w:t>
      </w:r>
    </w:p>
    <w:p>
      <w:pPr>
        <w:spacing w:after="0" w:line="154"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During 2017, cash used for investing activities was primarily due to the $135.3 million we spent on capital expenditures, including our purchases of real estate properties in Canada and Sunnyvale, California for total cash of $107.2 million. The outflow of cash was partially offset by positive cash flow due to maturities, net of purchases, from our investments of $58.5 million.</w:t>
      </w:r>
    </w:p>
    <w:p>
      <w:pPr>
        <w:spacing w:after="0" w:line="181"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During 2016, cash used for investing activities was primarily due to $67.2 million we spent on capital expenditures, including our purchases of a warehouse in Union City, California, for total cash of $18.5 million, and a $22.1 million payment for the acquisition of AccelOps. The outflow of cash was partially offset by positive cash flow due to maturities, net of purchases, from our investments of $15.1 million.</w:t>
      </w:r>
    </w:p>
    <w:p>
      <w:pPr>
        <w:spacing w:after="0" w:line="166"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During 2015, cash used for investing activities was primarily due to $38.0 million used for the acquisition of Meru. In addition, we spent $37.4 million on capital expenditures, including our purchases of certain real properties in Sunnyvale, California and Sophia, France for total cash of $13.9 million. The outflow of cash was partially offset by positive cash flow due to maturities, net of purchases, from our investments of $74.4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changes in cash flows from financing activities primarily relate to proceeds from the issuance of common stock under our equity incentive plan and the ESPP, taxes paid related to net share settlement of equity awards and repurchase and retirement of common stock.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2017, cash used for financing activities was $415.6 million, primarily due to $446.3 million used to repurchase our common stock. This was partially offset by $30.7 million of proceeds from the issuance of common stock, net of tax withholding.</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2016, cash used for financing activities was $105.9 million, primarily due to $110.8 million used to repurchase our common stock. This was partially offset by $6.6 million of proceeds from the issuance of common stock, net of tax withholding.</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During 2015, cash used for financing activities was $21.6 million, primarily due to $60.0 million used to repurchase our common stock. This was partially offset by $38.4 million of proceeds from the issuance of common stock, net of tax withholding.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December 31, 2017:</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60" w:type="dxa"/>
            <w:vAlign w:val="bottom"/>
            <w:gridSpan w:val="6"/>
          </w:tcPr>
          <w:p>
            <w:pPr>
              <w:jc w:val="center"/>
              <w:ind w:left="612"/>
              <w:spacing w:after="0"/>
              <w:rPr>
                <w:sz w:val="20"/>
                <w:szCs w:val="20"/>
                <w:color w:val="auto"/>
              </w:rPr>
            </w:pPr>
            <w:r>
              <w:rPr>
                <w:rFonts w:ascii="Arial" w:cs="Arial" w:eastAsia="Arial" w:hAnsi="Arial"/>
                <w:sz w:val="16"/>
                <w:szCs w:val="16"/>
                <w:b w:val="1"/>
                <w:bCs w:val="1"/>
                <w:color w:val="auto"/>
                <w:w w:val="90"/>
              </w:rPr>
              <w:t>Payments Due by Period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94"/>
              <w:spacing w:after="0"/>
              <w:rPr>
                <w:sz w:val="20"/>
                <w:szCs w:val="20"/>
                <w:color w:val="auto"/>
              </w:rPr>
            </w:pPr>
            <w:r>
              <w:rPr>
                <w:rFonts w:ascii="Arial" w:cs="Arial" w:eastAsia="Arial" w:hAnsi="Arial"/>
                <w:sz w:val="16"/>
                <w:szCs w:val="16"/>
                <w:b w:val="1"/>
                <w:bCs w:val="1"/>
                <w:color w:val="auto"/>
                <w:w w:val="97"/>
              </w:rPr>
              <w:t>More than 5</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1360" w:type="dxa"/>
            <w:vAlign w:val="bottom"/>
            <w:gridSpan w:val="3"/>
          </w:tcPr>
          <w:p>
            <w:pPr>
              <w:ind w:left="60"/>
              <w:spacing w:after="0"/>
              <w:rPr>
                <w:sz w:val="20"/>
                <w:szCs w:val="20"/>
                <w:color w:val="auto"/>
              </w:rPr>
            </w:pPr>
            <w:r>
              <w:rPr>
                <w:rFonts w:ascii="Arial" w:cs="Arial" w:eastAsia="Arial" w:hAnsi="Arial"/>
                <w:sz w:val="16"/>
                <w:szCs w:val="16"/>
                <w:b w:val="1"/>
                <w:bCs w:val="1"/>
                <w:color w:val="auto"/>
              </w:rPr>
              <w:t>Less than 1 year</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1 - 3 years</w:t>
            </w:r>
          </w:p>
        </w:tc>
        <w:tc>
          <w:tcPr>
            <w:tcW w:w="18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3 - 5 years</w:t>
            </w:r>
          </w:p>
        </w:tc>
        <w:tc>
          <w:tcPr>
            <w:tcW w:w="160" w:type="dxa"/>
            <w:vAlign w:val="bottom"/>
          </w:tcPr>
          <w:p>
            <w:pPr>
              <w:spacing w:after="0"/>
              <w:rPr>
                <w:sz w:val="18"/>
                <w:szCs w:val="18"/>
                <w:color w:val="auto"/>
              </w:rPr>
            </w:pPr>
          </w:p>
        </w:tc>
        <w:tc>
          <w:tcPr>
            <w:tcW w:w="1080" w:type="dxa"/>
            <w:vAlign w:val="bottom"/>
          </w:tcPr>
          <w:p>
            <w:pPr>
              <w:jc w:val="right"/>
              <w:ind w:right="354"/>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18"/>
                <w:szCs w:val="18"/>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56,871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16,020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23,790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10,503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8"/>
                <w:szCs w:val="18"/>
                <w:color w:val="auto"/>
              </w:rPr>
              <w:t xml:space="preserve">Inventory purchase commitments </w:t>
            </w:r>
            <w:r>
              <w:rPr>
                <w:rFonts w:ascii="Arial" w:cs="Arial" w:eastAsia="Arial" w:hAnsi="Arial"/>
                <w:sz w:val="18"/>
                <w:szCs w:val="18"/>
                <w:color w:val="auto"/>
                <w:vertAlign w:val="superscript"/>
              </w:rPr>
              <w:t>(2)</w:t>
            </w:r>
          </w:p>
        </w:tc>
        <w:tc>
          <w:tcPr>
            <w:tcW w:w="280" w:type="dxa"/>
            <w:vAlign w:val="bottom"/>
          </w:tcPr>
          <w:p>
            <w:pPr>
              <w:spacing w:after="0"/>
              <w:rPr>
                <w:sz w:val="22"/>
                <w:szCs w:val="22"/>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97,170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97,170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70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154,041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113,190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23,790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10,503</w:t>
            </w:r>
          </w:p>
        </w:tc>
        <w:tc>
          <w:tcPr>
            <w:tcW w:w="100" w:type="dxa"/>
            <w:vAlign w:val="bottom"/>
            <w:tcBorders>
              <w:top w:val="single" w:sz="8" w:color="CCEEFF"/>
              <w:bottom w:val="single" w:sz="8" w:color="auto"/>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0"/>
        </w:trPr>
        <w:tc>
          <w:tcPr>
            <w:tcW w:w="4700" w:type="dxa"/>
            <w:vAlign w:val="bottom"/>
            <w:vMerge w:val="restart"/>
          </w:tcPr>
          <w:p>
            <w:pPr>
              <w:jc w:val="right"/>
              <w:ind w:right="2450"/>
              <w:spacing w:after="0"/>
              <w:rPr>
                <w:sz w:val="20"/>
                <w:szCs w:val="20"/>
                <w:color w:val="auto"/>
              </w:rPr>
            </w:pPr>
            <w:r>
              <w:rPr>
                <w:rFonts w:ascii="Arial" w:cs="Arial" w:eastAsia="Arial" w:hAnsi="Arial"/>
                <w:sz w:val="18"/>
                <w:szCs w:val="18"/>
                <w:color w:val="auto"/>
                <w:w w:val="89"/>
              </w:rPr>
              <w:t>________________________</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2"/>
        </w:numPr>
        <w:rPr>
          <w:rFonts w:ascii="Arial" w:cs="Arial" w:eastAsia="Arial" w:hAnsi="Arial"/>
          <w:sz w:val="9"/>
          <w:szCs w:val="9"/>
          <w:color w:val="auto"/>
        </w:rPr>
      </w:pPr>
      <w:r>
        <w:rPr>
          <w:rFonts w:ascii="Arial" w:cs="Arial" w:eastAsia="Arial" w:hAnsi="Arial"/>
          <w:sz w:val="14"/>
          <w:szCs w:val="14"/>
          <w:color w:val="auto"/>
        </w:rPr>
        <w:t>Consists of contractual obligations from non-cancelable office space under operating leases.</w:t>
      </w:r>
    </w:p>
    <w:p>
      <w:pPr>
        <w:spacing w:after="0" w:line="1" w:lineRule="exact"/>
        <w:rPr>
          <w:rFonts w:ascii="Arial" w:cs="Arial" w:eastAsia="Arial" w:hAnsi="Arial"/>
          <w:sz w:val="9"/>
          <w:szCs w:val="9"/>
          <w:color w:val="auto"/>
        </w:rPr>
      </w:pPr>
    </w:p>
    <w:p>
      <w:pPr>
        <w:ind w:left="660" w:hanging="652"/>
        <w:spacing w:after="0"/>
        <w:tabs>
          <w:tab w:leader="none" w:pos="660" w:val="left"/>
        </w:tabs>
        <w:numPr>
          <w:ilvl w:val="0"/>
          <w:numId w:val="32"/>
        </w:numPr>
        <w:rPr>
          <w:rFonts w:ascii="Arial" w:cs="Arial" w:eastAsia="Arial" w:hAnsi="Arial"/>
          <w:sz w:val="9"/>
          <w:szCs w:val="9"/>
          <w:color w:val="auto"/>
        </w:rPr>
      </w:pPr>
      <w:r>
        <w:rPr>
          <w:rFonts w:ascii="Arial" w:cs="Arial" w:eastAsia="Arial" w:hAnsi="Arial"/>
          <w:sz w:val="14"/>
          <w:szCs w:val="14"/>
          <w:color w:val="auto"/>
        </w:rPr>
        <w:t>Consists of minimum purchase commitments with independent contract manufacturers.</w:t>
      </w:r>
    </w:p>
    <w:p>
      <w:pPr>
        <w:spacing w:after="0" w:line="156"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color w:val="auto"/>
        </w:rPr>
        <w:t>In addition to commitments with contract manufacturers, we have open purchase orders and contractual obligations in the ordinary course of business for which we have not received goods or services. As of December 31, 2017, we had $6.8 million in other contractual commitments having a remaining term in excess of one year that may not be cancelable.</w:t>
      </w:r>
    </w:p>
    <w:p>
      <w:pPr>
        <w:spacing w:after="0" w:line="181"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As of December 31, 2017, we had $90.2 million of long-term tax liabilities, including interest, related to uncertain tax positions. Because of the high degree of uncertainty regarding the settlement of these liabilities, we are unable to estimate the years in which future cash outflows may occur.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During 2017, 2016 and 2015,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See Note 1 of the notes to our consolidated financial statements in Part II, Item 8 of this Annual Report on Form 10-K for a full description of recently adopted accounting pronouncements.</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cash, cash equivalents and investments in a variety of securities, including corporate debt securities, money market funds, commercial paper, municipal bonds, U.S. government and agency securities, certificates of deposit and term deposits. The risk associated with fluctuating interest rates is limited to our investment portfolio. A 10% decrease in interest rates in 2017, 2016 and 2015 would have resulted in an insignificant decrease in our interest income in each of these periods.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2" w:right="25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sales contracts are primarily denominated in U.S. dollars and therefore substantially all of our revenue is not subject to foreign currency translation risk. However, a substantial portion of our operating expenses incurred outside the United States are denominated in foreign currencies and are subject to fluctuations due to changes in foreign currency exchange rates, particularly changes in the Canadian dollar (“CAD”), the Euro (“EUR”) and the British pound (“GBP”). To help protect against significant fluctuations in value and the volatility of future cash flows caused by changes in currency exchange rates, we engage in foreign currency risk management activities to minimize the impact of balance sheet items denominated in CAD. We do not use these contracts for speculative or trading purposes. All of the derivative instruments are with high quality financial institutions and we monitor the credit worthiness of these parties. These contracts typically have a maturity of one month. We record changes in the fair value of forward exchange contracts related to balance sheet accounts as other expense in the consolidated statement of operations. We recognized an expense of $1.0 million in Other income (expense) —net, in 2017 due to foreign currency transaction gains.</w:t>
      </w:r>
    </w:p>
    <w:p>
      <w:pPr>
        <w:spacing w:after="0" w:line="18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use of forward exchange contracts is intended to reduce, but not eliminate, the impact of currency exchange rate movements, are relatively short-term in nature and are focused on the CAD, long-term material changes in the value of the U.S. dollar against other foreign currencies, such as the EUR and GBP, could adversely impact our operating expenses in the future. We assessed the risk of loss in fair values from the impact of hypothetical changes in foreign currency exchange rates. For foreign currency exchange rate risk, a 10% increase or decrease of foreign currency exchange rates against the U.S. dollar with all other variables held constant would have resulted in a $5.5 million change in the value of our foreign currency cash balances as of December 31,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monetary assets, consisting primarily of cash, cash equivalents and short-term investments, are not affected significantly by inflation because they are short-term. We believe the impact of inflation on replacement costs of equipment, furniture and leasehold improvements will not materially affect our operations. The rate of inflation, however, affects our cost of revenue and expenses, such as those for employee compensation, which may not be readily recoverable in the price of products and services offered by us.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2" w:right="25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680" w:type="dxa"/>
            <w:vAlign w:val="bottom"/>
            <w:gridSpan w:val="3"/>
          </w:tcPr>
          <w:p>
            <w:pPr>
              <w:ind w:left="180"/>
              <w:spacing w:after="0"/>
              <w:rPr>
                <w:sz w:val="20"/>
                <w:szCs w:val="20"/>
                <w:color w:val="auto"/>
              </w:rPr>
            </w:pPr>
            <w:r>
              <w:rPr>
                <w:rFonts w:ascii="Arial" w:cs="Arial" w:eastAsia="Arial" w:hAnsi="Arial"/>
                <w:sz w:val="16"/>
                <w:szCs w:val="16"/>
                <w:b w:val="1"/>
                <w:bCs w:val="1"/>
                <w:color w:val="auto"/>
              </w:rPr>
              <w:t>Page</w:t>
            </w:r>
          </w:p>
        </w:tc>
      </w:tr>
      <w:tr>
        <w:trPr>
          <w:trHeight w:val="33"/>
        </w:trPr>
        <w:tc>
          <w:tcPr>
            <w:tcW w:w="2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534"/>
        </w:trPr>
        <w:tc>
          <w:tcPr>
            <w:tcW w:w="4220" w:type="dxa"/>
            <w:vAlign w:val="bottom"/>
            <w:gridSpan w:val="7"/>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Report of Independent Registered Public Accounting Firm</w:t>
              </w:r>
            </w:hyperlink>
          </w:p>
        </w:tc>
        <w:tc>
          <w:tcPr>
            <w:tcW w:w="6480" w:type="dxa"/>
            <w:vAlign w:val="bottom"/>
          </w:tcPr>
          <w:p>
            <w:pPr>
              <w:spacing w:after="0"/>
              <w:rPr>
                <w:sz w:val="24"/>
                <w:szCs w:val="24"/>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66</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220" w:type="dxa"/>
            <w:vAlign w:val="bottom"/>
            <w:gridSpan w:val="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Consolidated Balance Sheets</w:t>
              </w:r>
            </w:hyperlink>
          </w:p>
        </w:tc>
        <w:tc>
          <w:tcPr>
            <w:tcW w:w="6480" w:type="dxa"/>
            <w:vAlign w:val="bottom"/>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gridSpan w:val="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Statements of Operations</w:t>
              </w:r>
            </w:hyperlink>
          </w:p>
        </w:tc>
        <w:tc>
          <w:tcPr>
            <w:tcW w:w="680" w:type="dxa"/>
            <w:vAlign w:val="bottom"/>
            <w:gridSpan w:val="3"/>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6"/>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Statements of Comprehensive Income</w:t>
              </w:r>
            </w:hyperlink>
          </w:p>
        </w:tc>
        <w:tc>
          <w:tcPr>
            <w:tcW w:w="696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740" w:type="dxa"/>
            <w:vAlign w:val="bottom"/>
            <w:gridSpan w:val="6"/>
          </w:tcPr>
          <w:p>
            <w:pPr>
              <w:spacing w:after="0"/>
              <w:rPr>
                <w:rFonts w:ascii="Arial" w:cs="Arial" w:eastAsia="Arial" w:hAnsi="Arial"/>
                <w:sz w:val="18"/>
                <w:szCs w:val="18"/>
                <w:color w:val="0000EE"/>
                <w:w w:val="95"/>
              </w:rPr>
            </w:pPr>
            <w:hyperlink w:anchor="page73">
              <w:r>
                <w:rPr>
                  <w:rFonts w:ascii="Arial" w:cs="Arial" w:eastAsia="Arial" w:hAnsi="Arial"/>
                  <w:sz w:val="18"/>
                  <w:szCs w:val="18"/>
                  <w:color w:val="0000EE"/>
                  <w:w w:val="95"/>
                </w:rPr>
                <w:t>Consolidated Statements of Stockholders’ Equity</w:t>
              </w:r>
            </w:hyperlink>
          </w:p>
        </w:tc>
        <w:tc>
          <w:tcPr>
            <w:tcW w:w="6960" w:type="dxa"/>
            <w:vAlign w:val="bottom"/>
            <w:gridSpan w:val="2"/>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5"/>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Statements of Cash Flows</w:t>
              </w:r>
            </w:hyperlink>
          </w:p>
        </w:tc>
        <w:tc>
          <w:tcPr>
            <w:tcW w:w="7160" w:type="dxa"/>
            <w:vAlign w:val="bottom"/>
            <w:gridSpan w:val="3"/>
          </w:tcPr>
          <w:p>
            <w:pPr>
              <w:spacing w:after="0"/>
              <w:rPr>
                <w:sz w:val="21"/>
                <w:szCs w:val="21"/>
                <w:color w:val="auto"/>
              </w:rPr>
            </w:pPr>
          </w:p>
        </w:tc>
        <w:tc>
          <w:tcPr>
            <w:tcW w:w="680" w:type="dxa"/>
            <w:vAlign w:val="bottom"/>
            <w:gridSpan w:val="3"/>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71</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6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700" w:type="dxa"/>
            <w:vAlign w:val="bottom"/>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Notes to Consolidated Financial Statements</w:t>
              </w:r>
            </w:hyperlink>
          </w:p>
        </w:tc>
        <w:tc>
          <w:tcPr>
            <w:tcW w:w="680" w:type="dxa"/>
            <w:vAlign w:val="bottom"/>
            <w:gridSpan w:val="3"/>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72</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The supplementary financial information required by this Item 8 is included in Part II, Item 7 of this Annual Report on Form 10-K under the caption “Management’s Discussion and Analysis of Financial Condition and Results of Operations—Quarterly Results of Operations.”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Fortinet,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audited the accompanying consolidated balance sheets of Fortinet, Inc. and subsidiaries (the “Company”) as of December 31, 2017 and 2016, and the related consolidated statements of operations, comprehensive income, stockholders’ equity, and cash flows for each of the three years in the period ended December 31, 2017, and the related notes and the schedule listed in the Index at Item 15 (collectively referred to as the “financial statements”). In our opinion, such consolidated financial statements present fairly, in all material respects, the financial position of the Company as of December 31, 2017 and 2016, and the results of their operations and its cash flows for each of the three years in the period ended December 31, 2017, in conformity with accounting principles generally accepted in the United States of America.</w:t>
      </w:r>
    </w:p>
    <w:p>
      <w:pPr>
        <w:spacing w:after="0" w:line="193"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2017, based on the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and our report dated February 26, 2018,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financial statements and financial statement schedule are the responsibility of the Company’s management. Our responsibility is to express an opinion on the financial statements and financial statement schedule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An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2" w:right="2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834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466"/>
        </w:trPr>
        <w:tc>
          <w:tcPr>
            <w:tcW w:w="1020" w:type="dxa"/>
            <w:vAlign w:val="bottom"/>
            <w:tcBorders>
              <w:top w:val="single" w:sz="8" w:color="0000EE"/>
            </w:tcBorders>
          </w:tcPr>
          <w:p>
            <w:pPr>
              <w:spacing w:after="0"/>
              <w:rPr>
                <w:sz w:val="24"/>
                <w:szCs w:val="24"/>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b w:val="1"/>
                <w:bCs w:val="1"/>
                <w:color w:val="auto"/>
              </w:rPr>
              <w:t>FORTINET, INC.</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9"/>
        </w:trPr>
        <w:tc>
          <w:tcPr>
            <w:tcW w:w="1020" w:type="dxa"/>
            <w:vAlign w:val="bottom"/>
          </w:tcPr>
          <w:p>
            <w:pPr>
              <w:spacing w:after="0"/>
              <w:rPr>
                <w:sz w:val="24"/>
                <w:szCs w:val="24"/>
                <w:color w:val="auto"/>
              </w:rPr>
            </w:pPr>
          </w:p>
        </w:tc>
        <w:tc>
          <w:tcPr>
            <w:tcW w:w="732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1020" w:type="dxa"/>
            <w:vAlign w:val="bottom"/>
          </w:tcPr>
          <w:p>
            <w:pPr>
              <w:spacing w:after="0"/>
              <w:rPr>
                <w:sz w:val="20"/>
                <w:szCs w:val="20"/>
                <w:color w:val="auto"/>
              </w:rPr>
            </w:pPr>
          </w:p>
        </w:tc>
        <w:tc>
          <w:tcPr>
            <w:tcW w:w="7320" w:type="dxa"/>
            <w:vAlign w:val="bottom"/>
          </w:tcPr>
          <w:p>
            <w:pPr>
              <w:jc w:val="center"/>
              <w:ind w:left="197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49"/>
        </w:trPr>
        <w:tc>
          <w:tcPr>
            <w:tcW w:w="10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0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811,004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709,003</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440,273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376,522</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4"/>
              </w:rPr>
              <w:t>Accounts receivable—Net of reserves for sales returns and doubtful accounts of $14,503 and $11,235 at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December 31, 2017 and 2016,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348,185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312,998</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77,291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106,887</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33,306</w:t>
            </w:r>
          </w:p>
        </w:tc>
      </w:tr>
      <w:tr>
        <w:trPr>
          <w:trHeight w:val="237"/>
        </w:trPr>
        <w:tc>
          <w:tcPr>
            <w:tcW w:w="8340" w:type="dxa"/>
            <w:vAlign w:val="bottom"/>
            <w:gridSpan w:val="2"/>
          </w:tcPr>
          <w:p>
            <w:pPr>
              <w:ind w:left="9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1,716,820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1,538,716</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224,983</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245,395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137,249</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146,932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182,745</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INTANGIBLE ASSETS—NET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16,255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24,828</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14,553</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19,939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16,867</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2,257,916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2,139,941</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6"/>
        </w:trPr>
        <w:tc>
          <w:tcPr>
            <w:tcW w:w="10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56,732</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50,015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35,640</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payroll and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78,138</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21,435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13,588</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793,820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645,342</w:t>
            </w:r>
          </w:p>
        </w:tc>
      </w:tr>
      <w:tr>
        <w:trPr>
          <w:trHeight w:val="237"/>
        </w:trPr>
        <w:tc>
          <w:tcPr>
            <w:tcW w:w="8340" w:type="dxa"/>
            <w:vAlign w:val="bottom"/>
            <w:gridSpan w:val="2"/>
          </w:tcPr>
          <w:p>
            <w:pPr>
              <w:ind w:left="9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1,027,223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829,440</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542,494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390,007</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INCOME TAX LIABILITIES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90,213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68,551</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14,262</w:t>
            </w:r>
          </w:p>
        </w:tc>
      </w:tr>
      <w:tr>
        <w:trPr>
          <w:trHeight w:val="237"/>
        </w:trPr>
        <w:tc>
          <w:tcPr>
            <w:tcW w:w="8340" w:type="dxa"/>
            <w:vAlign w:val="bottom"/>
            <w:gridSpan w:val="2"/>
          </w:tcPr>
          <w:p>
            <w:pPr>
              <w:ind w:left="9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1,668,539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1,302,260</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4"/>
              </w:rPr>
              <w:t>Common stock, $0.001 par value—300,000 shares authorized; 167,890 and 173,078 shares issued and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outstanding at December 31, 2017 and 2016,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909,636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800,653</w:t>
            </w:r>
          </w:p>
        </w:tc>
      </w:tr>
      <w:tr>
        <w:trPr>
          <w:trHeight w:val="27"/>
        </w:trPr>
        <w:tc>
          <w:tcPr>
            <w:tcW w:w="10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Retained earnings (deficit)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(319,580)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37,620</w:t>
            </w:r>
          </w:p>
        </w:tc>
      </w:tr>
      <w:tr>
        <w:trPr>
          <w:trHeight w:val="27"/>
        </w:trPr>
        <w:tc>
          <w:tcPr>
            <w:tcW w:w="1020" w:type="dxa"/>
            <w:vAlign w:val="bottom"/>
            <w:tcBorders>
              <w:bottom w:val="single" w:sz="8" w:color="CCEEFF"/>
            </w:tcBorders>
          </w:tcPr>
          <w:p>
            <w:pPr>
              <w:spacing w:after="0"/>
              <w:rPr>
                <w:sz w:val="2"/>
                <w:szCs w:val="2"/>
                <w:color w:val="auto"/>
              </w:rPr>
            </w:pPr>
          </w:p>
        </w:tc>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589,377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837,681</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2,257,916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2,139,941</w:t>
            </w:r>
          </w:p>
        </w:tc>
      </w:tr>
      <w:tr>
        <w:trPr>
          <w:trHeight w:val="20"/>
        </w:trPr>
        <w:tc>
          <w:tcPr>
            <w:tcW w:w="10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4"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Year Ended December 31,</w:t>
            </w: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jc w:val="right"/>
              <w:ind w:right="67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Product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577,171</w:t>
            </w:r>
          </w:p>
        </w:tc>
        <w:tc>
          <w:tcPr>
            <w:tcW w:w="100" w:type="dxa"/>
            <w:vAlign w:val="bottom"/>
          </w:tcPr>
          <w:p>
            <w:pPr>
              <w:spacing w:after="0"/>
              <w:rPr>
                <w:sz w:val="21"/>
                <w:szCs w:val="21"/>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548,110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476,782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917,759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727,333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532,486</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1,494,930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1,275,443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1,009,268</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Product</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243,824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208,984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190,398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141,460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128,853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96,379</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385,284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337,837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286,777</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Product</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333,347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339,126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286,384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776,299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598,480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436,107</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1,109,646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937,606</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722,491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210,614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183,084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158,129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701,026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626,501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470,371</w:t>
            </w:r>
          </w:p>
        </w:tc>
        <w:tc>
          <w:tcPr>
            <w:tcW w:w="0" w:type="dxa"/>
            <w:vAlign w:val="bottom"/>
          </w:tcPr>
          <w:p>
            <w:pPr>
              <w:spacing w:after="0"/>
              <w:rPr>
                <w:sz w:val="1"/>
                <w:szCs w:val="1"/>
                <w:color w:val="auto"/>
              </w:rPr>
            </w:pPr>
          </w:p>
        </w:tc>
      </w:tr>
      <w:tr>
        <w:trPr>
          <w:trHeight w:val="243"/>
        </w:trPr>
        <w:tc>
          <w:tcPr>
            <w:tcW w:w="572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87,862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81,080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71,514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37"/>
        </w:trPr>
        <w:tc>
          <w:tcPr>
            <w:tcW w:w="572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999,842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894,662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707,614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14,877</w:t>
            </w: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13,482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7,303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(EXPENSE)—NET</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123,994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43,148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17,005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92,595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9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31,399</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32,187</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7,987</w:t>
            </w:r>
          </w:p>
        </w:tc>
        <w:tc>
          <w:tcPr>
            <w:tcW w:w="0" w:type="dxa"/>
            <w:vAlign w:val="bottom"/>
          </w:tcPr>
          <w:p>
            <w:pPr>
              <w:spacing w:after="0"/>
              <w:rPr>
                <w:sz w:val="1"/>
                <w:szCs w:val="1"/>
                <w:color w:val="auto"/>
              </w:rPr>
            </w:pPr>
          </w:p>
        </w:tc>
      </w:tr>
      <w:tr>
        <w:trPr>
          <w:trHeight w:val="23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(Note 8):</w:t>
            </w: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7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51"/>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572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7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4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174,315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172,621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170,385</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720" w:type="dxa"/>
            <w:vAlign w:val="bottom"/>
          </w:tcPr>
          <w:p>
            <w:pPr>
              <w:ind w:left="500"/>
              <w:spacing w:after="0"/>
              <w:rPr>
                <w:sz w:val="20"/>
                <w:szCs w:val="20"/>
                <w:color w:val="auto"/>
              </w:rPr>
            </w:pPr>
            <w:r>
              <w:rPr>
                <w:rFonts w:ascii="Arial" w:cs="Arial" w:eastAsia="Arial" w:hAnsi="Arial"/>
                <w:sz w:val="18"/>
                <w:szCs w:val="18"/>
                <w:color w:val="auto"/>
              </w:rPr>
              <w:t>Diluted</w:t>
            </w: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178,079</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176,338</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176,141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31,399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unrealized gains (losses) on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w w:val="99"/>
              </w:rPr>
              <w:t>Tax provision (benefit) related to change in unrealized gains (losses) on investments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31,317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32,355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7,403</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900" w:type="dxa"/>
            <w:vAlign w:val="bottom"/>
            <w:gridSpan w:val="4"/>
            <w:vMerge w:val="restart"/>
          </w:tcPr>
          <w:p>
            <w:pPr>
              <w:jc w:val="right"/>
              <w:ind w:right="38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5360" w:type="dxa"/>
            <w:vAlign w:val="bottom"/>
          </w:tcPr>
          <w:p>
            <w:pPr>
              <w:spacing w:after="0"/>
              <w:rPr>
                <w:sz w:val="13"/>
                <w:szCs w:val="13"/>
                <w:color w:val="auto"/>
              </w:rPr>
            </w:pPr>
          </w:p>
        </w:tc>
        <w:tc>
          <w:tcPr>
            <w:tcW w:w="190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360" w:type="dxa"/>
            <w:vAlign w:val="bottom"/>
          </w:tcPr>
          <w:p>
            <w:pPr>
              <w:spacing w:after="0"/>
              <w:rPr>
                <w:sz w:val="10"/>
                <w:szCs w:val="10"/>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0"/>
                <w:szCs w:val="10"/>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Earnings</w:t>
            </w:r>
          </w:p>
        </w:tc>
        <w:tc>
          <w:tcPr>
            <w:tcW w:w="8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92"/>
        </w:trPr>
        <w:tc>
          <w:tcPr>
            <w:tcW w:w="53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(Deficit)</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5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BALANCE—December 31, 2014</w:t>
            </w: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166,443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562,504</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113,645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675,966</w:t>
            </w:r>
          </w:p>
        </w:tc>
        <w:tc>
          <w:tcPr>
            <w:tcW w:w="0" w:type="dxa"/>
            <w:vAlign w:val="bottom"/>
          </w:tcPr>
          <w:p>
            <w:pPr>
              <w:spacing w:after="0"/>
              <w:rPr>
                <w:sz w:val="1"/>
                <w:szCs w:val="1"/>
                <w:color w:val="auto"/>
              </w:rPr>
            </w:pPr>
          </w:p>
        </w:tc>
      </w:tr>
      <w:tr>
        <w:trPr>
          <w:trHeight w:val="157"/>
        </w:trPr>
        <w:tc>
          <w:tcPr>
            <w:tcW w:w="5360" w:type="dxa"/>
            <w:vAlign w:val="bottom"/>
          </w:tcPr>
          <w:p>
            <w:pPr>
              <w:ind w:left="280"/>
              <w:spacing w:after="0" w:line="157" w:lineRule="exact"/>
              <w:rPr>
                <w:sz w:val="20"/>
                <w:szCs w:val="20"/>
                <w:color w:val="auto"/>
              </w:rPr>
            </w:pPr>
            <w:r>
              <w:rPr>
                <w:rFonts w:ascii="Arial" w:cs="Arial" w:eastAsia="Arial" w:hAnsi="Arial"/>
                <w:sz w:val="14"/>
                <w:szCs w:val="14"/>
                <w:color w:val="auto"/>
              </w:rPr>
              <w:t>Issuance of common stock in connection with equity incentive plans - net of tax</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360" w:type="dxa"/>
            <w:vAlign w:val="bottom"/>
          </w:tcPr>
          <w:p>
            <w:pPr>
              <w:ind w:left="280"/>
              <w:spacing w:after="0"/>
              <w:rPr>
                <w:sz w:val="20"/>
                <w:szCs w:val="20"/>
                <w:color w:val="auto"/>
              </w:rPr>
            </w:pPr>
            <w:r>
              <w:rPr>
                <w:rFonts w:ascii="Arial" w:cs="Arial" w:eastAsia="Arial" w:hAnsi="Arial"/>
                <w:sz w:val="14"/>
                <w:szCs w:val="14"/>
                <w:color w:val="auto"/>
              </w:rPr>
              <w:t>withholding</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6,715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39,011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39,018</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and retirement of 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(53,151)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0" w:type="dxa"/>
            <w:vAlign w:val="bottom"/>
          </w:tcPr>
          <w:p>
            <w:pPr>
              <w:spacing w:after="0"/>
              <w:rPr>
                <w:sz w:val="1"/>
                <w:szCs w:val="1"/>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95,088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95,088</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 shortfalls, net of excess tax benefits, on stock-based compensation awards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(2,098)</w:t>
            </w:r>
          </w:p>
        </w:tc>
        <w:tc>
          <w:tcPr>
            <w:tcW w:w="0" w:type="dxa"/>
            <w:vAlign w:val="bottom"/>
          </w:tcPr>
          <w:p>
            <w:pPr>
              <w:spacing w:after="0"/>
              <w:rPr>
                <w:sz w:val="1"/>
                <w:szCs w:val="1"/>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4"/>
                <w:szCs w:val="14"/>
                <w:color w:val="auto"/>
              </w:rPr>
              <w:t>Net unrealized loss on investments - net of taxes</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7,987</w:t>
            </w:r>
          </w:p>
        </w:tc>
        <w:tc>
          <w:tcPr>
            <w:tcW w:w="0" w:type="dxa"/>
            <w:vAlign w:val="bottom"/>
          </w:tcPr>
          <w:p>
            <w:pPr>
              <w:spacing w:after="0"/>
              <w:rPr>
                <w:sz w:val="1"/>
                <w:szCs w:val="1"/>
                <w:color w:val="auto"/>
              </w:rPr>
            </w:pPr>
          </w:p>
        </w:tc>
      </w:tr>
      <w:tr>
        <w:trPr>
          <w:trHeight w:val="250"/>
        </w:trPr>
        <w:tc>
          <w:tcPr>
            <w:tcW w:w="5360" w:type="dxa"/>
            <w:vAlign w:val="bottom"/>
          </w:tcPr>
          <w:p>
            <w:pPr>
              <w:ind w:left="40"/>
              <w:spacing w:after="0"/>
              <w:rPr>
                <w:sz w:val="20"/>
                <w:szCs w:val="20"/>
                <w:color w:val="auto"/>
              </w:rPr>
            </w:pPr>
            <w:r>
              <w:rPr>
                <w:rFonts w:ascii="Arial" w:cs="Arial" w:eastAsia="Arial" w:hAnsi="Arial"/>
                <w:sz w:val="14"/>
                <w:szCs w:val="14"/>
                <w:color w:val="auto"/>
              </w:rPr>
              <w:t>BALANCE—December 31, 2015</w:t>
            </w: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171,399</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687,658</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68,481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755,377</w:t>
            </w:r>
          </w:p>
        </w:tc>
        <w:tc>
          <w:tcPr>
            <w:tcW w:w="0" w:type="dxa"/>
            <w:vAlign w:val="bottom"/>
          </w:tcPr>
          <w:p>
            <w:pPr>
              <w:spacing w:after="0"/>
              <w:rPr>
                <w:sz w:val="1"/>
                <w:szCs w:val="1"/>
                <w:color w:val="auto"/>
              </w:rPr>
            </w:pPr>
          </w:p>
        </w:tc>
      </w:tr>
      <w:tr>
        <w:trPr>
          <w:trHeight w:val="163"/>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in connection with equity incentive plans - net of tax</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withholding</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5,984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5,990</w:t>
            </w:r>
          </w:p>
        </w:tc>
        <w:tc>
          <w:tcPr>
            <w:tcW w:w="0" w:type="dxa"/>
            <w:vAlign w:val="bottom"/>
          </w:tcPr>
          <w:p>
            <w:pPr>
              <w:spacing w:after="0"/>
              <w:rPr>
                <w:sz w:val="1"/>
                <w:szCs w:val="1"/>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4"/>
                <w:szCs w:val="14"/>
                <w:color w:val="auto"/>
              </w:rPr>
              <w:t>Repurchase and retirement of common stock</w:t>
            </w:r>
          </w:p>
        </w:tc>
        <w:tc>
          <w:tcPr>
            <w:tcW w:w="900" w:type="dxa"/>
            <w:vAlign w:val="bottom"/>
          </w:tcPr>
          <w:p>
            <w:pPr>
              <w:jc w:val="right"/>
              <w:spacing w:after="0"/>
              <w:rPr>
                <w:sz w:val="20"/>
                <w:szCs w:val="20"/>
                <w:color w:val="auto"/>
              </w:rPr>
            </w:pPr>
            <w:r>
              <w:rPr>
                <w:rFonts w:ascii="Arial" w:cs="Arial" w:eastAsia="Arial" w:hAnsi="Arial"/>
                <w:sz w:val="14"/>
                <w:szCs w:val="14"/>
                <w:color w:val="auto"/>
              </w:rPr>
              <w:t>(3,854)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(16,214)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(94,610)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(110,828)</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 expense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122,423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122,423</w:t>
            </w:r>
          </w:p>
        </w:tc>
        <w:tc>
          <w:tcPr>
            <w:tcW w:w="0" w:type="dxa"/>
            <w:vAlign w:val="bottom"/>
          </w:tcPr>
          <w:p>
            <w:pPr>
              <w:spacing w:after="0"/>
              <w:rPr>
                <w:sz w:val="1"/>
                <w:szCs w:val="1"/>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4"/>
                <w:szCs w:val="14"/>
                <w:color w:val="auto"/>
              </w:rPr>
              <w:t>Cumulative-effect adjustment from adoption of ASU 2016-09</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31,562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32,364</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unrealized loss on investments - net of taxes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32,187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32,187</w:t>
            </w:r>
          </w:p>
        </w:tc>
        <w:tc>
          <w:tcPr>
            <w:tcW w:w="0" w:type="dxa"/>
            <w:vAlign w:val="bottom"/>
          </w:tcPr>
          <w:p>
            <w:pPr>
              <w:spacing w:after="0"/>
              <w:rPr>
                <w:sz w:val="1"/>
                <w:szCs w:val="1"/>
                <w:color w:val="auto"/>
              </w:rPr>
            </w:pPr>
          </w:p>
        </w:tc>
      </w:tr>
      <w:tr>
        <w:trPr>
          <w:trHeight w:val="256"/>
        </w:trPr>
        <w:tc>
          <w:tcPr>
            <w:tcW w:w="5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BALANCE—December 31, 2016</w:t>
            </w:r>
          </w:p>
        </w:tc>
        <w:tc>
          <w:tcPr>
            <w:tcW w:w="9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173,078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800,653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37,620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837,681</w:t>
            </w:r>
          </w:p>
        </w:tc>
        <w:tc>
          <w:tcPr>
            <w:tcW w:w="0" w:type="dxa"/>
            <w:vAlign w:val="bottom"/>
          </w:tcPr>
          <w:p>
            <w:pPr>
              <w:spacing w:after="0"/>
              <w:rPr>
                <w:sz w:val="1"/>
                <w:szCs w:val="1"/>
                <w:color w:val="auto"/>
              </w:rPr>
            </w:pPr>
          </w:p>
        </w:tc>
      </w:tr>
      <w:tr>
        <w:trPr>
          <w:trHeight w:val="157"/>
        </w:trPr>
        <w:tc>
          <w:tcPr>
            <w:tcW w:w="5360" w:type="dxa"/>
            <w:vAlign w:val="bottom"/>
          </w:tcPr>
          <w:p>
            <w:pPr>
              <w:ind w:left="280"/>
              <w:spacing w:after="0" w:line="157" w:lineRule="exact"/>
              <w:rPr>
                <w:sz w:val="20"/>
                <w:szCs w:val="20"/>
                <w:color w:val="auto"/>
              </w:rPr>
            </w:pPr>
            <w:r>
              <w:rPr>
                <w:rFonts w:ascii="Arial" w:cs="Arial" w:eastAsia="Arial" w:hAnsi="Arial"/>
                <w:sz w:val="14"/>
                <w:szCs w:val="14"/>
                <w:color w:val="auto"/>
              </w:rPr>
              <w:t>Issuance of common stock in connection with equity incentive plans - net of tax</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5360" w:type="dxa"/>
            <w:vAlign w:val="bottom"/>
          </w:tcPr>
          <w:p>
            <w:pPr>
              <w:ind w:left="280"/>
              <w:spacing w:after="0"/>
              <w:rPr>
                <w:sz w:val="20"/>
                <w:szCs w:val="20"/>
                <w:color w:val="auto"/>
              </w:rPr>
            </w:pPr>
            <w:r>
              <w:rPr>
                <w:rFonts w:ascii="Arial" w:cs="Arial" w:eastAsia="Arial" w:hAnsi="Arial"/>
                <w:sz w:val="14"/>
                <w:szCs w:val="14"/>
                <w:color w:val="auto"/>
              </w:rPr>
              <w:t>withholding</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29,523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29,529</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and retirement of 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(388,599)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(446,333)</w:t>
            </w:r>
          </w:p>
        </w:tc>
        <w:tc>
          <w:tcPr>
            <w:tcW w:w="0" w:type="dxa"/>
            <w:vAlign w:val="bottom"/>
          </w:tcPr>
          <w:p>
            <w:pPr>
              <w:spacing w:after="0"/>
              <w:rPr>
                <w:sz w:val="1"/>
                <w:szCs w:val="1"/>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4"/>
                <w:szCs w:val="14"/>
                <w:color w:val="auto"/>
              </w:rPr>
              <w:t>Stock-based compensation expense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137,183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137,183</w:t>
            </w:r>
          </w:p>
        </w:tc>
        <w:tc>
          <w:tcPr>
            <w:tcW w:w="0" w:type="dxa"/>
            <w:vAlign w:val="bottom"/>
          </w:tcPr>
          <w:p>
            <w:pPr>
              <w:spacing w:after="0"/>
              <w:rPr>
                <w:sz w:val="1"/>
                <w:szCs w:val="1"/>
                <w:color w:val="auto"/>
              </w:rPr>
            </w:pPr>
          </w:p>
        </w:tc>
      </w:tr>
      <w:tr>
        <w:trPr>
          <w:trHeight w:val="276"/>
        </w:trPr>
        <w:tc>
          <w:tcPr>
            <w:tcW w:w="5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unrealized gain on investments - net of tax</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31,399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31,399</w:t>
            </w:r>
          </w:p>
        </w:tc>
        <w:tc>
          <w:tcPr>
            <w:tcW w:w="0" w:type="dxa"/>
            <w:vAlign w:val="bottom"/>
          </w:tcPr>
          <w:p>
            <w:pPr>
              <w:spacing w:after="0"/>
              <w:rPr>
                <w:sz w:val="1"/>
                <w:szCs w:val="1"/>
                <w:color w:val="auto"/>
              </w:rPr>
            </w:pPr>
          </w:p>
        </w:tc>
      </w:tr>
      <w:tr>
        <w:trPr>
          <w:trHeight w:val="243"/>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BALANCE—December 31, 2017</w:t>
            </w:r>
          </w:p>
        </w:tc>
        <w:tc>
          <w:tcPr>
            <w:tcW w:w="9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909,636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(319,580)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589,377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122" w:right="29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31,399</w:t>
            </w:r>
          </w:p>
        </w:tc>
        <w:tc>
          <w:tcPr>
            <w:tcW w:w="4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32,187</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7,987</w:t>
            </w: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708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55,476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48,520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31,589</w:t>
            </w:r>
          </w:p>
        </w:tc>
      </w:tr>
      <w:tr>
        <w:trPr>
          <w:trHeight w:val="276"/>
        </w:trPr>
        <w:tc>
          <w:tcPr>
            <w:tcW w:w="70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2,542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4,780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7,457</w:t>
            </w:r>
          </w:p>
        </w:tc>
      </w:tr>
      <w:tr>
        <w:trPr>
          <w:trHeight w:val="264"/>
        </w:trPr>
        <w:tc>
          <w:tcPr>
            <w:tcW w:w="708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137,183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122,423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95,088</w:t>
            </w:r>
          </w:p>
        </w:tc>
      </w:tr>
      <w:tr>
        <w:trPr>
          <w:trHeight w:val="276"/>
        </w:trPr>
        <w:tc>
          <w:tcPr>
            <w:tcW w:w="70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Other non-cash items—net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3,780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3,391</w:t>
            </w:r>
          </w:p>
        </w:tc>
      </w:tr>
      <w:tr>
        <w:trPr>
          <w:trHeight w:val="157"/>
        </w:trPr>
        <w:tc>
          <w:tcPr>
            <w:tcW w:w="7080" w:type="dxa"/>
            <w:vAlign w:val="bottom"/>
          </w:tcPr>
          <w:p>
            <w:pPr>
              <w:ind w:left="920"/>
              <w:spacing w:after="0" w:line="157" w:lineRule="exact"/>
              <w:rPr>
                <w:sz w:val="20"/>
                <w:szCs w:val="20"/>
                <w:color w:val="auto"/>
              </w:rPr>
            </w:pPr>
            <w:r>
              <w:rPr>
                <w:rFonts w:ascii="Arial" w:cs="Arial" w:eastAsia="Arial" w:hAnsi="Arial"/>
                <w:sz w:val="14"/>
                <w:szCs w:val="14"/>
                <w:color w:val="auto"/>
                <w:w w:val="98"/>
              </w:rPr>
              <w:t>Changes in operating assets and liabilities, net of assets acquired and liabilities assumed in business</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8"/>
        </w:trPr>
        <w:tc>
          <w:tcPr>
            <w:tcW w:w="7080" w:type="dxa"/>
            <w:vAlign w:val="bottom"/>
          </w:tcPr>
          <w:p>
            <w:pPr>
              <w:ind w:left="920"/>
              <w:spacing w:after="0"/>
              <w:rPr>
                <w:sz w:val="20"/>
                <w:szCs w:val="20"/>
                <w:color w:val="auto"/>
              </w:rPr>
            </w:pPr>
            <w:r>
              <w:rPr>
                <w:rFonts w:ascii="Arial" w:cs="Arial" w:eastAsia="Arial" w:hAnsi="Arial"/>
                <w:sz w:val="14"/>
                <w:szCs w:val="14"/>
                <w:color w:val="auto"/>
              </w:rPr>
              <w:t>acquisitions: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Accounts receivable—net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(38,455)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(57,875)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(66,464)</w:t>
            </w: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Inventory</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9,423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(43,023)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(19,088)</w:t>
            </w: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(2,630)</w:t>
            </w: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Deferred tax assets</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35,824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(27,822)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(29,851)</w:t>
            </w: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assets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667</w:t>
            </w: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13,090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(2,517)</w:t>
            </w: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liabilities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14,445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883</w:t>
            </w: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Accrued payroll and compensation</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12,567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15,696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11,301</w:t>
            </w:r>
          </w:p>
        </w:tc>
      </w:tr>
      <w:tr>
        <w:trPr>
          <w:trHeight w:val="276"/>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liabilities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2,016</w:t>
            </w:r>
          </w:p>
        </w:tc>
      </w:tr>
      <w:tr>
        <w:trPr>
          <w:trHeight w:val="264"/>
        </w:trPr>
        <w:tc>
          <w:tcPr>
            <w:tcW w:w="7080" w:type="dxa"/>
            <w:vAlign w:val="bottom"/>
          </w:tcPr>
          <w:p>
            <w:pPr>
              <w:ind w:left="1460"/>
              <w:spacing w:after="0"/>
              <w:rPr>
                <w:sz w:val="20"/>
                <w:szCs w:val="20"/>
                <w:color w:val="auto"/>
              </w:rPr>
            </w:pPr>
            <w:r>
              <w:rPr>
                <w:rFonts w:ascii="Arial" w:cs="Arial" w:eastAsia="Arial" w:hAnsi="Arial"/>
                <w:sz w:val="14"/>
                <w:szCs w:val="14"/>
                <w:color w:val="auto"/>
              </w:rPr>
              <w:t>Deferred revenue</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300,839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242,961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222,346</w:t>
            </w:r>
          </w:p>
        </w:tc>
      </w:tr>
      <w:tr>
        <w:trPr>
          <w:trHeight w:val="270"/>
        </w:trPr>
        <w:tc>
          <w:tcPr>
            <w:tcW w:w="70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Income taxes payable</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29,508</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13,137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20,372</w:t>
            </w:r>
          </w:p>
        </w:tc>
      </w:tr>
      <w:tr>
        <w:trPr>
          <w:trHeight w:val="250"/>
        </w:trPr>
        <w:tc>
          <w:tcPr>
            <w:tcW w:w="708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594,405</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345,708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282,547</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(669,171)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(473,608)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(459,903)</w:t>
            </w: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Sales of investments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300,317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28,311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47,900</w:t>
            </w: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Maturities of investments</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427,363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460,443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486,419</w:t>
            </w: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(135,312)</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(67,182)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(37,358)</w:t>
            </w:r>
          </w:p>
        </w:tc>
      </w:tr>
      <w:tr>
        <w:trPr>
          <w:trHeight w:val="264"/>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Payments made in connection with business acquisitions, net of cash acquired</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(22,087)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(38,025)</w:t>
            </w:r>
          </w:p>
        </w:tc>
      </w:tr>
      <w:tr>
        <w:trPr>
          <w:trHeight w:val="256"/>
        </w:trPr>
        <w:tc>
          <w:tcPr>
            <w:tcW w:w="708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(76,803)</w:t>
            </w:r>
          </w:p>
        </w:tc>
        <w:tc>
          <w:tcPr>
            <w:tcW w:w="4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(74,123)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(967)</w:t>
            </w:r>
          </w:p>
        </w:tc>
      </w:tr>
      <w:tr>
        <w:trPr>
          <w:trHeight w:val="258"/>
        </w:trPr>
        <w:tc>
          <w:tcPr>
            <w:tcW w:w="708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Repurchase and retirement of common stock</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(446,333)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(110,828)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w:t>
            </w:r>
          </w:p>
        </w:tc>
      </w:tr>
      <w:tr>
        <w:trPr>
          <w:trHeight w:val="264"/>
        </w:trPr>
        <w:tc>
          <w:tcPr>
            <w:tcW w:w="7080" w:type="dxa"/>
            <w:vAlign w:val="bottom"/>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3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75,869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44,861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67,314</w:t>
            </w:r>
          </w:p>
        </w:tc>
      </w:tr>
      <w:tr>
        <w:trPr>
          <w:trHeight w:val="27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(45,137)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(38,266)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(28,871)</w:t>
            </w:r>
          </w:p>
        </w:tc>
      </w:tr>
      <w:tr>
        <w:trPr>
          <w:trHeight w:val="264"/>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Payments of debt assumed in connection with business acquisition</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08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used in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(415,601)</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(105,859)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(21,557)</w:t>
            </w:r>
          </w:p>
        </w:tc>
      </w:tr>
      <w:tr>
        <w:trPr>
          <w:trHeight w:val="250"/>
        </w:trPr>
        <w:tc>
          <w:tcPr>
            <w:tcW w:w="708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34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102,001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165,726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260,023</w:t>
            </w: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year</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709,003</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543,277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283,254</w:t>
            </w:r>
          </w:p>
        </w:tc>
      </w:tr>
      <w:tr>
        <w:trPr>
          <w:trHeight w:val="283"/>
        </w:trPr>
        <w:tc>
          <w:tcPr>
            <w:tcW w:w="7080" w:type="dxa"/>
            <w:vAlign w:val="bottom"/>
          </w:tcPr>
          <w:p>
            <w:pPr>
              <w:ind w:left="40"/>
              <w:spacing w:after="0"/>
              <w:rPr>
                <w:sz w:val="20"/>
                <w:szCs w:val="20"/>
                <w:color w:val="auto"/>
              </w:rPr>
            </w:pPr>
            <w:r>
              <w:rPr>
                <w:rFonts w:ascii="Arial" w:cs="Arial" w:eastAsia="Arial" w:hAnsi="Arial"/>
                <w:sz w:val="14"/>
                <w:szCs w:val="14"/>
                <w:color w:val="auto"/>
              </w:rPr>
              <w:t>CASH AND CASH EQUIVALENTS—End of year</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811,004</w:t>
            </w:r>
          </w:p>
        </w:tc>
        <w:tc>
          <w:tcPr>
            <w:tcW w:w="4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709,003</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543,277</w:t>
            </w:r>
          </w:p>
        </w:tc>
      </w:tr>
      <w:tr>
        <w:trPr>
          <w:trHeight w:val="251"/>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3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r>
      <w:tr>
        <w:trPr>
          <w:trHeight w:val="297"/>
        </w:trPr>
        <w:tc>
          <w:tcPr>
            <w:tcW w:w="7080" w:type="dxa"/>
            <w:vAlign w:val="bottom"/>
          </w:tcPr>
          <w:p>
            <w:pPr>
              <w:ind w:left="500"/>
              <w:spacing w:after="0"/>
              <w:rPr>
                <w:sz w:val="20"/>
                <w:szCs w:val="20"/>
                <w:color w:val="auto"/>
              </w:rPr>
            </w:pPr>
            <w:r>
              <w:rPr>
                <w:rFonts w:ascii="Arial" w:cs="Arial" w:eastAsia="Arial" w:hAnsi="Arial"/>
                <w:sz w:val="14"/>
                <w:szCs w:val="14"/>
                <w:color w:val="auto"/>
              </w:rPr>
              <w:t>Cash paid for income taxes—net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32,157</w:t>
            </w:r>
          </w:p>
        </w:tc>
        <w:tc>
          <w:tcPr>
            <w:tcW w:w="4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26,608</w:t>
            </w:r>
          </w:p>
        </w:tc>
        <w:tc>
          <w:tcPr>
            <w:tcW w:w="10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18,893</w:t>
            </w:r>
          </w:p>
        </w:tc>
      </w:tr>
      <w:tr>
        <w:trPr>
          <w:trHeight w:val="251"/>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3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r>
      <w:tr>
        <w:trPr>
          <w:trHeight w:val="297"/>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20,979</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21,069</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17,395</w:t>
            </w:r>
          </w:p>
        </w:tc>
      </w:tr>
      <w:tr>
        <w:trPr>
          <w:trHeight w:val="21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Liability for purchase of property and equipment and asset retirement obligations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8,111</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8,157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9,870</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7080" w:type="dxa"/>
            <w:vAlign w:val="bottom"/>
          </w:tcPr>
          <w:p>
            <w:pPr>
              <w:ind w:left="500"/>
              <w:spacing w:after="0"/>
              <w:rPr>
                <w:sz w:val="20"/>
                <w:szCs w:val="20"/>
                <w:color w:val="auto"/>
              </w:rPr>
            </w:pPr>
            <w:r>
              <w:rPr>
                <w:rFonts w:ascii="Arial" w:cs="Arial" w:eastAsia="Arial" w:hAnsi="Arial"/>
                <w:sz w:val="14"/>
                <w:szCs w:val="14"/>
                <w:color w:val="auto"/>
              </w:rPr>
              <w:t>Equity awards assumed in connection with business acquisition</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471</w:t>
            </w:r>
          </w:p>
        </w:tc>
      </w:tr>
      <w:tr>
        <w:trPr>
          <w:trHeight w:val="20"/>
        </w:trPr>
        <w:tc>
          <w:tcPr>
            <w:tcW w:w="7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2" w:right="239" w:bottom="1440" w:gutter="0" w:footer="0" w:header="0"/>
          <w:type w:val="continuous"/>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b w:val="1"/>
          <w:bCs w:val="1"/>
          <w:color w:val="auto"/>
        </w:rPr>
        <w:t>Business</w:t>
      </w:r>
      <w:r>
        <w:rPr>
          <w:rFonts w:ascii="Arial" w:cs="Arial" w:eastAsia="Arial" w:hAnsi="Arial"/>
          <w:sz w:val="18"/>
          <w:szCs w:val="18"/>
          <w:color w:val="auto"/>
        </w:rPr>
        <w:t>—Fortinet, Inc. (“Fortinet”) was incorporated in Delaware in November 2000 and is a global leader in broad, automated and integrated</w:t>
      </w:r>
      <w:r>
        <w:rPr>
          <w:rFonts w:ascii="Arial" w:cs="Arial" w:eastAsia="Arial" w:hAnsi="Arial"/>
          <w:sz w:val="18"/>
          <w:szCs w:val="18"/>
          <w:b w:val="1"/>
          <w:bCs w:val="1"/>
          <w:color w:val="auto"/>
        </w:rPr>
        <w:t xml:space="preserve"> </w:t>
      </w:r>
      <w:r>
        <w:rPr>
          <w:rFonts w:ascii="Arial" w:cs="Arial" w:eastAsia="Arial" w:hAnsi="Arial"/>
          <w:sz w:val="18"/>
          <w:szCs w:val="18"/>
          <w:color w:val="auto"/>
        </w:rPr>
        <w:t>cybersecurity solutions. Fortinet provides high performance cybersecurity solutions to a wide variety of businesses, such as enterprises, data centers and distributed offices, including a majority of the Fortune 100 companies. Fortinet’s cybersecurity solutions are designed to provide broad, automated and integrated protection against dynamic and sophisticated security threats, while simplifying the information technology and security infrastructure of our end-customers.</w:t>
      </w:r>
    </w:p>
    <w:p>
      <w:pPr>
        <w:spacing w:after="0" w:line="184" w:lineRule="exact"/>
        <w:rPr>
          <w:sz w:val="20"/>
          <w:szCs w:val="20"/>
          <w:color w:val="auto"/>
        </w:rPr>
      </w:pPr>
    </w:p>
    <w:p>
      <w:pPr>
        <w:ind w:right="400" w:firstLine="648"/>
        <w:spacing w:after="0" w:line="266" w:lineRule="auto"/>
        <w:rPr>
          <w:sz w:val="20"/>
          <w:szCs w:val="20"/>
          <w:color w:val="auto"/>
        </w:rPr>
      </w:pPr>
      <w:r>
        <w:rPr>
          <w:rFonts w:ascii="Arial" w:cs="Arial" w:eastAsia="Arial" w:hAnsi="Arial"/>
          <w:sz w:val="18"/>
          <w:szCs w:val="18"/>
          <w:b w:val="1"/>
          <w:bCs w:val="1"/>
          <w:color w:val="auto"/>
        </w:rPr>
        <w:t>Basis of Presentation and Preparation</w:t>
      </w:r>
      <w:r>
        <w:rPr>
          <w:rFonts w:ascii="Arial" w:cs="Arial" w:eastAsia="Arial" w:hAnsi="Arial"/>
          <w:sz w:val="18"/>
          <w:szCs w:val="18"/>
          <w:color w:val="auto"/>
        </w:rPr>
        <w:t>—The consolidated financial statements of Fortinet and its wholly owned subsidiaries (collectively,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“we,” “us” or “our”) have been prepared in accordance with generally accepted accounting principles in the United States (“GAAP”). All intercompany transactions and balances have been eliminated in consolidation.</w:t>
      </w:r>
    </w:p>
    <w:p>
      <w:pPr>
        <w:spacing w:after="0" w:line="176" w:lineRule="exact"/>
        <w:rPr>
          <w:sz w:val="20"/>
          <w:szCs w:val="20"/>
          <w:color w:val="auto"/>
        </w:rPr>
      </w:pPr>
    </w:p>
    <w:p>
      <w:pPr>
        <w:ind w:firstLine="648"/>
        <w:spacing w:after="0" w:line="295"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consolidated financial statements in accordance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amounts reported in the consolidated financial statements and accompanying notes. Such management estimates include, but are not limited to, the best estimate of selling price (“BESP”) for our products and services, stock-based compensation, inventory valuation, fair value of assets acquired and liabilities assumed in business combinations, measurement of liabilities for uncertain tax positions and deferred tax assets, assessment of recoverability of our goodwill and other long-lived assets, sales returns reserve, restructuring expenses and other loss contingencies. We base our estimates on historical experience and also on assumptions that we believe are reasonable. Actual results could differ from those estimates.</w:t>
      </w:r>
    </w:p>
    <w:p>
      <w:pPr>
        <w:spacing w:after="0" w:line="156"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Concentration of Credit Risk</w:t>
      </w:r>
      <w:r>
        <w:rPr>
          <w:rFonts w:ascii="Arial" w:cs="Arial" w:eastAsia="Arial" w:hAnsi="Arial"/>
          <w:sz w:val="18"/>
          <w:szCs w:val="18"/>
          <w:color w:val="auto"/>
        </w:rPr>
        <w:t>—Financial instruments that subject us to concentrations of credit risk consist primarily of cash,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short-term and long-term investments and accounts receivable. Our cash balances are maintained as deposits with various large financial institutions in the United States and around the world. Balances in the United States typically exceed the amount of insurance provided on such deposits. We maintain our cash equivalents and investments in money market funds, commercial paper and fixed income securities with major financial institutions that our management believes are financially sound.</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accounts receivables are primarily derived from our channel partners in various geographic locations. We perform ongoing credit evaluations of our customers. We generally do not require collateral on accounts receivable and we maintain reserves for estimated potential credit losses. As of December 31, 2017, one distributor, Exclusive Networks Group (“Exclusive”), accounted for 35% of total net accounts receivable. In July 2017, Exclusive acquired the U.S. division of Fine Tec Computers (“Fine Tec U.S.”). Fine Tec U.S.’s revenue and accounts receivable have been combined with Exclusive’s from the date of acquisition. As of December 31, 2016, two distributors, Exclusive and Fine Tec Computers, accounted for 26% and 10% of total net accounts receivable, respectively.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2015, 2016 and 2017, Exclusive accounted for 18%, 20% and 25% of total revenue, respectively.</w:t>
      </w:r>
    </w:p>
    <w:p>
      <w:pPr>
        <w:spacing w:after="0" w:line="221"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Financial Instruments and Fair Value</w:t>
      </w:r>
      <w:r>
        <w:rPr>
          <w:rFonts w:ascii="Arial" w:cs="Arial" w:eastAsia="Arial" w:hAnsi="Arial"/>
          <w:sz w:val="18"/>
          <w:szCs w:val="18"/>
          <w:color w:val="auto"/>
        </w:rPr>
        <w:t>—We apply fair value accounting for all financial assets and liabilities and non-financial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recognized or disclosed at fair value in the financial statements on a recurring basis. Due to their short-term nature, the carrying amounts reported in the consolidated financial statements approximate the fair value for cash and cash equivalents, accounts receivable, accounts payable, accrued liabilities, and accrued payroll and compensation.</w:t>
      </w:r>
    </w:p>
    <w:p>
      <w:pPr>
        <w:spacing w:after="0" w:line="18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Comprehensive Income</w:t>
      </w:r>
      <w:r>
        <w:rPr>
          <w:rFonts w:ascii="Arial" w:cs="Arial" w:eastAsia="Arial" w:hAnsi="Arial"/>
          <w:sz w:val="18"/>
          <w:szCs w:val="18"/>
          <w:color w:val="auto"/>
        </w:rPr>
        <w:t>—Comprehensive income includes certain changes in equity from non-owner sources that are excluded from 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unrealized gains and losses on available-for-sale investments and the related tax impact.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2"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80" w:firstLine="648"/>
        <w:spacing w:after="0" w:line="258" w:lineRule="auto"/>
        <w:rPr>
          <w:sz w:val="20"/>
          <w:szCs w:val="20"/>
          <w:color w:val="auto"/>
        </w:rPr>
      </w:pPr>
      <w:r>
        <w:rPr>
          <w:rFonts w:ascii="Arial" w:cs="Arial" w:eastAsia="Arial" w:hAnsi="Arial"/>
          <w:sz w:val="18"/>
          <w:szCs w:val="18"/>
          <w:b w:val="1"/>
          <w:bCs w:val="1"/>
          <w:color w:val="auto"/>
        </w:rPr>
        <w:t>Foreign Currency and Transaction Gains and Losses</w:t>
      </w:r>
      <w:r>
        <w:rPr>
          <w:rFonts w:ascii="Arial" w:cs="Arial" w:eastAsia="Arial" w:hAnsi="Arial"/>
          <w:sz w:val="18"/>
          <w:szCs w:val="18"/>
          <w:color w:val="auto"/>
        </w:rPr>
        <w:t>—The functional currency of our foreign subsidiaries is the U.S. dollar. Accordingly,</w:t>
      </w:r>
      <w:r>
        <w:rPr>
          <w:rFonts w:ascii="Arial" w:cs="Arial" w:eastAsia="Arial" w:hAnsi="Arial"/>
          <w:sz w:val="18"/>
          <w:szCs w:val="18"/>
          <w:b w:val="1"/>
          <w:bCs w:val="1"/>
          <w:color w:val="auto"/>
        </w:rPr>
        <w:t xml:space="preserve"> </w:t>
      </w:r>
      <w:r>
        <w:rPr>
          <w:rFonts w:ascii="Arial" w:cs="Arial" w:eastAsia="Arial" w:hAnsi="Arial"/>
          <w:sz w:val="18"/>
          <w:szCs w:val="18"/>
          <w:color w:val="auto"/>
        </w:rPr>
        <w:t>monetary assets and liabilities denominated in foreign currencies have been remeasured into U.S. dollars using the exchange rates in effect at the balance sheet dates. Foreign currency denominated income and expenses have been remeasured using the exchange rates in effect during each period. Foreign currency remeasurement gains (losses) of $1.0 million, $(6.6) million and $(3.2) million are included in other income (expense)—net for 2017, 2016 and 2015, respectively.</w:t>
      </w:r>
    </w:p>
    <w:p>
      <w:pPr>
        <w:spacing w:after="0" w:line="184"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Cash, Cash Equivalents and Available-for-Sale Investments</w:t>
      </w:r>
      <w:r>
        <w:rPr>
          <w:rFonts w:ascii="Arial" w:cs="Arial" w:eastAsia="Arial" w:hAnsi="Arial"/>
          <w:sz w:val="18"/>
          <w:szCs w:val="18"/>
          <w:color w:val="auto"/>
        </w:rPr>
        <w:t>—We consider all highly liquid investments, purchased with original maturities of</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or less, to be cash equivalents. Cash and cash equivalents consist of balances with banks and highly liquid investments in money market funds, commercial paper, term deposits and corporate debt.</w:t>
      </w:r>
    </w:p>
    <w:p>
      <w:pPr>
        <w:spacing w:after="0" w:line="180"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classify our investments as available-for-sale at the time of purchase, since it is our intent that these investments are available for current operations. Investments with original maturities greater than three months that mature less than one year from the consolidated balance sheet date are classified as short-term investments. Investments with maturities greater than one year from the consolidated balance sheet date are classified as long-term investments.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Investments are considered to be impaired when a decline in fair value is judged to be other-than-temporary. We consult with our investment managers and consider available quantitative and qualitative evidence in evaluating potential impairment of our investments on a quarterly basis. If the cost of an individual investment exceeds its fair value, we evaluate, among other factors, general market conditions, the duration and extent to which the fair value is less than cost, and our intent and ability to hold the investment. Once a decline in fair value is determined to be other-than-temporary, an impairment charge is recorded and a new cost basis in the investment is established.</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debt securities in an unrealized loss position which is deemed to be other-than-temporary, the difference between the security’s then-current amortized cost basis and fair value is separated into (i) the amount of the impairment related to the credit loss (i.e., the credit loss component) and (ii) the amount of the impairment related to all other factors (i.e., the non-credit loss component). The credit loss component is recognized in earnings. The non-credit loss component is recognized in accumulated other comprehensive loss.</w:t>
      </w:r>
    </w:p>
    <w:p>
      <w:pPr>
        <w:spacing w:after="0" w:line="183" w:lineRule="exact"/>
        <w:rPr>
          <w:sz w:val="20"/>
          <w:szCs w:val="20"/>
          <w:color w:val="auto"/>
        </w:rPr>
      </w:pPr>
    </w:p>
    <w:p>
      <w:pPr>
        <w:ind w:right="140" w:firstLine="648"/>
        <w:spacing w:after="0" w:line="274" w:lineRule="auto"/>
        <w:rPr>
          <w:sz w:val="20"/>
          <w:szCs w:val="20"/>
          <w:color w:val="auto"/>
        </w:rPr>
      </w:pPr>
      <w:r>
        <w:rPr>
          <w:rFonts w:ascii="Arial" w:cs="Arial" w:eastAsia="Arial" w:hAnsi="Arial"/>
          <w:sz w:val="17"/>
          <w:szCs w:val="17"/>
          <w:b w:val="1"/>
          <w:bCs w:val="1"/>
          <w:color w:val="auto"/>
        </w:rPr>
        <w:t>Inventory</w:t>
      </w:r>
      <w:r>
        <w:rPr>
          <w:rFonts w:ascii="Arial" w:cs="Arial" w:eastAsia="Arial" w:hAnsi="Arial"/>
          <w:sz w:val="17"/>
          <w:szCs w:val="17"/>
          <w:color w:val="auto"/>
        </w:rPr>
        <w:t>—As of December 31, 2016, inventory is recorded at the lower of cost or market. On January 1, 2017, we adopted Accounting Standards</w:t>
      </w:r>
      <w:r>
        <w:rPr>
          <w:rFonts w:ascii="Arial" w:cs="Arial" w:eastAsia="Arial" w:hAnsi="Arial"/>
          <w:sz w:val="17"/>
          <w:szCs w:val="17"/>
          <w:b w:val="1"/>
          <w:bCs w:val="1"/>
          <w:color w:val="auto"/>
        </w:rPr>
        <w:t xml:space="preserve"> </w:t>
      </w:r>
      <w:r>
        <w:rPr>
          <w:rFonts w:ascii="Arial" w:cs="Arial" w:eastAsia="Arial" w:hAnsi="Arial"/>
          <w:sz w:val="17"/>
          <w:szCs w:val="17"/>
          <w:color w:val="auto"/>
        </w:rPr>
        <w:t>Update (“ASU”) 2015-11—Inventory: Simplifying the Measurement of Inventory. As such, as of December 31, 2017, inventory is recorded at the lower of cost or net realizable value. Adoption of ASU 2015-11 did not have an impact on our consolidated financial statements. Cost is computed using the first-in, first-out method. In assessing the ultimate recoverability of inventory, we make estimates regarding future customer demand, the timing of new product introductions, economic trends and market conditions. If the actual product demand is significantly lower than forecasted, we could be required to record inventory write-downs which would be charged to cost of product revenue.</w:t>
      </w:r>
    </w:p>
    <w:p>
      <w:pPr>
        <w:spacing w:after="0" w:line="174"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Property and Equipment</w:t>
      </w: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300" w:type="dxa"/>
            <w:vAlign w:val="bottom"/>
          </w:tcPr>
          <w:p>
            <w:pPr>
              <w:jc w:val="right"/>
              <w:ind w:right="771"/>
              <w:spacing w:after="0"/>
              <w:rPr>
                <w:sz w:val="20"/>
                <w:szCs w:val="20"/>
                <w:color w:val="auto"/>
              </w:rPr>
            </w:pPr>
            <w:r>
              <w:rPr>
                <w:rFonts w:ascii="Arial" w:cs="Arial" w:eastAsia="Arial" w:hAnsi="Arial"/>
                <w:sz w:val="16"/>
                <w:szCs w:val="16"/>
                <w:b w:val="1"/>
                <w:bCs w:val="1"/>
                <w:color w:val="auto"/>
              </w:rPr>
              <w:t>Estimated Useful Lives</w:t>
            </w:r>
          </w:p>
        </w:tc>
      </w:tr>
      <w:tr>
        <w:trPr>
          <w:trHeight w:val="33"/>
        </w:trPr>
        <w:tc>
          <w:tcPr>
            <w:tcW w:w="812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building improvements</w:t>
            </w: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to 30 years</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3300" w:type="dxa"/>
            <w:vAlign w:val="bottom"/>
          </w:tcPr>
          <w:p>
            <w:pPr>
              <w:jc w:val="right"/>
              <w:spacing w:after="0"/>
              <w:rPr>
                <w:sz w:val="20"/>
                <w:szCs w:val="20"/>
                <w:color w:val="auto"/>
              </w:rPr>
            </w:pPr>
            <w:r>
              <w:rPr>
                <w:rFonts w:ascii="Arial" w:cs="Arial" w:eastAsia="Arial" w:hAnsi="Arial"/>
                <w:sz w:val="18"/>
                <w:szCs w:val="18"/>
                <w:color w:val="auto"/>
              </w:rPr>
              <w:t>1 to 7 years</w:t>
            </w:r>
          </w:p>
        </w:tc>
      </w:tr>
      <w:tr>
        <w:trPr>
          <w:trHeight w:val="27"/>
        </w:trPr>
        <w:tc>
          <w:tcPr>
            <w:tcW w:w="8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3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year</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300" w:type="dxa"/>
            <w:vAlign w:val="bottom"/>
          </w:tcPr>
          <w:p>
            <w:pPr>
              <w:jc w:val="right"/>
              <w:spacing w:after="0"/>
              <w:rPr>
                <w:sz w:val="20"/>
                <w:szCs w:val="20"/>
                <w:color w:val="auto"/>
              </w:rPr>
            </w:pPr>
            <w:r>
              <w:rPr>
                <w:rFonts w:ascii="Arial" w:cs="Arial" w:eastAsia="Arial" w:hAnsi="Arial"/>
                <w:sz w:val="18"/>
                <w:szCs w:val="18"/>
                <w:color w:val="auto"/>
              </w:rPr>
              <w:t>3 to 5 years</w:t>
            </w:r>
          </w:p>
        </w:tc>
      </w:tr>
      <w:tr>
        <w:trPr>
          <w:trHeight w:val="27"/>
        </w:trPr>
        <w:tc>
          <w:tcPr>
            <w:tcW w:w="8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Shorter of useful life or lease term</w:t>
            </w:r>
          </w:p>
        </w:tc>
      </w:tr>
      <w:tr>
        <w:trPr>
          <w:trHeight w:val="27"/>
        </w:trPr>
        <w:tc>
          <w:tcPr>
            <w:tcW w:w="8120" w:type="dxa"/>
            <w:vAlign w:val="bottom"/>
            <w:shd w:val="clear" w:color="auto" w:fill="CCEEFF"/>
          </w:tcPr>
          <w:p>
            <w:pPr>
              <w:spacing w:after="0"/>
              <w:rPr>
                <w:sz w:val="2"/>
                <w:szCs w:val="2"/>
                <w:color w:val="auto"/>
              </w:rPr>
            </w:pPr>
          </w:p>
        </w:tc>
        <w:tc>
          <w:tcPr>
            <w:tcW w:w="3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b w:val="1"/>
          <w:bCs w:val="1"/>
          <w:color w:val="auto"/>
        </w:rPr>
        <w:t>Other Investments</w:t>
      </w:r>
      <w:r>
        <w:rPr>
          <w:rFonts w:ascii="Arial" w:cs="Arial" w:eastAsia="Arial" w:hAnsi="Arial"/>
          <w:sz w:val="18"/>
          <w:szCs w:val="18"/>
          <w:color w:val="auto"/>
        </w:rPr>
        <w:t>—Investments in privately held companies where we own less than 20% of the voting stock and have no indicators of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influence over operating and financial policies of those companies are included in other assets in the consolidated balance sheets and are accounted for under the cost method. For these non-quoted investments, we regularly review the assumptions underlying the operating performance and cash flow forecasts as well as current fundraising activities and valuations based on information provided by these privately held companies. If it is determined that an other-than-temporary decline exists in an equity security, we write down the investment to its fair value and record the related impairment as an investment loss in our consolidated statements of operations.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firstLine="648"/>
        <w:spacing w:after="0" w:line="303" w:lineRule="auto"/>
        <w:rPr>
          <w:sz w:val="20"/>
          <w:szCs w:val="20"/>
          <w:color w:val="auto"/>
        </w:rPr>
      </w:pPr>
      <w:r>
        <w:rPr>
          <w:rFonts w:ascii="Arial" w:cs="Arial" w:eastAsia="Arial" w:hAnsi="Arial"/>
          <w:sz w:val="16"/>
          <w:szCs w:val="16"/>
          <w:b w:val="1"/>
          <w:bCs w:val="1"/>
          <w:color w:val="auto"/>
        </w:rPr>
        <w:t>Consolidation of Variable Interest Entities</w:t>
      </w:r>
      <w:r>
        <w:rPr>
          <w:rFonts w:ascii="Arial" w:cs="Arial" w:eastAsia="Arial" w:hAnsi="Arial"/>
          <w:sz w:val="16"/>
          <w:szCs w:val="16"/>
          <w:color w:val="auto"/>
        </w:rPr>
        <w:t>—We use a qualitative approach in assessing the consolidation requirement for variable interest entities</w:t>
      </w:r>
      <w:r>
        <w:rPr>
          <w:rFonts w:ascii="Arial" w:cs="Arial" w:eastAsia="Arial" w:hAnsi="Arial"/>
          <w:sz w:val="16"/>
          <w:szCs w:val="16"/>
          <w:b w:val="1"/>
          <w:bCs w:val="1"/>
          <w:color w:val="auto"/>
        </w:rPr>
        <w:t xml:space="preserve"> </w:t>
      </w:r>
      <w:r>
        <w:rPr>
          <w:rFonts w:ascii="Arial" w:cs="Arial" w:eastAsia="Arial" w:hAnsi="Arial"/>
          <w:sz w:val="16"/>
          <w:szCs w:val="16"/>
          <w:color w:val="auto"/>
        </w:rPr>
        <w:t>(“VIEs”). This approach focuses on determining whether we have the power to direct the activities of the VIE that most significantly affect the VIE’s economic performance and whether we have the obligation to absorb losses, or the right to receive benefits, that could potentially be significant to the VIE. For all periods presented in the accompanying consolidated financial statements, we have determined that we are not the primary beneficiary of any VIEs.</w:t>
      </w:r>
    </w:p>
    <w:p>
      <w:pPr>
        <w:spacing w:after="0" w:line="151"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Business Combinations</w:t>
      </w:r>
      <w:r>
        <w:rPr>
          <w:rFonts w:ascii="Arial" w:cs="Arial" w:eastAsia="Arial" w:hAnsi="Arial"/>
          <w:sz w:val="18"/>
          <w:szCs w:val="18"/>
          <w:color w:val="auto"/>
        </w:rPr>
        <w:t>—We include the results of operations of the businesses that we acquire as of the respective dates of acquisition. We allocate</w:t>
      </w:r>
      <w:r>
        <w:rPr>
          <w:rFonts w:ascii="Arial" w:cs="Arial" w:eastAsia="Arial" w:hAnsi="Arial"/>
          <w:sz w:val="18"/>
          <w:szCs w:val="18"/>
          <w:b w:val="1"/>
          <w:bCs w:val="1"/>
          <w:color w:val="auto"/>
        </w:rPr>
        <w:t xml:space="preserve"> </w:t>
      </w:r>
      <w:r>
        <w:rPr>
          <w:rFonts w:ascii="Arial" w:cs="Arial" w:eastAsia="Arial" w:hAnsi="Arial"/>
          <w:sz w:val="18"/>
          <w:szCs w:val="18"/>
          <w:color w:val="auto"/>
        </w:rPr>
        <w:t>the fair value of the purchase price of our business acquisitions to the tangible and intangible assets acquired and liabilities assumed, based on their estimated fair values. The excess of the purchase price over the fair values of these identifiable assets and liabilities is recorded as goodwill. We often continue to gather additional information throughout the measurement period, and if we make changes to the amounts recorded, such amounts are recorded in the period in which they are identified.</w:t>
      </w:r>
    </w:p>
    <w:p>
      <w:pPr>
        <w:spacing w:after="0" w:line="184"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Impairment of Long-Lived Assets</w:t>
      </w:r>
      <w:r>
        <w:rPr>
          <w:rFonts w:ascii="Arial" w:cs="Arial" w:eastAsia="Arial" w:hAnsi="Arial"/>
          <w:sz w:val="18"/>
          <w:szCs w:val="18"/>
          <w:color w:val="auto"/>
        </w:rPr>
        <w:t>—We evaluate events and changes in circumstances that could indicate carrying amounts of long-lived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intangible assets, may not be recoverable. When such events or changes in circumstances occur, we assess the recoverability of long-lived assets by determining whether the carrying value of such assets 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Restructuring</w:t>
      </w:r>
      <w:r>
        <w:rPr>
          <w:rFonts w:ascii="Arial" w:cs="Arial" w:eastAsia="Arial" w:hAnsi="Arial"/>
          <w:sz w:val="17"/>
          <w:szCs w:val="17"/>
          <w:color w:val="auto"/>
        </w:rPr>
        <w:t>— Our restructuring expenses consist of severance and other one-time benefits, contract terminations and other expenses. Liabilities</w:t>
      </w:r>
      <w:r>
        <w:rPr>
          <w:rFonts w:ascii="Arial" w:cs="Arial" w:eastAsia="Arial" w:hAnsi="Arial"/>
          <w:sz w:val="17"/>
          <w:szCs w:val="17"/>
          <w:b w:val="1"/>
          <w:bCs w:val="1"/>
          <w:color w:val="auto"/>
        </w:rPr>
        <w:t xml:space="preserve"> </w:t>
      </w:r>
      <w:r>
        <w:rPr>
          <w:rFonts w:ascii="Arial" w:cs="Arial" w:eastAsia="Arial" w:hAnsi="Arial"/>
          <w:sz w:val="17"/>
          <w:szCs w:val="17"/>
          <w:color w:val="auto"/>
        </w:rPr>
        <w:t>for costs associated with a restructuring activity are measured at fair value. One-time termination benefits are expensed at the date we notify the employee, unless the employee must provide future service, in which case the benefits are expensed ratably over the future service period. A liability for terminating a contract before the end of its term, which is usually done by giving written notice to the counterparty within the notification period specified by the contract or by otherwise negotiating a termination with the counterparty, is recognized at fair value on the notification date. A liability for costs that will continue to be incurred under a contract for its remaining term without economic benefit to the entity is recognized at the cease-use date. Other costs primarily consist of asset write-offs, which are expensed when incurred.</w:t>
      </w:r>
    </w:p>
    <w:p>
      <w:pPr>
        <w:spacing w:after="0" w:line="172"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b w:val="1"/>
          <w:bCs w:val="1"/>
          <w:color w:val="auto"/>
        </w:rPr>
        <w:t>Goodwill</w:t>
      </w:r>
      <w:r>
        <w:rPr>
          <w:rFonts w:ascii="Arial" w:cs="Arial" w:eastAsia="Arial" w:hAnsi="Arial"/>
          <w:sz w:val="16"/>
          <w:szCs w:val="16"/>
          <w:color w:val="auto"/>
        </w:rPr>
        <w:t>—Goodwill represents the excess of purchase consideration over the estimated fair value of net assets of businesses acquired in a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Goodwill acquired in a business combination is not amortized, but instead tested for impairment at least annually during the fourth quarter, or sooner when circumstances indicate an impairment may exist. We perform a qualitative assessment in the fourth quarter of each year, or more frequently if indicators of potential impairment exist, to determine if any events or circumstances exist, such as an adverse change in business climate or a decline in the overall industry that would indicate that it would more likely than not reduce the fair value of a reporting unit below its carrying amount, including goodwill. Then we perform a quantitative impairment test by comparing the fair value of a reporting unit with its carrying amount. Any excess in the carrying value of a reporting unit’s goodwill over its fair value is recognized as an impairment loss, limited to the total amount of goodwill allocated to that reporting unit.</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performed our annual goodwill impairment analysis and did not identify any impairment indicators as a result of the review. As of December 31, 2017, we had one reporting unit.</w:t>
      </w:r>
    </w:p>
    <w:p>
      <w:pPr>
        <w:spacing w:after="0" w:line="166"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Other Intangible Assets</w:t>
      </w:r>
      <w:r>
        <w:rPr>
          <w:rFonts w:ascii="Arial" w:cs="Arial" w:eastAsia="Arial" w:hAnsi="Arial"/>
          <w:sz w:val="18"/>
          <w:szCs w:val="18"/>
          <w:color w:val="auto"/>
        </w:rPr>
        <w:t>—Intangible assets with finite lives are carried at cost, less accumulated amortization. Amortization is computed using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straight-line and accelerated method over the estimated economic lives of the assets, which range from one to five years.</w:t>
      </w:r>
    </w:p>
    <w:p>
      <w:pPr>
        <w:spacing w:after="0" w:line="162" w:lineRule="exact"/>
        <w:rPr>
          <w:sz w:val="20"/>
          <w:szCs w:val="20"/>
          <w:color w:val="auto"/>
        </w:rPr>
      </w:pPr>
    </w:p>
    <w:p>
      <w:pPr>
        <w:jc w:val="both"/>
        <w:ind w:right="160" w:firstLine="648"/>
        <w:spacing w:after="0" w:line="347" w:lineRule="auto"/>
        <w:rPr>
          <w:sz w:val="20"/>
          <w:szCs w:val="20"/>
          <w:color w:val="auto"/>
        </w:rPr>
      </w:pPr>
      <w:r>
        <w:rPr>
          <w:rFonts w:ascii="Arial" w:cs="Arial" w:eastAsia="Arial" w:hAnsi="Arial"/>
          <w:sz w:val="16"/>
          <w:szCs w:val="16"/>
          <w:b w:val="1"/>
          <w:bCs w:val="1"/>
          <w:color w:val="auto"/>
        </w:rPr>
        <w:t>Deferred Revenue</w:t>
      </w:r>
      <w:r>
        <w:rPr>
          <w:rFonts w:ascii="Arial" w:cs="Arial" w:eastAsia="Arial" w:hAnsi="Arial"/>
          <w:sz w:val="16"/>
          <w:szCs w:val="16"/>
          <w:color w:val="auto"/>
        </w:rPr>
        <w:t>—Deferred revenue consists of amounts that have been invoiced but that have not yet been recognized as revenue. The majority</w:t>
      </w:r>
      <w:r>
        <w:rPr>
          <w:rFonts w:ascii="Arial" w:cs="Arial" w:eastAsia="Arial" w:hAnsi="Arial"/>
          <w:sz w:val="16"/>
          <w:szCs w:val="16"/>
          <w:b w:val="1"/>
          <w:bCs w:val="1"/>
          <w:color w:val="auto"/>
        </w:rPr>
        <w:t xml:space="preserve"> </w:t>
      </w:r>
      <w:r>
        <w:rPr>
          <w:rFonts w:ascii="Arial" w:cs="Arial" w:eastAsia="Arial" w:hAnsi="Arial"/>
          <w:sz w:val="16"/>
          <w:szCs w:val="16"/>
          <w:color w:val="auto"/>
        </w:rPr>
        <w:t>of deferred revenue is comprised of security subscription and technical support services which are invoiced upfront and delivered over 12 months or longer.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b w:val="1"/>
          <w:bCs w:val="1"/>
          <w:color w:val="auto"/>
        </w:rPr>
        <w:t>Income Taxes</w:t>
      </w:r>
      <w:r>
        <w:rPr>
          <w:rFonts w:ascii="Arial" w:cs="Arial" w:eastAsia="Arial" w:hAnsi="Arial"/>
          <w:sz w:val="16"/>
          <w:szCs w:val="16"/>
          <w:color w:val="auto"/>
        </w:rPr>
        <w:t>—We record income taxes using the asset and liability method, which requires the recognition of deferred tax assets and liabilities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expected future tax consequences of events that have been recognized in our financial statements or tax returns. In addition, deferred tax assets are recorded for the future benefit of utilizing net operating losses and research and development credit carryforwards.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w:t>
      </w:r>
    </w:p>
    <w:p>
      <w:pPr>
        <w:spacing w:after="0" w:line="158"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We recognize tax benefits from an uncertain tax position only if it is more likely than not, based on the technical merits of the position, that the tax position will be sustained on examination by the taxing authorities. The tax benefits recognized in the financial statements from such positions are then measured based on the largest benefit that has a greater than 50% likelihood of being realized upon ultimate settlement.</w:t>
      </w:r>
    </w:p>
    <w:p>
      <w:pPr>
        <w:spacing w:after="0" w:line="162" w:lineRule="exact"/>
        <w:rPr>
          <w:sz w:val="20"/>
          <w:szCs w:val="20"/>
          <w:color w:val="auto"/>
        </w:rPr>
      </w:pPr>
    </w:p>
    <w:p>
      <w:pPr>
        <w:jc w:val="both"/>
        <w:ind w:right="180" w:firstLine="648"/>
        <w:spacing w:after="0" w:line="314"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—The fair value of restricted stock units (“RSUs”) is based on the closing market price of our common stock on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grant. We have elected to use the Black-Scholes-Merton (“Black-Scholes”) pricing model to determine the fair value of our employee stock options and our employee stock purchase plan (“ESPP”). Stock-based compensation expense is amortized on a straight-line basis over the service period.</w:t>
      </w:r>
    </w:p>
    <w:p>
      <w:pPr>
        <w:spacing w:after="0" w:line="142"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b w:val="1"/>
          <w:bCs w:val="1"/>
          <w:color w:val="auto"/>
        </w:rPr>
        <w:t>Leases</w:t>
      </w:r>
      <w:r>
        <w:rPr>
          <w:rFonts w:ascii="Arial" w:cs="Arial" w:eastAsia="Arial" w:hAnsi="Arial"/>
          <w:sz w:val="16"/>
          <w:szCs w:val="16"/>
          <w:color w:val="auto"/>
        </w:rPr>
        <w:t>—We rent certain facilities under operating lease agreements and recognize related rent expense on a straight-line basis over the term of the</w:t>
      </w:r>
      <w:r>
        <w:rPr>
          <w:rFonts w:ascii="Arial" w:cs="Arial" w:eastAsia="Arial" w:hAnsi="Arial"/>
          <w:sz w:val="16"/>
          <w:szCs w:val="16"/>
          <w:b w:val="1"/>
          <w:bCs w:val="1"/>
          <w:color w:val="auto"/>
        </w:rPr>
        <w:t xml:space="preserve"> </w:t>
      </w:r>
      <w:r>
        <w:rPr>
          <w:rFonts w:ascii="Arial" w:cs="Arial" w:eastAsia="Arial" w:hAnsi="Arial"/>
          <w:sz w:val="16"/>
          <w:szCs w:val="16"/>
          <w:color w:val="auto"/>
        </w:rPr>
        <w:t>lease. Some of our lease agreements contain rent holidays, scheduled rent increases, lease incentives and renewal options. Rent holidays and scheduled rent increases are included in the determination of rent expense to be recorded over the lease term. Lease incentives are recognized as a reduction of rent expense on a straight-line basis over the term of the lease. Renewals are not assumed in the determination of the lease term unless they are deemed to be reasonably assured at the inception of the lease. We begin recognizing rent expense on the date that we obtain the legal right to use and control the leased space.</w:t>
      </w:r>
    </w:p>
    <w:p>
      <w:pPr>
        <w:spacing w:after="0" w:line="154"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Advertising Expense</w:t>
      </w:r>
      <w:r>
        <w:rPr>
          <w:rFonts w:ascii="Arial" w:cs="Arial" w:eastAsia="Arial" w:hAnsi="Arial"/>
          <w:sz w:val="18"/>
          <w:szCs w:val="18"/>
          <w:color w:val="auto"/>
        </w:rPr>
        <w:t>—Advertising costs are expensed when incurred and are included in operating expenses in the accompanying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of operations. Our advertising expenses were not significant for any periods presented.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Costs</w:t>
      </w:r>
      <w:r>
        <w:rPr>
          <w:rFonts w:ascii="Arial" w:cs="Arial" w:eastAsia="Arial" w:hAnsi="Arial"/>
          <w:sz w:val="18"/>
          <w:szCs w:val="18"/>
          <w:color w:val="auto"/>
        </w:rPr>
        <w:t>—Research and development costs are expensed as incurred.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Commission Expense</w:t>
      </w:r>
      <w:r>
        <w:rPr>
          <w:rFonts w:ascii="Arial" w:cs="Arial" w:eastAsia="Arial" w:hAnsi="Arial"/>
          <w:sz w:val="18"/>
          <w:szCs w:val="18"/>
          <w:color w:val="auto"/>
        </w:rPr>
        <w:t>—We recognize commission expense on both product sales and service contracts at the time of sale.</w:t>
      </w:r>
    </w:p>
    <w:p>
      <w:pPr>
        <w:spacing w:after="0" w:line="225" w:lineRule="exact"/>
        <w:rPr>
          <w:sz w:val="20"/>
          <w:szCs w:val="20"/>
          <w:color w:val="auto"/>
        </w:rPr>
      </w:pPr>
    </w:p>
    <w:p>
      <w:pPr>
        <w:jc w:val="both"/>
        <w:ind w:right="520" w:firstLine="648"/>
        <w:spacing w:after="0" w:line="266" w:lineRule="auto"/>
        <w:rPr>
          <w:sz w:val="20"/>
          <w:szCs w:val="20"/>
          <w:color w:val="auto"/>
        </w:rPr>
      </w:pPr>
      <w:r>
        <w:rPr>
          <w:rFonts w:ascii="Arial" w:cs="Arial" w:eastAsia="Arial" w:hAnsi="Arial"/>
          <w:sz w:val="18"/>
          <w:szCs w:val="18"/>
          <w:b w:val="1"/>
          <w:bCs w:val="1"/>
          <w:color w:val="auto"/>
        </w:rPr>
        <w:t>Software Development Costs</w:t>
      </w:r>
      <w:r>
        <w:rPr>
          <w:rFonts w:ascii="Arial" w:cs="Arial" w:eastAsia="Arial" w:hAnsi="Arial"/>
          <w:sz w:val="18"/>
          <w:szCs w:val="18"/>
          <w:color w:val="auto"/>
        </w:rPr>
        <w:t>—The costs to develop software that is marketed have not been capitalized as we believe our current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process is essentially completed concurrently with the establishment of technological feasibility. Such costs are expensed as incurred and included in research and development in our consolidated statements of operations.</w:t>
      </w:r>
    </w:p>
    <w:p>
      <w:pPr>
        <w:spacing w:after="0" w:line="18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costs to obtain or develop software for internal use are capitalized based on qualifying criteria, which includes a determination of whether such costs are incurred during the application development stage. Such costs are amortized over the software’s estimated useful life.</w:t>
      </w:r>
    </w:p>
    <w:p>
      <w:pPr>
        <w:spacing w:after="0" w:line="12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—We derive the majority of our revenue from sales of our hardware, FortiGuard security subscription and FortiCare technical</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services, and other services through our channel partners and a direct sales force.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recognized when all of the following criteria have been met:</w:t>
      </w:r>
    </w:p>
    <w:p>
      <w:pPr>
        <w:spacing w:after="0" w:line="225" w:lineRule="exact"/>
        <w:rPr>
          <w:sz w:val="20"/>
          <w:szCs w:val="20"/>
          <w:color w:val="auto"/>
        </w:rPr>
      </w:pPr>
    </w:p>
    <w:p>
      <w:pPr>
        <w:ind w:left="1300" w:right="32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Persuasive evidence of an arrangement exists. </w:t>
      </w:r>
      <w:r>
        <w:rPr>
          <w:rFonts w:ascii="Arial" w:cs="Arial" w:eastAsia="Arial" w:hAnsi="Arial"/>
          <w:sz w:val="18"/>
          <w:szCs w:val="18"/>
          <w:color w:val="auto"/>
        </w:rPr>
        <w:t>Binding contracts or purchase orders are generally used to determine the existence of an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w:t>
      </w:r>
    </w:p>
    <w:p>
      <w:pPr>
        <w:spacing w:after="0" w:line="170" w:lineRule="exact"/>
        <w:rPr>
          <w:rFonts w:ascii="Arial" w:cs="Arial" w:eastAsia="Arial" w:hAnsi="Arial"/>
          <w:sz w:val="18"/>
          <w:szCs w:val="18"/>
          <w:color w:val="auto"/>
        </w:rPr>
      </w:pPr>
    </w:p>
    <w:p>
      <w:pPr>
        <w:ind w:left="1300" w:right="140" w:hanging="644"/>
        <w:spacing w:after="0" w:line="274" w:lineRule="auto"/>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Delivery has occurred or services have been rendered. </w:t>
      </w:r>
      <w:r>
        <w:rPr>
          <w:rFonts w:ascii="Arial" w:cs="Arial" w:eastAsia="Arial" w:hAnsi="Arial"/>
          <w:sz w:val="17"/>
          <w:szCs w:val="17"/>
          <w:color w:val="auto"/>
        </w:rPr>
        <w:t>Product delivery occurs when we fulfill an order and title and risk of loss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Service revenue is deferred and recognized ratably over the contractual service period, which is typically</w:t>
      </w:r>
    </w:p>
    <w:p>
      <w:pPr>
        <w:ind w:left="1300"/>
        <w:spacing w:after="0"/>
        <w:rPr>
          <w:rFonts w:ascii="Arial" w:cs="Arial" w:eastAsia="Arial" w:hAnsi="Arial"/>
          <w:sz w:val="17"/>
          <w:szCs w:val="17"/>
          <w:color w:val="auto"/>
        </w:rPr>
      </w:pPr>
      <w:r>
        <w:rPr>
          <w:rFonts w:ascii="Arial" w:cs="Arial" w:eastAsia="Arial" w:hAnsi="Arial"/>
          <w:sz w:val="18"/>
          <w:szCs w:val="18"/>
          <w:color w:val="auto"/>
        </w:rPr>
        <w:t>from one to three years and, to a lesser extent, five years, and is generally recognized upon delivery or completion of service.</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125" w:right="2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right="4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Sales price is fixed or determinable. </w:t>
      </w:r>
      <w:r>
        <w:rPr>
          <w:rFonts w:ascii="Arial" w:cs="Arial" w:eastAsia="Arial" w:hAnsi="Arial"/>
          <w:sz w:val="18"/>
          <w:szCs w:val="18"/>
          <w:color w:val="auto"/>
        </w:rPr>
        <w:t>We assess whether the sales price is fixed or determinable based on the payment terms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transaction and when the sales price is deemed final.</w:t>
      </w:r>
    </w:p>
    <w:p>
      <w:pPr>
        <w:spacing w:after="0" w:line="170"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Collectability is reasonably assured. </w:t>
      </w:r>
      <w:r>
        <w:rPr>
          <w:rFonts w:ascii="Arial" w:cs="Arial" w:eastAsia="Arial" w:hAnsi="Arial"/>
          <w:sz w:val="18"/>
          <w:szCs w:val="18"/>
          <w:color w:val="auto"/>
        </w:rPr>
        <w:t>We assess collectability based primarily on creditworthiness as determined by credit checks,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and payment history.</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recognize product revenue for sales to distributors that have no general right of return and direct sales to end-customers upon shipment, based on general revenue recognition accounting guidance once all other revenue recognition criteria have been met. Certain distributors are granted stock rotation rights, limited rights of return and rebates for sales of our products. The arrangement fee for this group of distributors is typically not fixed or determinable when products are shipped and revenue is therefore deferred and recognized upon sell-through. For sales that include end-customer acceptance criteria, revenue is recognized upon acceptance.</w:t>
      </w:r>
    </w:p>
    <w:p>
      <w:pPr>
        <w:spacing w:after="0" w:line="188"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recognize software license revenue upon electronic transfer of the license key to the customer. To date, software license revenues have not represented a significant percentage of our total revenue.</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Substantially all of our products have been sold in combination with services, which consist of security subscriptions and technical support services. Security services provide access to our antivirus, intrusion prevention, web filtering and anti-spam functionality. Support services include rights to unspecified software upgrades, maintenance releases and patches, telephone and internet access to technical support personnel and hardware support. We recognize revenue from these services ratably over the contractual service period. Revenue related to subsequent renewals of these services are recognized over the term of the renewal agreement.</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reduce revenue for estimates of sales returns and allowances and record reductions to revenue for rebates and estimated commitments related to price protection and other customer incentive programs. Additionally, in limited circumstances, we may permit end-customers, distributors and resellers to return our products, subject to varying limitations, for a refund within a reasonably short period from the date of purchase. We estimate and record reserves for sales incentives and sales returns based on historical experience.</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Service revenue consists of sales from our FortiGuard security subscription and FortiCare technical support services, professional and training services and other services that include SaaS and IaaS (both of which are hosted or cloud-based services). We recognize revenue from these arrangements as the subscription service is delivered over the term which is typically one year or on a monthly usage basis. To date, SaaS and IaaS revenues have not represented a significant percentage of our total revenue.</w:t>
      </w:r>
    </w:p>
    <w:p>
      <w:pPr>
        <w:spacing w:after="0" w:line="18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Our sales arrangements typically contain multiple elements, such as hardware, security subscription, technical support services and other services. The majority of our hardware appliance products contain our operating system software that together function to deliver the essential functionality of the product. Our products and services generally qualify as separate units of accounting. We allocate revenue to each unit of accounting based on an estimated selling price using VSOE of selling price, if it exists, or TPE of selling price. If neither VSOE nor TPE of selling price exists for a deliverable, we use our BESP for that deliverable. Revenue allocated to each element is then recognized when the basic revenue recognition criteria are met for each element. Revenue is reported net of sales taxes.</w:t>
      </w:r>
    </w:p>
    <w:p>
      <w:pPr>
        <w:spacing w:after="0" w:line="193"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For our hardware products, we use BESP as our selling price. For our support, software licenses and other services, we generally use VSOE as our selling price estimate. We determine VSOE of fair value for elements of an arrangement based on the historical pricing and discounting practices for those services when sold separately. In establishing VSOE, we require that a substantial majority of the selling prices for a service fall within a reasonably narrow pricing range, generally evidenced by a substantial majority of such historical stand-alone transactions falling within a reasonably narrow range as a percentage of list price. When we are unable to establish a selling price using VSOE for our support and other services, we use BESP in our allocation of arrangement consideration. We determine BESP for a product or service by considering multiple historical factors including, but not limited to, cost of products, gross margin objectives, pricing practices, geographies, customer classes and distribution channels that fall within a reasonably narrow range as a percentage of list price.</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60"/>
          </w:cols>
          <w:pgMar w:left="240" w:top="125" w:right="2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For multiple-element arrangements where software deliverables are included, revenue is allocated to the non-software deliverables and to the software deliverables as a group using the relative estimated selling prices of each of the deliverables in the arrangement based on the estimated selling price hierarchy. The amount allocated to the software deliverables is then allocated to each software deliverable using the residual method when VSOE of fair value exists. If evidence of VSOE of fair value of one or more undelivered elements does not exist, all software allocated revenue is deferred and recognized when delivery of those elements occurs or when fair value can be established. When the undelivered element for which we do not have VSOE of fair value is support, revenue for the entire arrangement is recognized ratably over the support period. The same residual method and VSOE of fair value principles apply for our multiple element arrangements that contain only software elements.</w:t>
      </w:r>
    </w:p>
    <w:p>
      <w:pPr>
        <w:spacing w:after="0" w:line="174"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Shipping and Handling</w:t>
      </w:r>
      <w:r>
        <w:rPr>
          <w:rFonts w:ascii="Arial" w:cs="Arial" w:eastAsia="Arial" w:hAnsi="Arial"/>
          <w:sz w:val="18"/>
          <w:szCs w:val="18"/>
          <w:color w:val="auto"/>
        </w:rPr>
        <w:t>—Shipping and handling fees charged to our customers are recognized as product revenue in the period shipped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costs for providing these services are recorded as a cost of sale. Shipping and handling fees recognized as product revenue were not significant during 2017, 2016 and 2015.</w:t>
      </w:r>
    </w:p>
    <w:p>
      <w:pPr>
        <w:spacing w:after="0" w:line="176" w:lineRule="exact"/>
        <w:rPr>
          <w:sz w:val="20"/>
          <w:szCs w:val="20"/>
          <w:color w:val="auto"/>
        </w:rPr>
      </w:pPr>
    </w:p>
    <w:p>
      <w:pPr>
        <w:ind w:right="120" w:firstLine="648"/>
        <w:spacing w:after="0" w:line="274" w:lineRule="auto"/>
        <w:rPr>
          <w:sz w:val="20"/>
          <w:szCs w:val="20"/>
          <w:color w:val="auto"/>
        </w:rPr>
      </w:pPr>
      <w:r>
        <w:rPr>
          <w:rFonts w:ascii="Arial" w:cs="Arial" w:eastAsia="Arial" w:hAnsi="Arial"/>
          <w:sz w:val="17"/>
          <w:szCs w:val="17"/>
          <w:b w:val="1"/>
          <w:bCs w:val="1"/>
          <w:color w:val="auto"/>
        </w:rPr>
        <w:t>Accounts Receivable</w:t>
      </w:r>
      <w:r>
        <w:rPr>
          <w:rFonts w:ascii="Arial" w:cs="Arial" w:eastAsia="Arial" w:hAnsi="Arial"/>
          <w:sz w:val="17"/>
          <w:szCs w:val="17"/>
          <w:color w:val="auto"/>
        </w:rPr>
        <w:t>—Trade accounts receivable are recorded at the invoiced amount, net of sales returns reserve and allowances for doubtful</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The sales returns reserve is determined based on specific criteria including agreements to provide rebates and other factors known at the time, as well as estimates of the amount of goods shipped that will be returned. To determine the adequacy of the sales returns reserve, we analyze historical experience of actual rebates and returns as well as distributor inventory levels. The sales returns reserve was $13.6 million and $10.3 million as of December 31, 2017 and 2016, respectively. The allowance for doubtful accounts is determined based on our assessment of the collectability of customer accounts. The allowance for doubtful accounts was $0.9 million as of December 31, 2017 and 2016.</w:t>
      </w:r>
    </w:p>
    <w:p>
      <w:pPr>
        <w:spacing w:after="0" w:line="174"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b w:val="1"/>
          <w:bCs w:val="1"/>
          <w:color w:val="auto"/>
        </w:rPr>
        <w:t>Warranties</w:t>
      </w:r>
      <w:r>
        <w:rPr>
          <w:rFonts w:ascii="Arial" w:cs="Arial" w:eastAsia="Arial" w:hAnsi="Arial"/>
          <w:sz w:val="17"/>
          <w:szCs w:val="17"/>
          <w:color w:val="auto"/>
        </w:rPr>
        <w:t>—We generally provide a 1-year warranty on hardware products and a 90-day warranty on software. We also provide extended</w:t>
      </w:r>
      <w:r>
        <w:rPr>
          <w:rFonts w:ascii="Arial" w:cs="Arial" w:eastAsia="Arial" w:hAnsi="Arial"/>
          <w:sz w:val="17"/>
          <w:szCs w:val="17"/>
          <w:b w:val="1"/>
          <w:bCs w:val="1"/>
          <w:color w:val="auto"/>
        </w:rPr>
        <w:t xml:space="preserve"> </w:t>
      </w:r>
      <w:r>
        <w:rPr>
          <w:rFonts w:ascii="Arial" w:cs="Arial" w:eastAsia="Arial" w:hAnsi="Arial"/>
          <w:sz w:val="17"/>
          <w:szCs w:val="17"/>
          <w:color w:val="auto"/>
        </w:rPr>
        <w:t>warranties under the terms of our support agreements. A provision for estimated future costs related to warranty activities in the first year after product sale is recorded as a component of cost of product revenues when the product revenue is recognized, based upon historical product failure rates and historical costs incurred in correcting product failures. Warranty costs related to extended warranties sold under support agreements are recognized as incurred. In the event we change our warranty reserve estimates, the resulting charge against future cost of sales or reversal of previously recorded charges may materially affect our gross margins and operating results. Accrued warranty was not significant as of December 31, 2017 and 2016.</w:t>
      </w:r>
    </w:p>
    <w:p>
      <w:pPr>
        <w:spacing w:after="0" w:line="17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b w:val="1"/>
          <w:bCs w:val="1"/>
          <w:color w:val="auto"/>
        </w:rPr>
        <w:t>Foreign Currency Derivatives</w:t>
      </w:r>
      <w:r>
        <w:rPr>
          <w:rFonts w:ascii="Arial" w:cs="Arial" w:eastAsia="Arial" w:hAnsi="Arial"/>
          <w:sz w:val="16"/>
          <w:szCs w:val="16"/>
          <w:color w:val="auto"/>
        </w:rPr>
        <w:t>—Our sales contracts are primarily denominated in U.S. dollars and therefore substantially all of our revenue is not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foreign currency translation risk. However, a substantial portion of our operating expenses incurred outside the United States are denominated in foreign currencies and are subject to fluctuations due to changes in foreign currency exchange rates, particularly changes in the Canadian dollar (“CAD”), the Euro (“EUR”) and the British pound (“GBP”). To help protect against significant fluctuations in the value and the volatility of future cash flows caused by changes in currency exchange rates, we engage in foreign currency risk management activities to minimize the impact of balance sheet items denominated in CAD. We do not use these contracts for speculative or trading purposes. All of the derivative instruments are with high quality financial institutions and we monitor the creditworthiness of these parties. These contracts typically have a maturity of one month. Changes in the fair value of forward exchange contracts related to balance sheet accounts are insignificant and are included in Other income (expense)—net in the consolidated statement of operations.</w:t>
      </w:r>
    </w:p>
    <w:p>
      <w:pPr>
        <w:spacing w:after="0" w:line="16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Additionally, independent of our use of foreign currency risk management activities, fluctuations in foreign currency exchange rates may cause us to recognize transaction gains and losses in our consolidated statements of operations. Our hedging activities are intended to reduce, but not eliminate, the impact of currency exchange rate movements. As our hedging activities are relatively short-term in nature and are focused on the CAD, long-term material changes in the value of the U.S. dollar against other foreign currencies, such as the EUR and GBP, could adversely impact our operating expenses in the future.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There were no outstanding forward exchange contracts as of December 31, 2017. The notional amount of forward exchange contracts to hedge balance sheet accounts December 31, 2016 were (in thousands):</w:t>
      </w:r>
    </w:p>
    <w:p>
      <w:pPr>
        <w:spacing w:after="0" w:line="112" w:lineRule="exact"/>
        <w:rPr>
          <w:sz w:val="20"/>
          <w:szCs w:val="20"/>
          <w:color w:val="auto"/>
        </w:rPr>
      </w:pPr>
    </w:p>
    <w:p>
      <w:pPr>
        <w:ind w:left="8940"/>
        <w:spacing w:after="0"/>
        <w:tabs>
          <w:tab w:leader="none" w:pos="10380" w:val="left"/>
        </w:tabs>
        <w:rPr>
          <w:sz w:val="20"/>
          <w:szCs w:val="20"/>
          <w:color w:val="auto"/>
        </w:rPr>
      </w:pPr>
      <w:r>
        <w:rPr>
          <w:rFonts w:ascii="Arial" w:cs="Arial" w:eastAsia="Arial" w:hAnsi="Arial"/>
          <w:sz w:val="18"/>
          <w:szCs w:val="18"/>
          <w:b w:val="1"/>
          <w:bCs w:val="1"/>
          <w:color w:val="auto"/>
        </w:rPr>
        <w:t>Buy/Sell</w:t>
      </w:r>
      <w:r>
        <w:rPr>
          <w:sz w:val="20"/>
          <w:szCs w:val="20"/>
          <w:color w:val="auto"/>
        </w:rPr>
        <w:tab/>
      </w:r>
      <w:r>
        <w:rPr>
          <w:rFonts w:ascii="Arial" w:cs="Arial" w:eastAsia="Arial" w:hAnsi="Arial"/>
          <w:sz w:val="18"/>
          <w:szCs w:val="18"/>
          <w:b w:val="1"/>
          <w:bCs w:val="1"/>
          <w:color w:val="auto"/>
        </w:rPr>
        <w:t>Notional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Sheet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Currency—As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9620" w:val="left"/>
          <w:tab w:leader="none" w:pos="10060" w:val="left"/>
          <w:tab w:leader="none" w:pos="10880" w:val="left"/>
        </w:tabs>
        <w:rPr>
          <w:sz w:val="20"/>
          <w:szCs w:val="20"/>
          <w:color w:val="auto"/>
        </w:rPr>
      </w:pPr>
      <w:r>
        <w:rPr>
          <w:rFonts w:ascii="Arial" w:cs="Arial" w:eastAsia="Arial" w:hAnsi="Arial"/>
          <w:sz w:val="18"/>
          <w:szCs w:val="18"/>
          <w:color w:val="auto"/>
        </w:rPr>
        <w:t>CAD</w:t>
      </w:r>
      <w:r>
        <w:rPr>
          <w:sz w:val="20"/>
          <w:szCs w:val="20"/>
          <w:color w:val="auto"/>
        </w:rPr>
        <w:tab/>
      </w:r>
      <w:r>
        <w:rPr>
          <w:rFonts w:ascii="Arial" w:cs="Arial" w:eastAsia="Arial" w:hAnsi="Arial"/>
          <w:sz w:val="18"/>
          <w:szCs w:val="18"/>
          <w:color w:val="auto"/>
        </w:rPr>
        <w:t>Sell</w:t>
        <w:tab/>
        <w:t>$</w:t>
      </w:r>
      <w:r>
        <w:rPr>
          <w:sz w:val="20"/>
          <w:szCs w:val="20"/>
          <w:color w:val="auto"/>
        </w:rPr>
        <w:tab/>
      </w:r>
      <w:r>
        <w:rPr>
          <w:rFonts w:ascii="Arial" w:cs="Arial" w:eastAsia="Arial" w:hAnsi="Arial"/>
          <w:sz w:val="16"/>
          <w:szCs w:val="16"/>
          <w:color w:val="auto"/>
        </w:rPr>
        <w:t>2,615</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Measurement of Inventory</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July 2015, the Financial Accounting Standards Board (the “FASB”) issued ASU 2015-11—Inventory: Simplifying the Measurement of Inventory, which requires entities to measure most inventory at the lower of cost and net realizable value, replacing the former methodology of measuring inventory at the lower of cost or market. We adopted ASU 2015-11 on a prospective basis beginning on January 1, 2017. The adoption of ASU 2015-11 did not have an impact on our consolidated financial statements.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Statement of Cash Flows - Restricted Cash</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In August 2016, the FASB issued ASU 2016-18—Statement of Cash Flows: Restricted Cash, which addresses the presentation of restricted cash in the statement of cash flows. Under ASU 2016-18, restricted cash or restricted cash equivalents should be included with cash and cash equivalents when reconciling the beginning-of-period and end-of-period total amounts shown on the statement of cash flows. ASU 2016-18 is effective for us beginning on January 1, 2018 and will be applied on a retrospective basis. Early adoption is permitted. We elected to early adopt ASU 2016-18 on January 1, 2017. The adoption did not have a material impact on our consolidated financial statements.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Combinations – Definition of a Business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January 2017, the FASB issued ASU 2017-01—Business Combinations: Clarifying the Definition of a Business, which clarifies the definition of a business to assist organizations with evaluating whether transactions should be accounted for as acquisitions (or disposals) of assets or businesses. The definition of a business affects many areas of accounting including acquisitions, disposals, goodwill and consolidation. We elected to early adopt ASU 2017-01 on a prospective basis beginning on January 1, 2017. The adoption of ASU 2017-01 did not have a material impact on our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January 2017, the FASB issued ASU 2017-04—Intangibles—Goodwill and Other: Simplifying the Test for Goodwill Impairment. ASU 2017-04 eliminates Step 2 from the goodwill impairment test, which measures a goodwill impairment loss by comparing the implied fair value of a reporting unit’s goodwill with the carrying amount of that goodwill. Under ASU 2017-04, an entity should perform its annual or interim goodwill impairment test by comparing the fair value of the reporting unit with its carrying amount, and should recognize an impairment loss for the amount by which the carrying amount exceeds the reporting unit’s fair value, with the loss not exceeding the total amount of goodwill allocated to that reporting unit. ASU 2017-04 will be effective for us beginning on January 1, 2020. Early adoption is permitted for interim or annual goodwill impairment tests performed after January 1, 2017. At adoption, ASU 2017-04 requires a prospective approach. We early adopted ASU 2017-04 on October 1, 2017, and the adoption did not impact our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 Not Yet Effective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Share-Based Payment Accounting</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May 2017, the FASB issued ASU 2017-09—Compensation—Stock Compensation: Scope of Modification Accounting to clarify when to account for a change to the terms or conditions of a share-based payment award as a modification. Under ASU 2017-09, modification accounting is required only if the fair value, the vesting conditions or the classification of the award (as equity or liability) changes as a result of the change in terms or conditions. ASU 2017-09 is effective prospectively for us beginning on January 1, 2018. We adopted ASU 2017-09 on January 1, 2018. The adoption is not expected to have a material impact on our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 – Intra-Entity Asset Transfers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October 2016, the FASB issued ASU 2016-16—Income Taxes—Intra-Entity Transfer of Assets Other Than Inventory, which requires the recognition of the income tax consequences of an intra-entity transfer of an asset, other than inventory, when the transfer occurs. ASU 2016-16 is effective for us beginning on January 1, 2018. We adopted ASU 2016-16 on January 1, 2018. The adoption is not expected to have a material impact on our consolidated financial statements.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February 2016, the FASB issued ASU 2016-02—Leases, which requires the recognition of right-of-use assets and lease liabilities on the consolidated balance sheet for substantially all leases. ASU 2016-02 includes a number of optional practical expedients that entities may elect to apply. ASU 2016-02 will also require significant additional disclosures about the amount, timing and uncertainty of cash flows from leases. ASU 2016-02 will be effective for us beginning on January 1, 2019, using a modified retrospective approach. Based on our current lease portfolio, we currently estimate that the value of leased assets and liabilities that may be recognized to be at least $40.0 million. We are continuing to evaluate the impact of ASU 2016-02 and our estimate is subject to change. We do not believe that ASU 2016-02 will have a material impact on our consolidated statements of operations. We expect to expand our disclosures in the notes to consolidated financial statements to include more details on our leases, significant judgments and lease-related amounts recognized in the consolidated financial statements.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Instruments – Recognition and Measurement</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January 2016, the FASB issued ASU 2016-01—Financial Instruments—Overall: Recognition and Measurement of Financial Assets and Financial Liabilities, which requires most equity investments to be measured at fair value, with subsequent changes in fair value recognized in net income. A practicality exception will apply to those equity investments that do not have a readily determinable fair value. These investments may be measured at cost, adjusted for changes in observable prices minus impairment. ASU 2016-01 is effective for our cost-method investments beginning on January 1, 2018 on a prospective basis. We adopted ASU 2016-01 on January 1, 2018 and there was no material impact as of adoption date.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 May 2014, the FASB issued ASU 2014-09—Revenue from Contracts with Customers, which outlines a single, comprehensive model for entities to use in accounting for revenue arising from contracts with customers. The core principle of ASU 2014-09 is to recognize revenue when promised goods or services are transferred to customers in an amount that reflects the consideration that is expected to be received for those goods or services. ASU 2014-09 defines a five-step process to achieve this core principle and, accordingly, we expect more judgment and estimates may be required within the revenue recognition process than is required under the legacy GAAP, including identifying performance obligations in the contract, estimating the amount of variable consideration to include in the transaction price and allocating the transaction price to each separate performance obligation. ASU 2014-09 is effective for us beginning on January 1, 2018. ASU 2014-09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 We elected to adopt ASU 2014-09 using the modified retrospective method and will apply the standard to contracts that are not completed as of January 1, 2018, and will recognize the cumulative effect of initially applying the standard as an adjustment to the opening balance of accumulated deficit.</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completed our analysis of open revenue contracts as of January 1, 2018. Based on our assessment, the impact on revenue in our consolidated financial statements is not material. The impact on revenue primarily relates to the acceleration of revenue from U.S.-based channel partners, which were previously deferred until the product was sold through, and certain changes related to revenue recognized on software license sales. We expect the pattern of revenue recognition from direct sales of our FortiGate and other appliances and FortiGuard security subscription and FortiCare technical support services to be substantially unchanged on an ongoing basis. As of January 1, 2018, sales returns reserve will be presented as part of accrued liabilities as netting against accounts receivable is no longer allowed under ASU 2014-09.</w:t>
      </w:r>
    </w:p>
    <w:p>
      <w:pPr>
        <w:spacing w:after="0" w:line="19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Under the legacy GAAP, we expensed all sales commissions when incurred. As of January 1, 2018, we will continue to expense commissions related to appliance sales when incurred, but will capitalize and recognize certain commissions on service contracts over the period of benefit. As part of the transition to the new accounting standard, we expect to capitalize at least $130.0 million of sales commissions as of January 1, 2018 that have been determined to be the remaining costs to obtain then-existing service contracts. Capitalized sales commissions will be amortized on a straight-line basis over the period of benefit for new business or the contract term for renewals.</w:t>
      </w:r>
    </w:p>
    <w:p>
      <w:pPr>
        <w:spacing w:after="0" w:line="18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the preparation for the adoption of ASU 2014-09, we have implemented internal controls and all necessary system functionality to enable the preparation of financial information and related disclosures in accordance with this standard.</w:t>
      </w:r>
    </w:p>
    <w:p>
      <w:pPr>
        <w:spacing w:after="0" w:line="166"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our investments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ind w:left="620"/>
              <w:spacing w:after="0"/>
              <w:rPr>
                <w:sz w:val="20"/>
                <w:szCs w:val="20"/>
                <w:color w:val="auto"/>
              </w:rPr>
            </w:pPr>
            <w:r>
              <w:rPr>
                <w:rFonts w:ascii="Arial" w:cs="Arial" w:eastAsia="Arial" w:hAnsi="Arial"/>
                <w:sz w:val="16"/>
                <w:szCs w:val="16"/>
                <w:b w:val="1"/>
                <w:bCs w:val="1"/>
                <w:color w:val="auto"/>
              </w:rPr>
              <w:t>December 31, 2017</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389,825</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74,210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74,207</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45,870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45,855</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28,487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28,408</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539,567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538,295</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9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ind w:left="620"/>
              <w:spacing w:after="0"/>
              <w:rPr>
                <w:sz w:val="20"/>
                <w:szCs w:val="20"/>
                <w:color w:val="auto"/>
              </w:rPr>
            </w:pPr>
            <w:r>
              <w:rPr>
                <w:rFonts w:ascii="Arial" w:cs="Arial" w:eastAsia="Arial" w:hAnsi="Arial"/>
                <w:sz w:val="16"/>
                <w:szCs w:val="16"/>
                <w:b w:val="1"/>
                <w:bCs w:val="1"/>
                <w:color w:val="auto"/>
              </w:rPr>
              <w:t>December 31, 2016</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2"/>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379,494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378,612</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95,110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95,108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64,604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64,541</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59,257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59,025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51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18"/>
                <w:szCs w:val="18"/>
                <w:color w:val="auto"/>
                <w:vertAlign w:val="superscript"/>
              </w:rPr>
              <w:t>(1)</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4,219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4,219</w:t>
            </w:r>
          </w:p>
        </w:tc>
      </w:tr>
      <w:tr>
        <w:trPr>
          <w:trHeight w:val="264"/>
        </w:trPr>
        <w:tc>
          <w:tcPr>
            <w:tcW w:w="5160" w:type="dxa"/>
            <w:vAlign w:val="bottom"/>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602,684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601,505</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5620" w:right="5400" w:hanging="5585"/>
        <w:spacing w:after="0" w:line="976" w:lineRule="auto"/>
        <w:tabs>
          <w:tab w:leader="none" w:pos="178" w:val="left"/>
        </w:tabs>
        <w:numPr>
          <w:ilvl w:val="0"/>
          <w:numId w:val="37"/>
        </w:numPr>
        <w:rPr>
          <w:rFonts w:ascii="Arial" w:cs="Arial" w:eastAsia="Arial" w:hAnsi="Arial"/>
          <w:sz w:val="16"/>
          <w:szCs w:val="16"/>
          <w:color w:val="auto"/>
          <w:vertAlign w:val="superscript"/>
        </w:rPr>
      </w:pPr>
      <w:r>
        <w:rPr>
          <w:rFonts w:ascii="Arial" w:cs="Arial" w:eastAsia="Arial" w:hAnsi="Arial"/>
          <w:sz w:val="16"/>
          <w:szCs w:val="16"/>
          <w:color w:val="auto"/>
        </w:rPr>
        <w:t>The majority of our certificates of deposit and term deposits are foreign deposits. 80</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tables show the gross unrealized losses and the related fair values of our investments that have been in a continuous unrealized loss position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Arial" w:cs="Arial" w:eastAsia="Arial" w:hAnsi="Arial"/>
                <w:sz w:val="16"/>
                <w:szCs w:val="16"/>
                <w:b w:val="1"/>
                <w:bCs w:val="1"/>
                <w:color w:val="auto"/>
              </w:rPr>
              <w:t>December 31, 2017</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317,412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58,161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375,573</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37,229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37,229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16,967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11,441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400,652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69,602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470,254</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75"/>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ind w:left="280"/>
              <w:spacing w:after="0"/>
              <w:rPr>
                <w:sz w:val="20"/>
                <w:szCs w:val="20"/>
                <w:color w:val="auto"/>
              </w:rPr>
            </w:pPr>
            <w:r>
              <w:rPr>
                <w:rFonts w:ascii="Arial" w:cs="Arial" w:eastAsia="Arial" w:hAnsi="Arial"/>
                <w:sz w:val="16"/>
                <w:szCs w:val="16"/>
                <w:b w:val="1"/>
                <w:bCs w:val="1"/>
                <w:color w:val="auto"/>
              </w:rPr>
              <w:t>December 31, 2016</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311,980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325,521</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52,200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52,200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33,430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17,394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415,004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13,541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428,545</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were as follows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7"/>
                <w:szCs w:val="17"/>
                <w:color w:val="auto"/>
              </w:rPr>
            </w:pPr>
          </w:p>
        </w:tc>
        <w:tc>
          <w:tcPr>
            <w:tcW w:w="156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654"/>
              <w:spacing w:after="0"/>
              <w:rPr>
                <w:sz w:val="20"/>
                <w:szCs w:val="20"/>
                <w:color w:val="auto"/>
              </w:rPr>
            </w:pPr>
            <w:r>
              <w:rPr>
                <w:rFonts w:ascii="Arial" w:cs="Arial" w:eastAsia="Arial" w:hAnsi="Arial"/>
                <w:sz w:val="16"/>
                <w:szCs w:val="16"/>
                <w:b w:val="1"/>
                <w:bCs w:val="1"/>
                <w:color w:val="auto"/>
              </w:rPr>
              <w:t>2016</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440,273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376,522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98,022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224,983</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538,295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601,505</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Available-for-sale securities are reported at fair value, with unrealized gains and losses and the related tax impact included as a separate component of stockholders’ equity and in comprehensive income. Realized losses on available-for-sale securities were $0.8 million in the periods presented and are included in Other income (expense)—net in our consolidated statements of operations. We use the specific identification method to determine the cost basis of investments sold.</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unrealized losses on our available-for-sale securities were caused by fluctuations in market value and interest rates as a result of the economic environment. As the decline in market value are attributable to changes in market conditions and not credit quality, and because we have concluded currently that we neither intend to sell nor is it more likely than not that we will be required to sell these investments prior to a recovery of par value, we do not consider these investments to be other-than temporarily impaired as of December 31, 2017.</w:t>
      </w:r>
    </w:p>
    <w:p>
      <w:pPr>
        <w:spacing w:after="0" w:line="16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300" w:right="2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300" w:right="5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measure the fair value of money market funds and certain U.S. government and agency securities using quoted prices in active markets for identical assets. The fair value of all other financial instruments was based on quoted prices for similar assets in active markets, or model driven valuations using significant inputs derived from or corroborated by observable market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classify items within Level 2 if the investments are valued using model 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tables present the fair value of our financial assets measured at fair value on a recurring basis as of December 31, 2017 and 2016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December 31, 2017</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December 31, 2016</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Significant</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900" w:type="dxa"/>
            <w:vAlign w:val="bottom"/>
          </w:tcPr>
          <w:p>
            <w:pPr>
              <w:jc w:val="center"/>
              <w:ind w:right="41"/>
              <w:spacing w:after="0" w:line="135" w:lineRule="exact"/>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900" w:type="dxa"/>
            <w:vAlign w:val="bottom"/>
          </w:tcPr>
          <w:p>
            <w:pPr>
              <w:jc w:val="center"/>
              <w:ind w:right="61"/>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Observable</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1"/>
                <w:szCs w:val="11"/>
                <w:color w:val="auto"/>
              </w:rPr>
            </w:pPr>
          </w:p>
        </w:tc>
        <w:tc>
          <w:tcPr>
            <w:tcW w:w="900" w:type="dxa"/>
            <w:vAlign w:val="bottom"/>
          </w:tcPr>
          <w:p>
            <w:pPr>
              <w:jc w:val="center"/>
              <w:ind w:right="41"/>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Remaining</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Remaining</w:t>
            </w:r>
          </w:p>
        </w:tc>
        <w:tc>
          <w:tcPr>
            <w:tcW w:w="120" w:type="dxa"/>
            <w:vAlign w:val="bottom"/>
          </w:tcPr>
          <w:p>
            <w:pPr>
              <w:spacing w:after="0"/>
              <w:rPr>
                <w:sz w:val="11"/>
                <w:szCs w:val="11"/>
                <w:color w:val="auto"/>
              </w:rPr>
            </w:pPr>
          </w:p>
        </w:tc>
        <w:tc>
          <w:tcPr>
            <w:tcW w:w="900" w:type="dxa"/>
            <w:vAlign w:val="bottom"/>
          </w:tcPr>
          <w:p>
            <w:pPr>
              <w:jc w:val="center"/>
              <w:ind w:right="41"/>
              <w:spacing w:after="0" w:line="135" w:lineRule="exact"/>
              <w:rPr>
                <w:sz w:val="20"/>
                <w:szCs w:val="20"/>
                <w:color w:val="auto"/>
              </w:rPr>
            </w:pPr>
            <w:r>
              <w:rPr>
                <w:rFonts w:ascii="Arial" w:cs="Arial" w:eastAsia="Arial" w:hAnsi="Arial"/>
                <w:sz w:val="13"/>
                <w:szCs w:val="13"/>
                <w:b w:val="1"/>
                <w:bCs w:val="1"/>
                <w:color w:val="auto"/>
                <w:w w:val="87"/>
              </w:rPr>
              <w:t>Remaining</w:t>
            </w:r>
          </w:p>
        </w:tc>
        <w:tc>
          <w:tcPr>
            <w:tcW w:w="0" w:type="dxa"/>
            <w:vAlign w:val="bottom"/>
          </w:tcPr>
          <w:p>
            <w:pPr>
              <w:spacing w:after="0"/>
              <w:rPr>
                <w:sz w:val="1"/>
                <w:szCs w:val="1"/>
                <w:color w:val="auto"/>
              </w:rPr>
            </w:pPr>
          </w:p>
        </w:tc>
      </w:tr>
      <w:tr>
        <w:trPr>
          <w:trHeight w:val="174"/>
        </w:trPr>
        <w:tc>
          <w:tcPr>
            <w:tcW w:w="3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2"/>
              </w:rPr>
              <w:t>Inputs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87"/>
              </w:rPr>
              <w:t>Inputs</w:t>
            </w:r>
          </w:p>
        </w:tc>
        <w:tc>
          <w:tcPr>
            <w:tcW w:w="0" w:type="dxa"/>
            <w:vAlign w:val="bottom"/>
          </w:tcPr>
          <w:p>
            <w:pPr>
              <w:spacing w:after="0"/>
              <w:rPr>
                <w:sz w:val="1"/>
                <w:szCs w:val="1"/>
                <w:color w:val="auto"/>
              </w:rPr>
            </w:pPr>
          </w:p>
        </w:tc>
      </w:tr>
      <w:tr>
        <w:trPr>
          <w:trHeight w:val="224"/>
        </w:trPr>
        <w:tc>
          <w:tcPr>
            <w:tcW w:w="3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2)</w:t>
            </w: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3)</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2)</w:t>
            </w:r>
          </w:p>
        </w:tc>
        <w:tc>
          <w:tcPr>
            <w:tcW w:w="120" w:type="dxa"/>
            <w:vAlign w:val="bottom"/>
          </w:tcPr>
          <w:p>
            <w:pPr>
              <w:spacing w:after="0"/>
              <w:rPr>
                <w:sz w:val="19"/>
                <w:szCs w:val="19"/>
                <w:color w:val="auto"/>
              </w:rPr>
            </w:pPr>
          </w:p>
        </w:tc>
        <w:tc>
          <w:tcPr>
            <w:tcW w:w="900" w:type="dxa"/>
            <w:vAlign w:val="bottom"/>
          </w:tcPr>
          <w:p>
            <w:pPr>
              <w:jc w:val="center"/>
              <w:ind w:right="41"/>
              <w:spacing w:after="0"/>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33"/>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411,142</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40"/>
              <w:spacing w:after="0"/>
              <w:rPr>
                <w:sz w:val="20"/>
                <w:szCs w:val="20"/>
                <w:color w:val="auto"/>
              </w:rPr>
            </w:pPr>
            <w:r>
              <w:rPr>
                <w:rFonts w:ascii="Arial" w:cs="Arial" w:eastAsia="Arial" w:hAnsi="Arial"/>
                <w:sz w:val="18"/>
                <w:szCs w:val="18"/>
                <w:color w:val="auto"/>
                <w:w w:val="98"/>
              </w:rPr>
              <w:t>411,142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378,612</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1"/>
              <w:spacing w:after="0"/>
              <w:rPr>
                <w:sz w:val="20"/>
                <w:szCs w:val="20"/>
                <w:color w:val="auto"/>
              </w:rPr>
            </w:pPr>
            <w:r>
              <w:rPr>
                <w:rFonts w:ascii="Arial" w:cs="Arial" w:eastAsia="Arial" w:hAnsi="Arial"/>
                <w:sz w:val="18"/>
                <w:szCs w:val="18"/>
                <w:color w:val="auto"/>
                <w:w w:val="98"/>
              </w:rPr>
              <w:t>378,612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Money market funds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195,592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195,592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38,649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500"/>
              <w:spacing w:after="0"/>
              <w:rPr>
                <w:sz w:val="20"/>
                <w:szCs w:val="20"/>
                <w:color w:val="auto"/>
              </w:rPr>
            </w:pPr>
            <w:r>
              <w:rPr>
                <w:rFonts w:ascii="Arial" w:cs="Arial" w:eastAsia="Arial" w:hAnsi="Arial"/>
                <w:sz w:val="18"/>
                <w:szCs w:val="18"/>
                <w:color w:val="auto"/>
              </w:rPr>
              <w:t>Certificates of deposit and term</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100" w:type="dxa"/>
            <w:vAlign w:val="bottom"/>
          </w:tcPr>
          <w:p>
            <w:pPr>
              <w:ind w:left="500"/>
              <w:spacing w:after="0" w:line="257" w:lineRule="exact"/>
              <w:rPr>
                <w:sz w:val="20"/>
                <w:szCs w:val="20"/>
                <w:color w:val="auto"/>
              </w:rPr>
            </w:pPr>
            <w:r>
              <w:rPr>
                <w:rFonts w:ascii="Arial" w:cs="Arial" w:eastAsia="Arial" w:hAnsi="Arial"/>
                <w:sz w:val="18"/>
                <w:szCs w:val="18"/>
                <w:color w:val="auto"/>
              </w:rPr>
              <w:t xml:space="preserve">deposits </w:t>
            </w:r>
            <w:r>
              <w:rPr>
                <w:rFonts w:ascii="Arial" w:cs="Arial" w:eastAsia="Arial" w:hAnsi="Arial"/>
                <w:sz w:val="25"/>
                <w:szCs w:val="25"/>
                <w:color w:val="auto"/>
                <w:vertAlign w:val="superscript"/>
              </w:rPr>
              <w:t>(1)</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132,070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80" w:type="dxa"/>
            <w:vAlign w:val="bottom"/>
          </w:tcPr>
          <w:p>
            <w:pPr>
              <w:jc w:val="right"/>
              <w:ind w:right="40"/>
              <w:spacing w:after="0"/>
              <w:rPr>
                <w:sz w:val="20"/>
                <w:szCs w:val="20"/>
                <w:color w:val="auto"/>
              </w:rPr>
            </w:pPr>
            <w:r>
              <w:rPr>
                <w:rFonts w:ascii="Arial" w:cs="Arial" w:eastAsia="Arial" w:hAnsi="Arial"/>
                <w:sz w:val="18"/>
                <w:szCs w:val="18"/>
                <w:color w:val="auto"/>
                <w:w w:val="98"/>
              </w:rPr>
              <w:t>132,070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59,479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760" w:type="dxa"/>
            <w:vAlign w:val="bottom"/>
          </w:tcPr>
          <w:p>
            <w:pPr>
              <w:jc w:val="right"/>
              <w:ind w:right="21"/>
              <w:spacing w:after="0"/>
              <w:rPr>
                <w:sz w:val="20"/>
                <w:szCs w:val="20"/>
                <w:color w:val="auto"/>
              </w:rPr>
            </w:pPr>
            <w:r>
              <w:rPr>
                <w:rFonts w:ascii="Arial" w:cs="Arial" w:eastAsia="Arial" w:hAnsi="Arial"/>
                <w:sz w:val="18"/>
                <w:szCs w:val="18"/>
                <w:color w:val="auto"/>
              </w:rPr>
              <w:t>59,479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128,890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w w:val="98"/>
              </w:rPr>
              <w:t>128,890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105,097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98"/>
              </w:rPr>
              <w:t>105,097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500"/>
              <w:spacing w:after="0"/>
              <w:rPr>
                <w:sz w:val="20"/>
                <w:szCs w:val="20"/>
                <w:color w:val="auto"/>
              </w:rPr>
            </w:pPr>
            <w:r>
              <w:rPr>
                <w:rFonts w:ascii="Arial" w:cs="Arial" w:eastAsia="Arial" w:hAnsi="Arial"/>
                <w:sz w:val="18"/>
                <w:szCs w:val="18"/>
                <w:color w:val="auto"/>
              </w:rPr>
              <w:t>U.S. government and agency</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500"/>
              <w:spacing w:after="0"/>
              <w:rPr>
                <w:sz w:val="20"/>
                <w:szCs w:val="20"/>
                <w:color w:val="auto"/>
              </w:rPr>
            </w:pPr>
            <w:r>
              <w:rPr>
                <w:rFonts w:ascii="Arial" w:cs="Arial" w:eastAsia="Arial" w:hAnsi="Arial"/>
                <w:sz w:val="18"/>
                <w:szCs w:val="18"/>
                <w:color w:val="auto"/>
              </w:rPr>
              <w:t>securities</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2"/>
              <w:spacing w:after="0"/>
              <w:rPr>
                <w:sz w:val="20"/>
                <w:szCs w:val="20"/>
                <w:color w:val="auto"/>
              </w:rPr>
            </w:pPr>
            <w:r>
              <w:rPr>
                <w:rFonts w:ascii="Arial" w:cs="Arial" w:eastAsia="Arial" w:hAnsi="Arial"/>
                <w:sz w:val="18"/>
                <w:szCs w:val="18"/>
                <w:color w:val="auto"/>
              </w:rPr>
              <w:t>24,952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8"/>
                <w:szCs w:val="18"/>
                <w:color w:val="auto"/>
              </w:rPr>
              <w:t>3,456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64,541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8"/>
                <w:szCs w:val="18"/>
                <w:color w:val="auto"/>
              </w:rPr>
              <w:t>52,082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8"/>
                <w:szCs w:val="18"/>
                <w:color w:val="auto"/>
              </w:rPr>
              <w:t>12,459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59,025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59,025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896,102</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8"/>
                <w:szCs w:val="18"/>
                <w:color w:val="auto"/>
              </w:rPr>
              <w:t>220,544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w w:val="98"/>
              </w:rPr>
              <w:t>675,558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705,403</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90,731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98"/>
              </w:rPr>
              <w:t>614,672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357,807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103,898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440,273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376,522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50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98,022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224,983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896,102</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705,403</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restart"/>
          </w:tcPr>
          <w:p>
            <w:pPr>
              <w:jc w:val="right"/>
              <w:ind w:right="24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60" w:hanging="152"/>
        <w:spacing w:after="0"/>
        <w:tabs>
          <w:tab w:leader="none" w:pos="160" w:val="left"/>
        </w:tabs>
        <w:numPr>
          <w:ilvl w:val="0"/>
          <w:numId w:val="38"/>
        </w:numPr>
        <w:rPr>
          <w:rFonts w:ascii="Arial" w:cs="Arial" w:eastAsia="Arial" w:hAnsi="Arial"/>
          <w:sz w:val="16"/>
          <w:szCs w:val="16"/>
          <w:color w:val="auto"/>
          <w:vertAlign w:val="superscript"/>
        </w:rPr>
      </w:pPr>
      <w:r>
        <w:rPr>
          <w:rFonts w:ascii="Arial" w:cs="Arial" w:eastAsia="Arial" w:hAnsi="Arial"/>
          <w:sz w:val="16"/>
          <w:szCs w:val="16"/>
          <w:color w:val="auto"/>
        </w:rPr>
        <w:t>Subsequent to the issuance of our consolidated financial statements as of and for the year ended December 31, 2016, we determined that $55.3 million in</w:t>
      </w:r>
    </w:p>
    <w:p>
      <w:pPr>
        <w:spacing w:after="0" w:line="46" w:lineRule="exact"/>
        <w:rPr>
          <w:rFonts w:ascii="Arial" w:cs="Arial" w:eastAsia="Arial" w:hAnsi="Arial"/>
          <w:sz w:val="16"/>
          <w:szCs w:val="16"/>
          <w:color w:val="auto"/>
          <w:vertAlign w:val="superscript"/>
        </w:rPr>
      </w:pPr>
    </w:p>
    <w:p>
      <w:pPr>
        <w:ind w:right="20"/>
        <w:spacing w:after="0" w:line="302" w:lineRule="auto"/>
        <w:rPr>
          <w:rFonts w:ascii="Arial" w:cs="Arial" w:eastAsia="Arial" w:hAnsi="Arial"/>
          <w:sz w:val="16"/>
          <w:szCs w:val="16"/>
          <w:color w:val="auto"/>
          <w:vertAlign w:val="superscript"/>
        </w:rPr>
      </w:pPr>
      <w:r>
        <w:rPr>
          <w:rFonts w:ascii="Arial" w:cs="Arial" w:eastAsia="Arial" w:hAnsi="Arial"/>
          <w:sz w:val="17"/>
          <w:szCs w:val="17"/>
          <w:color w:val="auto"/>
        </w:rPr>
        <w:t>30-day term deposits, included within cash and cash equivalents in the consolidated balance sheet as of December 31, 2016, should have also been included as Level 2 investments in the fair value hierarchy table for financial assets and financial liabilities measured at fair value on a recurring basis. Accordingly, we have corrected the above table as of December 31, 2016, the effect of which is immaterial to the financial statements as a whole.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transfers between Level 1 and Level 2 of the fair value hierarchy during the year ended December 31, 2017 and December 31,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Nonrecurring Basis</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measure certain assets, including goodwill, other intangible assets—net and investments in privately held companies at fair value on a nonrecurring basis when there are identifiable events or changes in circumstances that may have a significant adverse impact on the fair value of these assets.</w:t>
      </w:r>
    </w:p>
    <w:p>
      <w:pPr>
        <w:spacing w:after="0" w:line="12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During the second quarter of 2015, we reassessed the fair value and the remaining useful life of the developed technologies and customer relationship acquired from the Coyote Point Systems (“Coyote”) business acquisition. Based on this reassessment, we determined a decrease in the projected cash flow and that the remaining net book value of the developed technologies and customer relationships were impaired. As a result, we recorded an impairment charge of $1.6 million associated with these assets. The impairment charge is included within cost of product revenue and sales and marketing in the consolidated statements of operations.</w:t>
      </w:r>
    </w:p>
    <w:p>
      <w:pPr>
        <w:spacing w:after="0" w:line="184" w:lineRule="exact"/>
        <w:rPr>
          <w:sz w:val="20"/>
          <w:szCs w:val="20"/>
          <w:color w:val="auto"/>
        </w:rPr>
      </w:pPr>
    </w:p>
    <w:p>
      <w:pPr>
        <w:ind w:left="360" w:hanging="352"/>
        <w:spacing w:after="0"/>
        <w:tabs>
          <w:tab w:leader="none" w:pos="3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7"/>
                <w:szCs w:val="17"/>
                <w:color w:val="auto"/>
              </w:rPr>
            </w:pPr>
          </w:p>
        </w:tc>
        <w:tc>
          <w:tcPr>
            <w:tcW w:w="1640" w:type="dxa"/>
            <w:vAlign w:val="bottom"/>
          </w:tcPr>
          <w:p>
            <w:pPr>
              <w:jc w:val="right"/>
              <w:ind w:right="43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2016</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18,924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64,249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87,963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77,291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106,887</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Inventory includes finished goods held by distributors where revenue is recognized on a sell-through basis of $0.1 million and $1.0 million as of December 31, 2017 and 2016, respectively. Inventory also includes materials at contract manufacturers of $2.6 million and $6.1 million as of December 31, 2017 and 2016, respectively.</w:t>
      </w:r>
    </w:p>
    <w:p>
      <w:pPr>
        <w:spacing w:after="0" w:line="150"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the following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7"/>
                <w:szCs w:val="17"/>
                <w:color w:val="auto"/>
              </w:rPr>
            </w:pPr>
          </w:p>
        </w:tc>
        <w:tc>
          <w:tcPr>
            <w:tcW w:w="1640" w:type="dxa"/>
            <w:vAlign w:val="bottom"/>
          </w:tcPr>
          <w:p>
            <w:pPr>
              <w:jc w:val="right"/>
              <w:ind w:right="431"/>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2016</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building improvements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133,212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49,783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79,911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65,323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35,079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20,777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18,699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20,173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14,705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13,995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4,669</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340,550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207,721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(70,472)</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245,395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137,249</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5"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$46.9 million, $39.2 million and $28.4 million in 2017, 2016 and 2015, respectively.</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In April 2017, we purchased certain real estate in Burnaby, Canada for $84.8 million. The purchase was accounted for under the asset acquisition method. The cost of the assets acquired was allocated to land and buildings based on their relative fair values. The amounts allocated to land and buildings were $12.7 million and $72.1 million, respectively.</w:t>
      </w:r>
    </w:p>
    <w:p>
      <w:pPr>
        <w:spacing w:after="0" w:line="177"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 HELD COMPANIES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Our investments in the equity securities of privately held companies totaled $12.1 million and $10.3 million as of December 31, 2017 and 2016, respectively. These investments are accounted for as cost-basis investments, as we own less than 20% of the voting securities in each of these investments and do not have the ability to exercise significant influence over operating and financial policies of the respective entities. These investments are carried at historical cost and are recorded as other assets on our consolidated balance sheets and would be measured at fair value if indicators of impairment existed. As of December 31, 2017, no events have occurred that would adversely affect the carrying value of these investments.</w:t>
      </w:r>
    </w:p>
    <w:p>
      <w:pPr>
        <w:spacing w:after="0" w:line="15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December 31, 2017, we determined that we had a variable interest in these privately held companies. However, we determined that we were not the primary beneficiary as we did not have the power to direct their activities that most significantly affect their economic performance. The VIEs are not required to be consolidated in our consolidated financial statements.</w:t>
      </w:r>
    </w:p>
    <w:p>
      <w:pPr>
        <w:spacing w:after="0" w:line="177"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AccelOps, Inc.</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June 7, 2016, we completed our acquisition of AccelOps, Inc. (“AccelOps”), a provider of network security monitoring and analytics solutions, for total cash consideration of $22.1 million, net of cash received. This acquisition extended the Fortinet Security Fabric.</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acquisition of AccelOps was accounted as a business combination in accordance with ASC Topic 805 “Business Combinations” issued by the FASB, and we used our best estimates and assumptions to assign fair value to the tangible and intangible assets acquired and liabilities assumed at the acquisition date. The total purchase price was allocated to AccelOps’ identifiable tangible and intangible assets acquired and liabilities assumed based on their estimated fair values as of the acquisition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allocation of the purchase price was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86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4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4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Finite-lived intangible assets</w:t>
            </w:r>
          </w:p>
        </w:tc>
        <w:tc>
          <w:tcPr>
            <w:tcW w:w="4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Indefinite-lived intangible assets in process research and development</w:t>
            </w:r>
          </w:p>
        </w:tc>
        <w:tc>
          <w:tcPr>
            <w:tcW w:w="4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9,861</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4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31,726</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4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4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4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assumed</w:t>
            </w:r>
          </w:p>
        </w:tc>
        <w:tc>
          <w:tcPr>
            <w:tcW w:w="4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9,442</w:t>
            </w:r>
          </w:p>
        </w:tc>
        <w:tc>
          <w:tcPr>
            <w:tcW w:w="0" w:type="dxa"/>
            <w:vAlign w:val="bottom"/>
          </w:tcPr>
          <w:p>
            <w:pPr>
              <w:spacing w:after="0"/>
              <w:rPr>
                <w:sz w:val="1"/>
                <w:szCs w:val="1"/>
                <w:color w:val="auto"/>
              </w:rPr>
            </w:pPr>
          </w:p>
        </w:tc>
      </w:tr>
      <w:tr>
        <w:trPr>
          <w:trHeight w:val="257"/>
        </w:trPr>
        <w:tc>
          <w:tcPr>
            <w:tcW w:w="5360" w:type="dxa"/>
            <w:vAlign w:val="bottom"/>
          </w:tcPr>
          <w:p>
            <w:pPr>
              <w:ind w:left="500"/>
              <w:spacing w:after="0"/>
              <w:rPr>
                <w:sz w:val="20"/>
                <w:szCs w:val="20"/>
                <w:color w:val="auto"/>
              </w:rPr>
            </w:pPr>
            <w:r>
              <w:rPr>
                <w:rFonts w:ascii="Arial" w:cs="Arial" w:eastAsia="Arial" w:hAnsi="Arial"/>
                <w:sz w:val="18"/>
                <w:szCs w:val="18"/>
                <w:color w:val="auto"/>
              </w:rPr>
              <w:t>Total purchase price allocation</w:t>
            </w:r>
          </w:p>
        </w:tc>
        <w:tc>
          <w:tcPr>
            <w:tcW w:w="41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22,284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120" w:type="dxa"/>
            <w:vAlign w:val="bottom"/>
            <w:vMerge w:val="restart"/>
          </w:tcPr>
          <w:p>
            <w:pPr>
              <w:jc w:val="right"/>
              <w:ind w:right="3590"/>
              <w:spacing w:after="0"/>
              <w:rPr>
                <w:sz w:val="20"/>
                <w:szCs w:val="20"/>
                <w:color w:val="auto"/>
              </w:rPr>
            </w:pPr>
            <w:r>
              <w:rPr>
                <w:rFonts w:ascii="Arial" w:cs="Arial" w:eastAsia="Arial" w:hAnsi="Arial"/>
                <w:sz w:val="18"/>
                <w:szCs w:val="18"/>
                <w:color w:val="auto"/>
              </w:rPr>
              <w:t>84</w:t>
            </w: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Finite-lived intangible assets consist of developed technology, customer relationships and other intangible assets. AccelOps’ technology provides a software solution to manage security, performance and compliance from a single platform. The acquired developed technologies include software patents, know-how, process and designs. The value of customer relationships is attributable to the generation of a consistent income source and the avoidance of costs associated with creating new customer relationships.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estimated useful life and fair values of the acquired finite-lived intangible assets were as follows (in thousands, except for estimated useful life):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Estimated Useful Life</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766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300" w:type="dxa"/>
            <w:vAlign w:val="bottom"/>
          </w:tcPr>
          <w:p>
            <w:pPr>
              <w:spacing w:after="0"/>
              <w:rPr>
                <w:sz w:val="20"/>
                <w:szCs w:val="20"/>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 Values</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technologies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2,300</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14,900</w:t>
            </w:r>
          </w:p>
        </w:tc>
      </w:tr>
      <w:tr>
        <w:trPr>
          <w:trHeight w:val="20"/>
        </w:trPr>
        <w:tc>
          <w:tcPr>
            <w:tcW w:w="7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developed technologies and other are amortized on a straight-line basis. The amortization expense of developed technologies and other intangibles are recorded in cost of revenue. The amortization expense of customer relationships is amortized on an accelerated basis and is recorded in sales and marketing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Indefinite-lived intangible assets consist of in-process research and development, which will begin to be amortized upon completion of development.</w:t>
      </w:r>
    </w:p>
    <w:p>
      <w:pPr>
        <w:spacing w:after="0" w:line="24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goodwill of $9.9 million represents the amount of the purchase price in excess of the fair value of the net tangible liabilities assumed and intangible assets acquired, including AccelOps’ assembled workforce. The goodwill recorded as part of the AccelOps acquisition is not deductible for U.S. federal income tax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Meru Networks, Inc.</w:t>
      </w:r>
    </w:p>
    <w:p>
      <w:pPr>
        <w:spacing w:after="0" w:line="22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On July 8, 2015, we completed our acquisition of Meru Networks, Inc. (“Meru”), a provider of wi-fi networking products and services. In connection with the acquisition, we paid $41.8 million, comprised of cash consideration of $40.9 million, withholding tax liability of $0.4 million and the estimated fair value associated with RSUs of Meru of $0.5 million that were converted for 53,401 shares of our common stock.</w:t>
      </w:r>
    </w:p>
    <w:p>
      <w:pPr>
        <w:spacing w:after="0" w:line="166"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We accounted for this transaction as a business combination in accordance with ASC Topic 805. We expensed acquisition-related costs of $1.7 million in general and administrative expenses. The total purchase price was allocated to Meru’s identifiable tangible and intangible assets acquired and liabilities assumed based on their estimated fair values as of the acquisition date.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80" w:type="dxa"/>
            <w:vAlign w:val="bottom"/>
          </w:tcPr>
          <w:p>
            <w:pPr>
              <w:ind w:left="5020"/>
              <w:spacing w:after="0"/>
              <w:rPr>
                <w:sz w:val="20"/>
                <w:szCs w:val="20"/>
                <w:color w:val="auto"/>
              </w:rPr>
            </w:pPr>
            <w:r>
              <w:rPr>
                <w:rFonts w:ascii="Arial" w:cs="Arial" w:eastAsia="Arial" w:hAnsi="Arial"/>
                <w:sz w:val="18"/>
                <w:szCs w:val="18"/>
                <w:b w:val="1"/>
                <w:bCs w:val="1"/>
                <w:color w:val="auto"/>
              </w:rPr>
              <w:t>FORTINET, INC.</w:t>
            </w: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9480" w:type="dxa"/>
            <w:vAlign w:val="bottom"/>
          </w:tcPr>
          <w:p>
            <w:pPr>
              <w:ind w:left="2800"/>
              <w:spacing w:after="0"/>
              <w:rPr>
                <w:sz w:val="20"/>
                <w:szCs w:val="20"/>
                <w:color w:val="auto"/>
              </w:rPr>
            </w:pPr>
            <w:r>
              <w:rPr>
                <w:rFonts w:ascii="Arial" w:cs="Arial" w:eastAsia="Arial" w:hAnsi="Arial"/>
                <w:sz w:val="18"/>
                <w:szCs w:val="18"/>
                <w:b w:val="1"/>
                <w:bCs w:val="1"/>
                <w:color w:val="auto"/>
              </w:rPr>
              <w:t>NOTES TO CONSOLIDATED FINANCIAL STATEMENTS—(Continued)</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891"/>
        </w:trPr>
        <w:tc>
          <w:tcPr>
            <w:tcW w:w="9480" w:type="dxa"/>
            <w:vAlign w:val="bottom"/>
          </w:tcPr>
          <w:p>
            <w:pPr>
              <w:ind w:left="660"/>
              <w:spacing w:after="0"/>
              <w:rPr>
                <w:sz w:val="20"/>
                <w:szCs w:val="20"/>
                <w:color w:val="auto"/>
              </w:rPr>
            </w:pPr>
            <w:r>
              <w:rPr>
                <w:rFonts w:ascii="Arial" w:cs="Arial" w:eastAsia="Arial" w:hAnsi="Arial"/>
                <w:sz w:val="18"/>
                <w:szCs w:val="18"/>
                <w:color w:val="auto"/>
              </w:rPr>
              <w:t>Total allocation of the purchase price was as follows (in thousands):</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1"/>
        </w:trPr>
        <w:tc>
          <w:tcPr>
            <w:tcW w:w="9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8,191</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Prepaid expenses and other assets</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2,409</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18,585</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1,868</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66,451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9,800</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14,887</w:t>
            </w:r>
          </w:p>
        </w:tc>
      </w:tr>
      <w:tr>
        <w:trPr>
          <w:trHeight w:val="237"/>
        </w:trPr>
        <w:tc>
          <w:tcPr>
            <w:tcW w:w="948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7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24,687</w:t>
            </w:r>
          </w:p>
        </w:tc>
      </w:tr>
      <w:tr>
        <w:trPr>
          <w:trHeight w:val="27"/>
        </w:trPr>
        <w:tc>
          <w:tcPr>
            <w:tcW w:w="94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purchase price allocation</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41,764</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The goodwill of $1.9 million represents the premium we paid over the fair value of the net tangible liabilities assumed and identified intangible assets acquired, due primarily to Meru’s assembled workforce. The goodwill recorded as part of the Meru acquisition is not deductible for U.S. federal income tax purposes.</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Intangible assets consist primarily of customer relationships and developed technologies. Customer relationships represent Meru’s installed base and the ability to sell existing, in-process and future versions of our products and services to its existing customers. Developed technologies represent the virtualized wireless local area network solutions offering centralized coordination and control of various access points on the network. This includes patented and unpatented technology, know-how, processes, designs and computer software. The estimated useful life and fair values of the acquired identifiable intangible assets were as follows (in thousands, except for estimated useful life):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Estimated Useful Life</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766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300" w:type="dxa"/>
            <w:vAlign w:val="bottom"/>
          </w:tcPr>
          <w:p>
            <w:pPr>
              <w:spacing w:after="0"/>
              <w:rPr>
                <w:sz w:val="20"/>
                <w:szCs w:val="20"/>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b w:val="1"/>
                <w:bCs w:val="1"/>
                <w:color w:val="auto"/>
              </w:rPr>
              <w:t>Fair Values</w:t>
            </w: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Developed technologies</w:t>
            </w:r>
          </w:p>
        </w:tc>
        <w:tc>
          <w:tcPr>
            <w:tcW w:w="18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7,200</w:t>
            </w: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19,600</w:t>
            </w:r>
          </w:p>
        </w:tc>
      </w:tr>
      <w:tr>
        <w:trPr>
          <w:trHeight w:val="20"/>
        </w:trPr>
        <w:tc>
          <w:tcPr>
            <w:tcW w:w="7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Customer relationships and trade name are amortized and the amortization expense is recorded in sales and marketing expenses in the consolidated statement of operations. Developed technologies are amortized and the amortization expense is recorded in cost of product revenue in the consolidated statement of operations.</w:t>
      </w:r>
    </w:p>
    <w:p>
      <w:pPr>
        <w:spacing w:after="0" w:line="393"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 we had goodwill of $14.6 million. There were no impairments to goodwill during 2017 or during prior periods.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as of December 31, 2017 and 2016 (in thousands, except years):</w:t>
      </w:r>
    </w:p>
    <w:p>
      <w:pPr>
        <w:spacing w:after="0" w:line="200" w:lineRule="exact"/>
        <w:rPr>
          <w:sz w:val="20"/>
          <w:szCs w:val="20"/>
          <w:color w:val="auto"/>
        </w:rPr>
      </w:pPr>
    </w:p>
    <w:p>
      <w:pPr>
        <w:spacing w:after="0" w:line="201" w:lineRule="exact"/>
        <w:rPr>
          <w:sz w:val="20"/>
          <w:szCs w:val="20"/>
          <w:color w:val="auto"/>
        </w:rPr>
      </w:pPr>
    </w:p>
    <w:p>
      <w:pPr>
        <w:ind w:left="7800"/>
        <w:spacing w:after="0"/>
        <w:rPr>
          <w:sz w:val="20"/>
          <w:szCs w:val="20"/>
          <w:color w:val="auto"/>
        </w:rPr>
      </w:pPr>
      <w:r>
        <w:rPr>
          <w:rFonts w:ascii="Arial" w:cs="Arial" w:eastAsia="Arial" w:hAnsi="Arial"/>
          <w:sz w:val="16"/>
          <w:szCs w:val="16"/>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37465</wp:posOffset>
            </wp:positionV>
            <wp:extent cx="3764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1"/>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10,234</w:t>
            </w: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10,079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4,421</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14,655</w:t>
            </w:r>
          </w:p>
        </w:tc>
      </w:tr>
      <w:tr>
        <w:trPr>
          <w:trHeight w:val="297"/>
        </w:trPr>
        <w:tc>
          <w:tcPr>
            <w:tcW w:w="5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In-process research and development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1,600</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40,084</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23,829</w:t>
            </w:r>
          </w:p>
        </w:tc>
        <w:tc>
          <w:tcPr>
            <w:tcW w:w="1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16,255</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7800"/>
        <w:spacing w:after="0"/>
        <w:rPr>
          <w:sz w:val="20"/>
          <w:szCs w:val="20"/>
          <w:color w:val="auto"/>
        </w:rPr>
      </w:pPr>
      <w:r>
        <w:rPr>
          <w:rFonts w:ascii="Arial" w:cs="Arial" w:eastAsia="Arial" w:hAnsi="Arial"/>
          <w:sz w:val="16"/>
          <w:szCs w:val="16"/>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37465</wp:posOffset>
            </wp:positionV>
            <wp:extent cx="3764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1"/>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15,234</w:t>
            </w: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6,506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7,994</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23,228</w:t>
            </w:r>
          </w:p>
        </w:tc>
      </w:tr>
      <w:tr>
        <w:trPr>
          <w:trHeight w:val="297"/>
        </w:trPr>
        <w:tc>
          <w:tcPr>
            <w:tcW w:w="5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In-process research and development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1,600</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40,084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15,256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24,828</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in-process research and development intangible asset of $1.6 million is expected to be completed in the first quarter of 2018. Upon completion, the cost will be transferred to developed technology and will be amortized over the remaining estimated useful life of the asset. Amortization expense was $8.6 million, $9.3 million, and $3.2 million in 2017, 2016 and 2015, respectively. The following table summarizes estimated future amortization expense of finite-lived intangible assets—net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jc w:val="right"/>
              <w:ind w:right="772"/>
              <w:spacing w:after="0"/>
              <w:rPr>
                <w:sz w:val="20"/>
                <w:szCs w:val="20"/>
                <w:color w:val="auto"/>
              </w:rPr>
            </w:pPr>
            <w:r>
              <w:rPr>
                <w:rFonts w:ascii="Arial" w:cs="Arial" w:eastAsia="Arial" w:hAnsi="Arial"/>
                <w:sz w:val="16"/>
                <w:szCs w:val="16"/>
                <w:b w:val="1"/>
                <w:bCs w:val="1"/>
                <w:color w:val="auto"/>
              </w:rPr>
              <w:t>Amount</w:t>
            </w:r>
          </w:p>
        </w:tc>
      </w:tr>
      <w:tr>
        <w:trPr>
          <w:trHeight w:val="33"/>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jc w:val="right"/>
              <w:ind w:right="8310"/>
              <w:spacing w:after="0"/>
              <w:rPr>
                <w:sz w:val="20"/>
                <w:szCs w:val="20"/>
                <w:color w:val="auto"/>
              </w:rPr>
            </w:pPr>
            <w:r>
              <w:rPr>
                <w:rFonts w:ascii="Arial" w:cs="Arial" w:eastAsia="Arial" w:hAnsi="Arial"/>
                <w:sz w:val="18"/>
                <w:szCs w:val="18"/>
                <w:color w:val="auto"/>
              </w:rPr>
              <w:t>2018</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6,885</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jc w:val="right"/>
              <w:ind w:right="8310"/>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5,407</w:t>
            </w:r>
          </w:p>
        </w:tc>
      </w:tr>
      <w:tr>
        <w:trPr>
          <w:trHeight w:val="243"/>
        </w:trPr>
        <w:tc>
          <w:tcPr>
            <w:tcW w:w="9140" w:type="dxa"/>
            <w:vAlign w:val="bottom"/>
          </w:tcPr>
          <w:p>
            <w:pPr>
              <w:jc w:val="right"/>
              <w:ind w:right="831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2,363</w:t>
            </w:r>
          </w:p>
        </w:tc>
      </w:tr>
      <w:tr>
        <w:trPr>
          <w:trHeight w:val="27"/>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14,655</w:t>
            </w: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5"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RSUs, stock options and the ESPP. Dilutive shares of common stock are determined by applying the treasury stock method.</w:t>
      </w:r>
    </w:p>
    <w:p>
      <w:pPr>
        <w:spacing w:after="0" w:line="14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thousands, except per share amounts):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3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31,399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32,187</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7,987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Basic shares: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174,315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172,621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170,385</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Diluted shares:</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174,315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170,385</w:t>
            </w:r>
          </w:p>
        </w:tc>
        <w:tc>
          <w:tcPr>
            <w:tcW w:w="0" w:type="dxa"/>
            <w:vAlign w:val="bottom"/>
          </w:tcPr>
          <w:p>
            <w:pPr>
              <w:spacing w:after="0"/>
              <w:rPr>
                <w:sz w:val="1"/>
                <w:szCs w:val="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Effect of potentially dilutive securities: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RSUs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43"/>
        </w:trPr>
        <w:tc>
          <w:tcPr>
            <w:tcW w:w="7080" w:type="dxa"/>
            <w:vAlign w:val="bottom"/>
          </w:tcPr>
          <w:p>
            <w:pPr>
              <w:ind w:left="920"/>
              <w:spacing w:after="0"/>
              <w:rPr>
                <w:sz w:val="20"/>
                <w:szCs w:val="20"/>
                <w:color w:val="auto"/>
              </w:rPr>
            </w:pPr>
            <w:r>
              <w:rPr>
                <w:rFonts w:ascii="Arial" w:cs="Arial" w:eastAsia="Arial" w:hAnsi="Arial"/>
                <w:sz w:val="18"/>
                <w:szCs w:val="18"/>
                <w:color w:val="auto"/>
              </w:rPr>
              <w:t>Stock options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3,427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ESPP</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shares used to compute diluted net income per share</w:t>
            </w:r>
          </w:p>
        </w:tc>
        <w:tc>
          <w:tcPr>
            <w:tcW w:w="3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178,079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176,338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176,141</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20" w:type="dxa"/>
            <w:vAlign w:val="bottom"/>
          </w:tcPr>
          <w:p>
            <w:pPr>
              <w:spacing w:after="0"/>
              <w:rPr>
                <w:sz w:val="20"/>
                <w:szCs w:val="20"/>
                <w:color w:val="auto"/>
              </w:rPr>
            </w:pPr>
          </w:p>
        </w:tc>
        <w:tc>
          <w:tcPr>
            <w:tcW w:w="4700" w:type="dxa"/>
            <w:vAlign w:val="bottom"/>
            <w:gridSpan w:val="2"/>
          </w:tcPr>
          <w:p>
            <w:pPr>
              <w:jc w:val="right"/>
              <w:ind w:right="550"/>
              <w:spacing w:after="0"/>
              <w:rPr>
                <w:sz w:val="20"/>
                <w:szCs w:val="20"/>
                <w:color w:val="auto"/>
              </w:rPr>
            </w:pPr>
            <w:r>
              <w:rPr>
                <w:rFonts w:ascii="Arial" w:cs="Arial" w:eastAsia="Arial" w:hAnsi="Arial"/>
                <w:sz w:val="16"/>
                <w:szCs w:val="16"/>
                <w:b w:val="1"/>
                <w:bCs w:val="1"/>
                <w:color w:val="auto"/>
              </w:rPr>
              <w:t>2017</w:t>
            </w:r>
          </w:p>
        </w:tc>
        <w:tc>
          <w:tcPr>
            <w:tcW w:w="1720" w:type="dxa"/>
            <w:vAlign w:val="bottom"/>
            <w:gridSpan w:val="2"/>
          </w:tcPr>
          <w:p>
            <w:pPr>
              <w:jc w:val="right"/>
              <w:ind w:right="55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580" w:type="dxa"/>
            <w:vAlign w:val="bottom"/>
          </w:tcPr>
          <w:p>
            <w:pPr>
              <w:jc w:val="right"/>
              <w:ind w:right="532"/>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47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1,418</w:t>
            </w:r>
          </w:p>
        </w:tc>
        <w:tc>
          <w:tcPr>
            <w:tcW w:w="1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3,319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4700" w:type="dxa"/>
            <w:vAlign w:val="bottom"/>
            <w:gridSpan w:val="2"/>
          </w:tcPr>
          <w:p>
            <w:pPr>
              <w:jc w:val="right"/>
              <w:ind w:right="30"/>
              <w:spacing w:after="0"/>
              <w:rPr>
                <w:sz w:val="20"/>
                <w:szCs w:val="20"/>
                <w:color w:val="auto"/>
              </w:rPr>
            </w:pPr>
            <w:r>
              <w:rPr>
                <w:rFonts w:ascii="Arial" w:cs="Arial" w:eastAsia="Arial" w:hAnsi="Arial"/>
                <w:sz w:val="18"/>
                <w:szCs w:val="18"/>
                <w:color w:val="auto"/>
              </w:rPr>
              <w:t>1,031</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30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c>
          <w:tcPr>
            <w:tcW w:w="1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2,605</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80" w:type="dxa"/>
            <w:vAlign w:val="bottom"/>
            <w:vMerge w:val="restart"/>
          </w:tcPr>
          <w:p>
            <w:pPr>
              <w:jc w:val="right"/>
              <w:ind w:right="512"/>
              <w:spacing w:after="0"/>
              <w:rPr>
                <w:sz w:val="20"/>
                <w:szCs w:val="20"/>
                <w:color w:val="auto"/>
              </w:rPr>
            </w:pPr>
            <w:r>
              <w:rPr>
                <w:rFonts w:ascii="Arial" w:cs="Arial" w:eastAsia="Arial" w:hAnsi="Arial"/>
                <w:sz w:val="18"/>
                <w:szCs w:val="18"/>
                <w:color w:val="auto"/>
              </w:rPr>
              <w:t>88</w:t>
            </w: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080" w:type="dxa"/>
            <w:vAlign w:val="bottom"/>
            <w:vMerge w:val="continue"/>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32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2016 and 2015, we implemented plans to restructure and further improve efficiencies in our operations due primarily to acquisitions of Meru and AccelOps. Restructuring charges related to these plans consisted primarily of employee severance and other one-time benefits paid in cash and are included in operating expense in the consolidated statements of operations. The restructuring reserve was included in accrued liabilities on the consolidated balance sheet as of December 31, 2017 and 2016. The restructuring activities were completed by the end of the third quarter of 2017.</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Activities related to the restructuring actions are summarized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Employee Severance</w:t>
            </w: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Contract Terminations</w:t>
            </w: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and Other Benefits</w:t>
            </w:r>
          </w:p>
        </w:tc>
        <w:tc>
          <w:tcPr>
            <w:tcW w:w="120" w:type="dxa"/>
            <w:vAlign w:val="bottom"/>
          </w:tcPr>
          <w:p>
            <w:pPr>
              <w:spacing w:after="0"/>
              <w:rPr>
                <w:sz w:val="20"/>
                <w:szCs w:val="20"/>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and Other Charges</w:t>
            </w:r>
          </w:p>
        </w:tc>
        <w:tc>
          <w:tcPr>
            <w:tcW w:w="480" w:type="dxa"/>
            <w:vAlign w:val="bottom"/>
          </w:tcPr>
          <w:p>
            <w:pPr>
              <w:spacing w:after="0"/>
              <w:rPr>
                <w:sz w:val="20"/>
                <w:szCs w:val="20"/>
                <w:color w:val="auto"/>
              </w:rPr>
            </w:pPr>
          </w:p>
        </w:tc>
        <w:tc>
          <w:tcPr>
            <w:tcW w:w="1580" w:type="dxa"/>
            <w:vAlign w:val="bottom"/>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Less cash payments</w:t>
            </w: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(3,175)</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non-cash items</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3,918</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Less cash payments</w:t>
            </w: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(5,933)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(6,597)</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non-cash items</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1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1,151</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w:t>
            </w: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Less cash payments</w:t>
            </w: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(1,491)</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non-cash items</w:t>
            </w:r>
          </w:p>
        </w:tc>
        <w:tc>
          <w:tcPr>
            <w:tcW w:w="1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future principal contractual obligations as of December 31, 2017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Thereafter</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56,871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6,558</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Inventory purchase commitments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97,170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97,170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154,041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113,190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13,193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10,597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4,157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6,558</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18"/>
          <w:szCs w:val="18"/>
          <w:color w:val="auto"/>
        </w:rPr>
        <w:t>—We lease certain facilities under various non-cancelable operating leases, which expire through 2026. Certain leases require us</w:t>
      </w:r>
      <w:r>
        <w:rPr>
          <w:rFonts w:ascii="Arial" w:cs="Arial" w:eastAsia="Arial" w:hAnsi="Arial"/>
          <w:sz w:val="18"/>
          <w:szCs w:val="18"/>
          <w:b w:val="1"/>
          <w:bCs w:val="1"/>
          <w:color w:val="auto"/>
        </w:rPr>
        <w:t xml:space="preserve"> </w:t>
      </w:r>
      <w:r>
        <w:rPr>
          <w:rFonts w:ascii="Arial" w:cs="Arial" w:eastAsia="Arial" w:hAnsi="Arial"/>
          <w:sz w:val="18"/>
          <w:szCs w:val="18"/>
          <w:color w:val="auto"/>
        </w:rPr>
        <w:t>to pay variable costs such as taxes, maintenance, and insurance. The terms of certain operating leases also provide for renewal options and escalation clauses. Rent expense was $16.7 million, $18.9 million and $13.8 million for 2017, 2016 and 2015, respectively. Rent expense is recognized using the straight-line method over the term of the lease.</w:t>
      </w:r>
    </w:p>
    <w:p>
      <w:pPr>
        <w:spacing w:after="0" w:line="18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procure components and build our products based on our forecasts.</w:t>
      </w:r>
      <w:r>
        <w:rPr>
          <w:rFonts w:ascii="Arial" w:cs="Arial" w:eastAsia="Arial" w:hAnsi="Arial"/>
          <w:sz w:val="17"/>
          <w:szCs w:val="17"/>
          <w:b w:val="1"/>
          <w:bCs w:val="1"/>
          <w:color w:val="auto"/>
        </w:rPr>
        <w:t xml:space="preserve"> </w:t>
      </w:r>
      <w:r>
        <w:rPr>
          <w:rFonts w:ascii="Arial" w:cs="Arial" w:eastAsia="Arial" w:hAnsi="Arial"/>
          <w:sz w:val="17"/>
          <w:szCs w:val="17"/>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December 31, 2017, we had $97.2 million of open purchase orders with our independent contract manufacturers that may not be cancelable.</w:t>
      </w:r>
    </w:p>
    <w:p>
      <w:pPr>
        <w:spacing w:after="0" w:line="141"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Other Contractual Commitments and Open Purchase Orders</w:t>
      </w:r>
      <w:r>
        <w:rPr>
          <w:rFonts w:ascii="Arial" w:cs="Arial" w:eastAsia="Arial" w:hAnsi="Arial"/>
          <w:sz w:val="17"/>
          <w:szCs w:val="17"/>
          <w:color w:val="auto"/>
        </w:rPr>
        <w:t>—In addition to commitments with contract manufacturers, we have open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orders and contractual obligations in the ordinary course of business for which we have not received goods or services. As of December 31, 2017, we had $6.8 million in other contractual commitments having a remaining term in excess of one year that may not be cancelable.</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—We are involved in disputes, litigation, and other legal actions. For lawsuits where we are the defendant, we are in the process of</w:t>
      </w:r>
      <w:r>
        <w:rPr>
          <w:rFonts w:ascii="Arial" w:cs="Arial" w:eastAsia="Arial" w:hAnsi="Arial"/>
          <w:sz w:val="17"/>
          <w:szCs w:val="17"/>
          <w:b w:val="1"/>
          <w:bCs w:val="1"/>
          <w:color w:val="auto"/>
        </w:rPr>
        <w:t xml:space="preserve"> </w:t>
      </w:r>
      <w:r>
        <w:rPr>
          <w:rFonts w:ascii="Arial" w:cs="Arial" w:eastAsia="Arial" w:hAnsi="Arial"/>
          <w:sz w:val="17"/>
          <w:szCs w:val="17"/>
          <w:color w:val="auto"/>
        </w:rPr>
        <w:t>defending these litigation matters, and while there can be no assurances and the outcome of these matters is currently not determinable, we currently believe that there are no existing claims or proceedings that are likely to have a material adverse effect on our financial position. There are many uncertainties associated with any litigation and these actions or other third-party claims against us may cause us to incur costly litigation fees, including contingent legal fees with related parties, costs and substantial settlement charges, and possibly subject us to damages and other penalties.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 our estimates, if any, which could result in the need to adjust the liability and record additional expenses. As required under ASC 450, Contingencies, issued by the FASB, we accrue for contingencies when we believe that a loss is probable and that we can reasonably estimate the amount of any such loss.</w:t>
      </w:r>
    </w:p>
    <w:p>
      <w:pPr>
        <w:spacing w:after="0" w:line="18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October 2016, we received a letter from the United States Attorney’s Office for the Northern District of California requesting information relating to our compliance with the Trade Agreements Act. We have been fully cooperating with this ongoing inquiry and have periodically met and spoken with the United States Attorney’s Office in connection with this matter.</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December 2015, we received $9.0 million from a third-party for a release of claims. In addition, we agreed to a three-year covenant-not-to-sue. Of the $9.0 million consideration received, $2.0 million was used to offset contingent legal fees incurred in connection with the litigation and the remaining $7.0 million was deferred, with the short-term portion recorded as accrued liabilities and the long-term portion recorded as other liabilities in the consolidated balance sheet. The deferral is recognized ratably through 2018 as an offset to general and administrative expenses in the consolidated statement of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various allegations such as product defects and infringement of certain intellectual property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intellectual property infringement, that could potentially expose us to losses in excess of the amount received under the agreement, and in some instances to potential liability that is not contractually limited. To date, there have been no material awards under such indemnification provisions.</w:t>
      </w:r>
    </w:p>
    <w:p>
      <w:pPr>
        <w:spacing w:after="0" w:line="172" w:lineRule="exact"/>
        <w:rPr>
          <w:sz w:val="20"/>
          <w:szCs w:val="20"/>
          <w:color w:val="auto"/>
        </w:rPr>
      </w:pPr>
    </w:p>
    <w:p>
      <w:pPr>
        <w:ind w:left="660" w:right="8200" w:hanging="652"/>
        <w:spacing w:after="0" w:line="533" w:lineRule="auto"/>
        <w:tabs>
          <w:tab w:leader="none" w:pos="452"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Stock-Based Compensation Plans</w:t>
      </w:r>
    </w:p>
    <w:p>
      <w:pPr>
        <w:ind w:firstLine="648"/>
        <w:spacing w:after="0" w:line="264" w:lineRule="auto"/>
        <w:rPr>
          <w:sz w:val="20"/>
          <w:szCs w:val="20"/>
          <w:color w:val="auto"/>
        </w:rPr>
      </w:pPr>
      <w:r>
        <w:rPr>
          <w:rFonts w:ascii="Arial" w:cs="Arial" w:eastAsia="Arial" w:hAnsi="Arial"/>
          <w:sz w:val="18"/>
          <w:szCs w:val="18"/>
          <w:color w:val="auto"/>
        </w:rPr>
        <w:t>Our stock-based compensation plans include the 2000 Stock Plan (the “2000 Plan”), the 2008 Stock Plan (the “2008 Plan”), the 2009 Equity Incentive Plan (the “2009 Plan”) and the ESPP, as well as an equity plan assumed through the Meru acquisition. Under these plans, we have granted (or, in the case of the acquired plan, we have assumed) stock options and RSUs.</w:t>
      </w:r>
    </w:p>
    <w:p>
      <w:pPr>
        <w:spacing w:after="0" w:line="177" w:lineRule="exact"/>
        <w:rPr>
          <w:sz w:val="20"/>
          <w:szCs w:val="20"/>
          <w:color w:val="auto"/>
        </w:rPr>
      </w:pPr>
    </w:p>
    <w:p>
      <w:pPr>
        <w:jc w:val="both"/>
        <w:ind w:right="80" w:firstLine="648"/>
        <w:spacing w:after="0" w:line="289" w:lineRule="auto"/>
        <w:rPr>
          <w:sz w:val="20"/>
          <w:szCs w:val="20"/>
          <w:color w:val="auto"/>
        </w:rPr>
      </w:pPr>
      <w:r>
        <w:rPr>
          <w:rFonts w:ascii="Arial" w:cs="Arial" w:eastAsia="Arial" w:hAnsi="Arial"/>
          <w:sz w:val="17"/>
          <w:szCs w:val="17"/>
          <w:b w:val="1"/>
          <w:bCs w:val="1"/>
          <w:color w:val="auto"/>
        </w:rPr>
        <w:t>Stock Plans</w:t>
      </w:r>
      <w:r>
        <w:rPr>
          <w:rFonts w:ascii="Arial" w:cs="Arial" w:eastAsia="Arial" w:hAnsi="Arial"/>
          <w:sz w:val="17"/>
          <w:szCs w:val="17"/>
          <w:color w:val="auto"/>
        </w:rPr>
        <w:t>—Our board of directors adopted the 2000 Plan in 2000 and the 2008 Plan in 2008. The plans include both incentive and non-statutory</w:t>
      </w:r>
      <w:r>
        <w:rPr>
          <w:rFonts w:ascii="Arial" w:cs="Arial" w:eastAsia="Arial" w:hAnsi="Arial"/>
          <w:sz w:val="17"/>
          <w:szCs w:val="17"/>
          <w:b w:val="1"/>
          <w:bCs w:val="1"/>
          <w:color w:val="auto"/>
        </w:rPr>
        <w:t xml:space="preserve"> </w:t>
      </w:r>
      <w:r>
        <w:rPr>
          <w:rFonts w:ascii="Arial" w:cs="Arial" w:eastAsia="Arial" w:hAnsi="Arial"/>
          <w:sz w:val="17"/>
          <w:szCs w:val="17"/>
          <w:color w:val="auto"/>
        </w:rPr>
        <w:t>stock options, which allowed us to grant options to purchase common stock to employees, directors, and contractors. During 2017, 2016 and 2015, we issued no stock options under these plans. As of December 31, 2015, no shares remain available for grant under these plans.</w:t>
      </w:r>
    </w:p>
    <w:p>
      <w:pPr>
        <w:spacing w:after="0" w:line="158" w:lineRule="exact"/>
        <w:rPr>
          <w:sz w:val="20"/>
          <w:szCs w:val="20"/>
          <w:color w:val="auto"/>
        </w:rPr>
      </w:pPr>
    </w:p>
    <w:p>
      <w:pPr>
        <w:ind w:right="160" w:firstLine="648"/>
        <w:spacing w:after="0" w:line="286" w:lineRule="auto"/>
        <w:rPr>
          <w:sz w:val="20"/>
          <w:szCs w:val="20"/>
          <w:color w:val="auto"/>
        </w:rPr>
      </w:pPr>
      <w:r>
        <w:rPr>
          <w:rFonts w:ascii="Arial" w:cs="Arial" w:eastAsia="Arial" w:hAnsi="Arial"/>
          <w:sz w:val="16"/>
          <w:szCs w:val="16"/>
          <w:b w:val="1"/>
          <w:bCs w:val="1"/>
          <w:color w:val="auto"/>
        </w:rPr>
        <w:t>2009 Equity Incentive Plan</w:t>
      </w:r>
      <w:r>
        <w:rPr>
          <w:rFonts w:ascii="Arial" w:cs="Arial" w:eastAsia="Arial" w:hAnsi="Arial"/>
          <w:sz w:val="16"/>
          <w:szCs w:val="16"/>
          <w:color w:val="auto"/>
        </w:rPr>
        <w:t>—In 2009, our board of directors approved the 2009 Plan, which includes awards of stock options, stock appreciation</w:t>
      </w:r>
      <w:r>
        <w:rPr>
          <w:rFonts w:ascii="Arial" w:cs="Arial" w:eastAsia="Arial" w:hAnsi="Arial"/>
          <w:sz w:val="16"/>
          <w:szCs w:val="16"/>
          <w:b w:val="1"/>
          <w:bCs w:val="1"/>
          <w:color w:val="auto"/>
        </w:rPr>
        <w:t xml:space="preserve"> </w:t>
      </w:r>
      <w:r>
        <w:rPr>
          <w:rFonts w:ascii="Arial" w:cs="Arial" w:eastAsia="Arial" w:hAnsi="Arial"/>
          <w:sz w:val="16"/>
          <w:szCs w:val="16"/>
          <w:color w:val="auto"/>
        </w:rPr>
        <w:t>rights, restricted stock, RSUs and performance stock units. The maximum aggregate number of shares that may be issued under the 2009 Plan is 9.0 million shares, plus any shares subject to stock options or similar awards granted under the 2008 Plan and the 2000 Plan that expire or otherwise terminate without having been exercised in full and shares issued pursuant to awards granted under the 2008 Plan and the 2000 Plan that are forfeited to or repurchased by us, with the maximum number of shares to be added to the 2009 Plan pursuant to such terminations, forfeitures and repurchases not to exceed 21.0 million shares. The shares may be authorized but unissued or reacquired, common stock. The number of shares available for issuance under the 2009 Plan is increased on the first day of each year beginning with 2011, in an amount equal to the lesser of (i) 14.0 million shares (as adjusted in connection with the stock split effected in June 2011), (ii) 5% of the outstanding shares on the last day of the immediately preceding year or (iii) such number of shares determined by our board of directors. Under the 2009 Plan, we may grant awards to employees, directors and other service providers. In the case of an incentive stock option granted to an employee who, at the time of the grant, owns stock representing more than 10% of the voting power of all classes of stock, the exercise price shall be no less than 110% of the fair market value per share on the date of grant and expire five years from the date of grant, and options granted to any other employee, the per share exercise price shall be no less than 100% of the closing stock price on the date of grant. In the case of a non-statutory stock option and options granted to other service providers, the per share exercise price shall be no less than 100% of the fair market value per share on the date of grant. Options granted to individuals owning less than 10% of the total combined voting power of all classes of stock generally have a contractual term of seven years and options generally vest over four years.</w:t>
      </w:r>
    </w:p>
    <w:p>
      <w:pPr>
        <w:spacing w:after="0" w:line="169" w:lineRule="exact"/>
        <w:rPr>
          <w:sz w:val="20"/>
          <w:szCs w:val="20"/>
          <w:color w:val="auto"/>
        </w:rPr>
      </w:pPr>
    </w:p>
    <w:p>
      <w:pPr>
        <w:ind w:right="180" w:firstLine="648"/>
        <w:spacing w:after="0" w:line="281" w:lineRule="auto"/>
        <w:rPr>
          <w:sz w:val="20"/>
          <w:szCs w:val="20"/>
          <w:color w:val="auto"/>
        </w:rPr>
      </w:pPr>
      <w:r>
        <w:rPr>
          <w:rFonts w:ascii="Arial" w:cs="Arial" w:eastAsia="Arial" w:hAnsi="Arial"/>
          <w:sz w:val="17"/>
          <w:szCs w:val="17"/>
          <w:b w:val="1"/>
          <w:bCs w:val="1"/>
          <w:color w:val="auto"/>
        </w:rPr>
        <w:t>2011 Employee Stock Purchase Plan</w:t>
      </w:r>
      <w:r>
        <w:rPr>
          <w:rFonts w:ascii="Arial" w:cs="Arial" w:eastAsia="Arial" w:hAnsi="Arial"/>
          <w:sz w:val="17"/>
          <w:szCs w:val="17"/>
          <w:color w:val="auto"/>
        </w:rPr>
        <w:t>—In June 2011, our stockholders approved the ESPP. The ESPP permits eligible employees to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through regular, systematic payroll deductions, up to a maximum of 15% of employees’ compensation for each purchase period at purchase prices equal to 85% of the lesser of the fair market value of our common stock at the first trading date of the applicable offering period or the purchase date, subject to purchase limits of 4,000 shares for each purchase period or $25,000 worth of stock for each calendar year.</w:t>
      </w:r>
    </w:p>
    <w:p>
      <w:pPr>
        <w:spacing w:after="0" w:line="165"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b w:val="1"/>
          <w:bCs w:val="1"/>
          <w:color w:val="auto"/>
        </w:rPr>
        <w:t>Meru 2010 Equity Incentive Plan</w:t>
      </w:r>
      <w:r>
        <w:rPr>
          <w:rFonts w:ascii="Arial" w:cs="Arial" w:eastAsia="Arial" w:hAnsi="Arial"/>
          <w:sz w:val="16"/>
          <w:szCs w:val="16"/>
          <w:color w:val="auto"/>
        </w:rPr>
        <w:t>—In connection with the Meru acquisition, we assumed and exchanged Meru’s outstanding RSUs with an</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estimated fair value of $2.0 million. Of the total estimated fair value, $0.5 million relating to earned equity awards was allocated to the purchase price and the remainder relating to future services is being recognized over the remaining service period. No new equity awards can be granted under the assumed plan. As of December 31, 2017, RSUs representing 584 shares of common stock were outstanding under the awards assumed through the acquisition of Meru.</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2017, there were a total of 49,869,569 shares of common stock available for grant under our stock-based compensation plans.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thousands, except per share amounts):</w:t>
      </w:r>
    </w:p>
    <w:p>
      <w:pPr>
        <w:spacing w:after="0" w:line="333"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3700" w:type="dxa"/>
            <w:vAlign w:val="bottom"/>
            <w:gridSpan w:val="4"/>
          </w:tcPr>
          <w:p>
            <w:pPr>
              <w:jc w:val="right"/>
              <w:ind w:right="511"/>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5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209"/>
        </w:trPr>
        <w:tc>
          <w:tcPr>
            <w:tcW w:w="7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Weighted-Average Grant</w:t>
            </w:r>
          </w:p>
        </w:tc>
      </w:tr>
      <w:tr>
        <w:trPr>
          <w:trHeight w:val="203"/>
        </w:trPr>
        <w:tc>
          <w:tcPr>
            <w:tcW w:w="7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111"/>
              <w:spacing w:after="0"/>
              <w:rPr>
                <w:sz w:val="20"/>
                <w:szCs w:val="20"/>
                <w:color w:val="auto"/>
              </w:rPr>
            </w:pPr>
            <w:r>
              <w:rPr>
                <w:rFonts w:ascii="Arial" w:cs="Arial" w:eastAsia="Arial" w:hAnsi="Arial"/>
                <w:sz w:val="16"/>
                <w:szCs w:val="16"/>
                <w:b w:val="1"/>
                <w:bCs w:val="1"/>
                <w:color w:val="auto"/>
                <w:w w:val="96"/>
              </w:rPr>
              <w:t>Date Fair Value per</w:t>
            </w:r>
          </w:p>
        </w:tc>
      </w:tr>
      <w:tr>
        <w:trPr>
          <w:trHeight w:val="210"/>
        </w:trPr>
        <w:tc>
          <w:tcPr>
            <w:tcW w:w="7520" w:type="dxa"/>
            <w:vAlign w:val="bottom"/>
          </w:tcPr>
          <w:p>
            <w:pPr>
              <w:spacing w:after="0"/>
              <w:rPr>
                <w:sz w:val="18"/>
                <w:szCs w:val="18"/>
                <w:color w:val="auto"/>
              </w:rPr>
            </w:pPr>
          </w:p>
        </w:tc>
        <w:tc>
          <w:tcPr>
            <w:tcW w:w="190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Shares</w:t>
            </w:r>
          </w:p>
        </w:tc>
        <w:tc>
          <w:tcPr>
            <w:tcW w:w="180" w:type="dxa"/>
            <w:vAlign w:val="bottom"/>
          </w:tcPr>
          <w:p>
            <w:pPr>
              <w:spacing w:after="0"/>
              <w:rPr>
                <w:sz w:val="18"/>
                <w:szCs w:val="18"/>
                <w:color w:val="auto"/>
              </w:rPr>
            </w:pPr>
          </w:p>
        </w:tc>
        <w:tc>
          <w:tcPr>
            <w:tcW w:w="1620" w:type="dxa"/>
            <w:vAlign w:val="bottom"/>
          </w:tcPr>
          <w:p>
            <w:pPr>
              <w:jc w:val="right"/>
              <w:ind w:right="611"/>
              <w:spacing w:after="0"/>
              <w:rPr>
                <w:sz w:val="20"/>
                <w:szCs w:val="20"/>
                <w:color w:val="auto"/>
              </w:rPr>
            </w:pPr>
            <w:r>
              <w:rPr>
                <w:rFonts w:ascii="Arial" w:cs="Arial" w:eastAsia="Arial" w:hAnsi="Arial"/>
                <w:sz w:val="16"/>
                <w:szCs w:val="16"/>
                <w:b w:val="1"/>
                <w:bCs w:val="1"/>
                <w:color w:val="auto"/>
              </w:rPr>
              <w:t>Share</w:t>
            </w:r>
          </w:p>
        </w:tc>
      </w:tr>
      <w:tr>
        <w:trPr>
          <w:trHeight w:val="33"/>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2014</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22.93</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6,303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39.04</w:t>
            </w:r>
          </w:p>
        </w:tc>
      </w:tr>
      <w:tr>
        <w:trPr>
          <w:trHeight w:val="27"/>
        </w:trPr>
        <w:tc>
          <w:tcPr>
            <w:tcW w:w="7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31.78</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22.74</w:t>
            </w:r>
          </w:p>
        </w:tc>
      </w:tr>
      <w:tr>
        <w:trPr>
          <w:trHeight w:val="27"/>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2015</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32.97</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5,551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27.96</w:t>
            </w:r>
          </w:p>
        </w:tc>
      </w:tr>
      <w:tr>
        <w:trPr>
          <w:trHeight w:val="27"/>
        </w:trPr>
        <w:tc>
          <w:tcPr>
            <w:tcW w:w="7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32.03</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30.45</w:t>
            </w:r>
          </w:p>
        </w:tc>
      </w:tr>
      <w:tr>
        <w:trPr>
          <w:trHeight w:val="27"/>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2016</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31.01</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37.60</w:t>
            </w:r>
          </w:p>
        </w:tc>
      </w:tr>
      <w:tr>
        <w:trPr>
          <w:trHeight w:val="27"/>
        </w:trPr>
        <w:tc>
          <w:tcPr>
            <w:tcW w:w="7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34.12</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(3,939)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29.42</w:t>
            </w:r>
          </w:p>
        </w:tc>
      </w:tr>
      <w:tr>
        <w:trPr>
          <w:trHeight w:val="27"/>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2017</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34.79</w:t>
            </w:r>
          </w:p>
        </w:tc>
      </w:tr>
      <w:tr>
        <w:trPr>
          <w:trHeight w:val="20"/>
        </w:trPr>
        <w:tc>
          <w:tcPr>
            <w:tcW w:w="75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of December 31, 2017, total compensation expense related to unvested RSUs granted to employees and non-employees under the 2009 Plan, but not yet recognized, was $249.2 million. This expense is expected to be amortized on a straight-line basis over a weighted-average vesting period of 2.57 years.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minimum statutory employee withholding taxes. Total payment for the employees’ tax obligations to the taxing authorities is reflected as a financing activity within the consolidated statements of cash flows.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Amount withheld for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45,137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38,266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28,871</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In determining the fair value of our employee stock options, we use the Black-Scholes option pricing model, which employs the following assumptions.</w:t>
      </w:r>
    </w:p>
    <w:p>
      <w:pPr>
        <w:spacing w:after="0" w:line="143"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our stock-based awards are expected to be outstanding. We believe that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historical experience for determining the expected term of the stock option award, and therefore, we calculated our expected term based on historical experience instead of using the simplified method.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25"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expected volatility of our common stock is based on our weighted-average implied and historical volatility.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—The fair value of our common stock is the closing sales price of the common stock effective on the date of grant.</w:t>
      </w:r>
    </w:p>
    <w:p>
      <w:pPr>
        <w:spacing w:after="0" w:line="23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—We base the risk-free interest rate on the implied yield available on U.S. Treasury zero-coupon issues with an equivalent</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term.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expected dividend weighted-average assumption is zero.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40" w:type="dxa"/>
            <w:vAlign w:val="bottom"/>
            <w:gridSpan w:val="4"/>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260" w:type="dxa"/>
            <w:vAlign w:val="bottom"/>
          </w:tcPr>
          <w:p>
            <w:pPr>
              <w:spacing w:after="0"/>
              <w:rPr>
                <w:sz w:val="18"/>
                <w:szCs w:val="18"/>
                <w:color w:val="auto"/>
              </w:rPr>
            </w:pPr>
          </w:p>
        </w:tc>
      </w:tr>
      <w:tr>
        <w:trPr>
          <w:trHeight w:val="33"/>
        </w:trPr>
        <w:tc>
          <w:tcPr>
            <w:tcW w:w="65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7500" w:type="dxa"/>
            <w:vAlign w:val="bottom"/>
            <w:gridSpan w:val="2"/>
          </w:tcPr>
          <w:p>
            <w:pPr>
              <w:ind w:left="7100"/>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20"/>
                <w:szCs w:val="20"/>
                <w:color w:val="auto"/>
              </w:rPr>
            </w:pPr>
          </w:p>
        </w:tc>
        <w:tc>
          <w:tcPr>
            <w:tcW w:w="1640" w:type="dxa"/>
            <w:vAlign w:val="bottom"/>
            <w:gridSpan w:val="2"/>
          </w:tcPr>
          <w:p>
            <w:pPr>
              <w:jc w:val="right"/>
              <w:ind w:right="51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72"/>
              <w:spacing w:after="0"/>
              <w:rPr>
                <w:sz w:val="20"/>
                <w:szCs w:val="20"/>
                <w:color w:val="auto"/>
              </w:rPr>
            </w:pPr>
            <w:r>
              <w:rPr>
                <w:rFonts w:ascii="Arial" w:cs="Arial" w:eastAsia="Arial" w:hAnsi="Arial"/>
                <w:sz w:val="16"/>
                <w:szCs w:val="16"/>
                <w:b w:val="1"/>
                <w:bCs w:val="1"/>
                <w:color w:val="auto"/>
              </w:rPr>
              <w:t>2015</w:t>
            </w:r>
          </w:p>
        </w:tc>
      </w:tr>
      <w:tr>
        <w:trPr>
          <w:trHeight w:val="33"/>
        </w:trPr>
        <w:tc>
          <w:tcPr>
            <w:tcW w:w="65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Expected term in years</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w:t>
            </w:r>
          </w:p>
        </w:tc>
        <w:tc>
          <w:tcPr>
            <w:tcW w:w="1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w:t>
            </w:r>
          </w:p>
        </w:tc>
      </w:tr>
      <w:tr>
        <w:trPr>
          <w:trHeight w:val="243"/>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Volatility</w:t>
            </w: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6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5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Risk-free interest rate</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Dividend rate</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thousands, except exercise prices and contractual life):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80"/>
              <w:spacing w:after="0"/>
              <w:rPr>
                <w:sz w:val="20"/>
                <w:szCs w:val="20"/>
                <w:color w:val="auto"/>
              </w:rPr>
            </w:pPr>
            <w:r>
              <w:rPr>
                <w:rFonts w:ascii="Arial" w:cs="Arial" w:eastAsia="Arial" w:hAnsi="Arial"/>
                <w:sz w:val="16"/>
                <w:szCs w:val="16"/>
                <w:b w:val="1"/>
                <w:bCs w:val="1"/>
                <w:color w:val="auto"/>
              </w:rPr>
              <w:t>Options Outstanding</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628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62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 (Years)</w:t>
            </w:r>
          </w:p>
        </w:tc>
        <w:tc>
          <w:tcPr>
            <w:tcW w:w="180" w:type="dxa"/>
            <w:vAlign w:val="bottom"/>
          </w:tcPr>
          <w:p>
            <w:pPr>
              <w:spacing w:after="0"/>
              <w:rPr>
                <w:sz w:val="18"/>
                <w:szCs w:val="18"/>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2014</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10,702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819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(4,403)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2015</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1,468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25.65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(1,981)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2016</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23.79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555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37.34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(2,209)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19.19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2017</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4,324</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vested and expected to vest—December 31, 2017</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4,324</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70,853</w:t>
            </w:r>
          </w:p>
        </w:tc>
      </w:tr>
      <w:tr>
        <w:trPr>
          <w:trHeight w:val="251"/>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exercisable—December 31, 2017</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2,908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25.46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53,569</w:t>
            </w: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aggregate intrinsic value represents the pre-tax difference between the exercise price of stock options and the quoted market price of our common stock on December 31, 2017, for all in-the-money stock options. As of December 31, 2017, total compensation expense related to unvested stock options granted to employees but not yet recognized was $13.5 million. This expense is expected to be amortized on a straight-line basis over a weighted-average period of 2.4 years.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5"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thousands, except per share amounts):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42,666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40,306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113,786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8,102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10,943</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summarizes information about outstanding and exercisable stock options as of December 31, 2017, as follows (in thousands, except exercise prices and contractual life):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Options Outstanding</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40" w:type="dxa"/>
            <w:vAlign w:val="bottom"/>
            <w:gridSpan w:val="4"/>
          </w:tcPr>
          <w:p>
            <w:pPr>
              <w:jc w:val="right"/>
              <w:ind w:right="1074"/>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3"/>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34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Weighted-</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center"/>
              <w:ind w:right="254"/>
              <w:spacing w:after="0"/>
              <w:rPr>
                <w:sz w:val="20"/>
                <w:szCs w:val="20"/>
                <w:color w:val="auto"/>
              </w:rPr>
            </w:pPr>
            <w:r>
              <w:rPr>
                <w:rFonts w:ascii="Arial" w:cs="Arial" w:eastAsia="Arial" w:hAnsi="Arial"/>
                <w:sz w:val="16"/>
                <w:szCs w:val="16"/>
                <w:b w:val="1"/>
                <w:bCs w:val="1"/>
                <w:color w:val="auto"/>
                <w:w w:val="90"/>
              </w:rPr>
              <w:t>Weighted-</w:t>
            </w:r>
          </w:p>
        </w:tc>
      </w:tr>
      <w:tr>
        <w:trPr>
          <w:trHeight w:val="203"/>
        </w:trPr>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34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8"/>
              </w:rPr>
              <w:t>Average</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center"/>
              <w:ind w:right="254"/>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rPr>
              <w:t>Range of Exercise</w:t>
            </w:r>
          </w:p>
        </w:tc>
        <w:tc>
          <w:tcPr>
            <w:tcW w:w="1840" w:type="dxa"/>
            <w:vAlign w:val="bottom"/>
          </w:tcPr>
          <w:p>
            <w:pPr>
              <w:jc w:val="right"/>
              <w:ind w:right="532"/>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340" w:type="dxa"/>
            <w:vAlign w:val="bottom"/>
          </w:tcPr>
          <w:p>
            <w:pPr>
              <w:spacing w:after="0"/>
              <w:rPr>
                <w:sz w:val="17"/>
                <w:szCs w:val="17"/>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Exercise</w:t>
            </w:r>
          </w:p>
        </w:tc>
        <w:tc>
          <w:tcPr>
            <w:tcW w:w="1800" w:type="dxa"/>
            <w:vAlign w:val="bottom"/>
          </w:tcPr>
          <w:p>
            <w:pPr>
              <w:jc w:val="right"/>
              <w:ind w:right="513"/>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center"/>
              <w:ind w:right="254"/>
              <w:spacing w:after="0"/>
              <w:rPr>
                <w:sz w:val="20"/>
                <w:szCs w:val="20"/>
                <w:color w:val="auto"/>
              </w:rPr>
            </w:pPr>
            <w:r>
              <w:rPr>
                <w:rFonts w:ascii="Arial" w:cs="Arial" w:eastAsia="Arial" w:hAnsi="Arial"/>
                <w:sz w:val="16"/>
                <w:szCs w:val="16"/>
                <w:b w:val="1"/>
                <w:bCs w:val="1"/>
                <w:color w:val="auto"/>
                <w:w w:val="88"/>
              </w:rPr>
              <w:t>Exercise</w:t>
            </w:r>
          </w:p>
        </w:tc>
      </w:tr>
      <w:tr>
        <w:trPr>
          <w:trHeight w:val="210"/>
        </w:trPr>
        <w:tc>
          <w:tcPr>
            <w:tcW w:w="1840" w:type="dxa"/>
            <w:vAlign w:val="bottom"/>
            <w:gridSpan w:val="2"/>
          </w:tcPr>
          <w:p>
            <w:pPr>
              <w:ind w:left="40"/>
              <w:spacing w:after="0"/>
              <w:rPr>
                <w:sz w:val="20"/>
                <w:szCs w:val="20"/>
                <w:color w:val="auto"/>
              </w:rPr>
            </w:pPr>
            <w:r>
              <w:rPr>
                <w:rFonts w:ascii="Arial" w:cs="Arial" w:eastAsia="Arial" w:hAnsi="Arial"/>
                <w:sz w:val="16"/>
                <w:szCs w:val="16"/>
                <w:b w:val="1"/>
                <w:bCs w:val="1"/>
                <w:color w:val="auto"/>
              </w:rPr>
              <w:t>Prices</w:t>
            </w:r>
          </w:p>
        </w:tc>
        <w:tc>
          <w:tcPr>
            <w:tcW w:w="1840" w:type="dxa"/>
            <w:vAlign w:val="bottom"/>
          </w:tcPr>
          <w:p>
            <w:pPr>
              <w:jc w:val="right"/>
              <w:ind w:right="392"/>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Life (Years)</w:t>
            </w:r>
          </w:p>
        </w:tc>
        <w:tc>
          <w:tcPr>
            <w:tcW w:w="340" w:type="dxa"/>
            <w:vAlign w:val="bottom"/>
          </w:tcPr>
          <w:p>
            <w:pPr>
              <w:spacing w:after="0"/>
              <w:rPr>
                <w:sz w:val="18"/>
                <w:szCs w:val="18"/>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1"/>
              </w:rPr>
              <w:t>Price</w:t>
            </w:r>
          </w:p>
        </w:tc>
        <w:tc>
          <w:tcPr>
            <w:tcW w:w="1800" w:type="dxa"/>
            <w:vAlign w:val="bottom"/>
          </w:tcPr>
          <w:p>
            <w:pPr>
              <w:jc w:val="right"/>
              <w:ind w:right="413"/>
              <w:spacing w:after="0"/>
              <w:rPr>
                <w:sz w:val="20"/>
                <w:szCs w:val="20"/>
                <w:color w:val="auto"/>
              </w:rPr>
            </w:pPr>
            <w:r>
              <w:rPr>
                <w:rFonts w:ascii="Arial" w:cs="Arial" w:eastAsia="Arial" w:hAnsi="Arial"/>
                <w:sz w:val="16"/>
                <w:szCs w:val="16"/>
                <w:b w:val="1"/>
                <w:bCs w:val="1"/>
                <w:color w:val="auto"/>
              </w:rPr>
              <w:t>Exercisable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right="274"/>
              <w:spacing w:after="0"/>
              <w:rPr>
                <w:sz w:val="20"/>
                <w:szCs w:val="20"/>
                <w:color w:val="auto"/>
              </w:rPr>
            </w:pPr>
            <w:r>
              <w:rPr>
                <w:rFonts w:ascii="Arial" w:cs="Arial" w:eastAsia="Arial" w:hAnsi="Arial"/>
                <w:sz w:val="16"/>
                <w:szCs w:val="16"/>
                <w:b w:val="1"/>
                <w:bCs w:val="1"/>
                <w:color w:val="auto"/>
                <w:w w:val="91"/>
              </w:rPr>
              <w:t>Price</w:t>
            </w:r>
          </w:p>
        </w:tc>
      </w:tr>
      <w:tr>
        <w:trPr>
          <w:trHeight w:val="33"/>
        </w:trPr>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$19.94–19.94</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19.94</w:t>
            </w:r>
          </w:p>
        </w:tc>
      </w:tr>
      <w:tr>
        <w:trPr>
          <w:trHeight w:val="243"/>
        </w:trPr>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20.13–24.92</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2,164</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22.43</w:t>
            </w:r>
          </w:p>
        </w:tc>
        <w:tc>
          <w:tcPr>
            <w:tcW w:w="10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21.94</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26.49–26.70</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912</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26.70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26.70</w:t>
            </w:r>
          </w:p>
        </w:tc>
      </w:tr>
      <w:tr>
        <w:trPr>
          <w:trHeight w:val="243"/>
        </w:trPr>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31.39–33.31</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461</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32.79</w:t>
            </w: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36.70–48.83</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758</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40.13</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46.56</w:t>
            </w: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4,324</w:t>
            </w: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determining the fair value of the ESPP, we use the Black-Scholes option pricing model that employs the following weighted-average assumptions:</w:t>
      </w:r>
    </w:p>
    <w:p>
      <w:pPr>
        <w:spacing w:after="0" w:line="200" w:lineRule="exact"/>
        <w:rPr>
          <w:sz w:val="20"/>
          <w:szCs w:val="20"/>
          <w:color w:val="auto"/>
        </w:rPr>
      </w:pPr>
    </w:p>
    <w:p>
      <w:pPr>
        <w:spacing w:after="0" w:line="206"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34290</wp:posOffset>
            </wp:positionV>
            <wp:extent cx="32670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340" w:type="dxa"/>
            <w:vAlign w:val="bottom"/>
            <w:gridSpan w:val="2"/>
          </w:tcPr>
          <w:p>
            <w:pPr>
              <w:ind w:left="6880"/>
              <w:spacing w:after="0"/>
              <w:rPr>
                <w:sz w:val="20"/>
                <w:szCs w:val="20"/>
                <w:color w:val="auto"/>
              </w:rPr>
            </w:pPr>
            <w:r>
              <w:rPr>
                <w:rFonts w:ascii="Arial" w:cs="Arial" w:eastAsia="Arial" w:hAnsi="Arial"/>
                <w:sz w:val="18"/>
                <w:szCs w:val="18"/>
                <w:b w:val="1"/>
                <w:bCs w:val="1"/>
                <w:color w:val="auto"/>
              </w:rPr>
              <w:t>2017</w:t>
            </w:r>
          </w:p>
        </w:tc>
        <w:tc>
          <w:tcPr>
            <w:tcW w:w="17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r>
      <w:tr>
        <w:trPr>
          <w:trHeight w:val="27"/>
        </w:trPr>
        <w:tc>
          <w:tcPr>
            <w:tcW w:w="6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43"/>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6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Dividend rate</w:t>
            </w:r>
          </w:p>
        </w:tc>
        <w:tc>
          <w:tcPr>
            <w:tcW w:w="1760" w:type="dxa"/>
            <w:vAlign w:val="bottom"/>
            <w:gridSpan w:val="3"/>
          </w:tcPr>
          <w:p>
            <w:pPr>
              <w:jc w:val="right"/>
              <w:ind w:right="12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the ESPP is provided below (in thousands, except per share amounts):</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8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spacing w:after="0"/>
              <w:rPr>
                <w:sz w:val="20"/>
                <w:szCs w:val="20"/>
                <w:color w:val="auto"/>
              </w:rPr>
            </w:pPr>
          </w:p>
        </w:tc>
        <w:tc>
          <w:tcPr>
            <w:tcW w:w="2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r>
      <w:tr>
        <w:trPr>
          <w:trHeight w:val="27"/>
        </w:trPr>
        <w:tc>
          <w:tcPr>
            <w:tcW w:w="448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share granted</w:t>
            </w:r>
          </w:p>
        </w:tc>
        <w:tc>
          <w:tcPr>
            <w:tcW w:w="294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Shares issued under the ESPP</w:t>
            </w:r>
          </w:p>
        </w:tc>
        <w:tc>
          <w:tcPr>
            <w:tcW w:w="1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764</w:t>
            </w:r>
          </w:p>
        </w:tc>
      </w:tr>
      <w:tr>
        <w:trPr>
          <w:trHeight w:val="27"/>
        </w:trPr>
        <w:tc>
          <w:tcPr>
            <w:tcW w:w="4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price per share issued</w:t>
            </w:r>
          </w:p>
        </w:tc>
        <w:tc>
          <w:tcPr>
            <w:tcW w:w="294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29.52</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24.30</w:t>
            </w:r>
          </w:p>
        </w:tc>
      </w:tr>
      <w:tr>
        <w:trPr>
          <w:trHeight w:val="675"/>
        </w:trPr>
        <w:tc>
          <w:tcPr>
            <w:tcW w:w="4480" w:type="dxa"/>
            <w:vAlign w:val="bottom"/>
          </w:tcPr>
          <w:p>
            <w:pPr>
              <w:spacing w:after="0"/>
              <w:rPr>
                <w:sz w:val="24"/>
                <w:szCs w:val="24"/>
                <w:color w:val="auto"/>
              </w:rPr>
            </w:pPr>
          </w:p>
        </w:tc>
        <w:tc>
          <w:tcPr>
            <w:tcW w:w="1900" w:type="dxa"/>
            <w:vAlign w:val="bottom"/>
          </w:tcPr>
          <w:p>
            <w:pPr>
              <w:jc w:val="right"/>
              <w:ind w:right="510"/>
              <w:spacing w:after="0"/>
              <w:rPr>
                <w:sz w:val="20"/>
                <w:szCs w:val="20"/>
                <w:color w:val="auto"/>
              </w:rPr>
            </w:pPr>
            <w:r>
              <w:rPr>
                <w:rFonts w:ascii="Arial" w:cs="Arial" w:eastAsia="Arial" w:hAnsi="Arial"/>
                <w:sz w:val="18"/>
                <w:szCs w:val="18"/>
                <w:color w:val="auto"/>
              </w:rPr>
              <w:t>94</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Shares Reserved for Future Issuances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common stock reserved for future issuance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211"/>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1"/>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stock options and RSUs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12,840</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Reserved for future equity award grants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46,939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Reserved for future ESPP issuances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2,931</w:t>
            </w:r>
          </w:p>
        </w:tc>
        <w:tc>
          <w:tcPr>
            <w:tcW w:w="0" w:type="dxa"/>
            <w:vAlign w:val="bottom"/>
          </w:tcPr>
          <w:p>
            <w:pPr>
              <w:spacing w:after="0"/>
              <w:rPr>
                <w:sz w:val="1"/>
                <w:szCs w:val="1"/>
                <w:color w:val="auto"/>
              </w:rPr>
            </w:pP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color w:val="auto"/>
              </w:rPr>
              <w:t>Total common stock reserved for future issuances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62,710</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Stock-based Compensation Expense</w:t>
            </w: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ind w:left="660"/>
              <w:spacing w:after="0"/>
              <w:rPr>
                <w:sz w:val="20"/>
                <w:szCs w:val="20"/>
                <w:color w:val="auto"/>
              </w:rPr>
            </w:pPr>
            <w:r>
              <w:rPr>
                <w:rFonts w:ascii="Arial" w:cs="Arial" w:eastAsia="Arial" w:hAnsi="Arial"/>
                <w:sz w:val="18"/>
                <w:szCs w:val="18"/>
                <w:color w:val="auto"/>
                <w:w w:val="96"/>
              </w:rPr>
              <w:t>Stock-based compensation expense is included in costs and expenses as follows (in thousands):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6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80" w:type="dxa"/>
            <w:vAlign w:val="bottom"/>
            <w:gridSpan w:val="5"/>
          </w:tcPr>
          <w:p>
            <w:pPr>
              <w:jc w:val="right"/>
              <w:spacing w:after="0"/>
              <w:rPr>
                <w:sz w:val="20"/>
                <w:szCs w:val="20"/>
                <w:color w:val="auto"/>
              </w:rPr>
            </w:pPr>
            <w:r>
              <w:rPr>
                <w:rFonts w:ascii="Arial" w:cs="Arial" w:eastAsia="Arial" w:hAnsi="Arial"/>
                <w:sz w:val="16"/>
                <w:szCs w:val="16"/>
                <w:b w:val="1"/>
                <w:bCs w:val="1"/>
                <w:color w:val="auto"/>
                <w:w w:val="90"/>
              </w:rPr>
              <w:t>Year Ended December 31,</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5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 of product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43"/>
        </w:trPr>
        <w:tc>
          <w:tcPr>
            <w:tcW w:w="6640" w:type="dxa"/>
            <w:vAlign w:val="bottom"/>
          </w:tcPr>
          <w:p>
            <w:pPr>
              <w:ind w:left="500"/>
              <w:spacing w:after="0"/>
              <w:rPr>
                <w:sz w:val="20"/>
                <w:szCs w:val="20"/>
                <w:color w:val="auto"/>
              </w:rPr>
            </w:pPr>
            <w:r>
              <w:rPr>
                <w:rFonts w:ascii="Arial" w:cs="Arial" w:eastAsia="Arial" w:hAnsi="Arial"/>
                <w:sz w:val="18"/>
                <w:szCs w:val="18"/>
                <w:color w:val="auto"/>
              </w:rPr>
              <w:t>Cost of service revenue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9,503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7,121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24,555</w:t>
            </w:r>
          </w:p>
        </w:tc>
        <w:tc>
          <w:tcPr>
            <w:tcW w:w="0" w:type="dxa"/>
            <w:vAlign w:val="bottom"/>
          </w:tcPr>
          <w:p>
            <w:pPr>
              <w:spacing w:after="0"/>
              <w:rPr>
                <w:sz w:val="1"/>
                <w:szCs w:val="1"/>
                <w:color w:val="auto"/>
              </w:rPr>
            </w:pPr>
          </w:p>
        </w:tc>
      </w:tr>
      <w:tr>
        <w:trPr>
          <w:trHeight w:val="243"/>
        </w:trPr>
        <w:tc>
          <w:tcPr>
            <w:tcW w:w="664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77,994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49,436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13,003</w:t>
            </w:r>
          </w:p>
        </w:tc>
        <w:tc>
          <w:tcPr>
            <w:tcW w:w="0" w:type="dxa"/>
            <w:vAlign w:val="bottom"/>
          </w:tcPr>
          <w:p>
            <w:pPr>
              <w:spacing w:after="0"/>
              <w:rPr>
                <w:sz w:val="1"/>
                <w:szCs w:val="1"/>
                <w:color w:val="auto"/>
              </w:rPr>
            </w:pPr>
          </w:p>
        </w:tc>
      </w:tr>
      <w:tr>
        <w:trPr>
          <w:trHeight w:val="257"/>
        </w:trPr>
        <w:tc>
          <w:tcPr>
            <w:tcW w:w="664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137,183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122,423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95,088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by award type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60" w:type="dxa"/>
            <w:vAlign w:val="bottom"/>
            <w:gridSpan w:val="5"/>
          </w:tcPr>
          <w:p>
            <w:pPr>
              <w:jc w:val="right"/>
              <w:ind w:right="170"/>
              <w:spacing w:after="0"/>
              <w:rPr>
                <w:sz w:val="20"/>
                <w:szCs w:val="20"/>
                <w:color w:val="auto"/>
              </w:rPr>
            </w:pPr>
            <w:r>
              <w:rPr>
                <w:rFonts w:ascii="Arial" w:cs="Arial" w:eastAsia="Arial" w:hAnsi="Arial"/>
                <w:sz w:val="16"/>
                <w:szCs w:val="16"/>
                <w:b w:val="1"/>
                <w:bCs w:val="1"/>
                <w:color w:val="auto"/>
                <w:w w:val="90"/>
              </w:rPr>
              <w:t>Year Ended December 31,</w:t>
            </w:r>
          </w:p>
        </w:tc>
        <w:tc>
          <w:tcPr>
            <w:tcW w:w="122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2015</w:t>
            </w:r>
          </w:p>
        </w:tc>
      </w:tr>
      <w:tr>
        <w:trPr>
          <w:trHeight w:val="33"/>
        </w:trPr>
        <w:tc>
          <w:tcPr>
            <w:tcW w:w="6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RSUs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119,764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107,124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77,262</w:t>
            </w:r>
          </w:p>
        </w:tc>
      </w:tr>
      <w:tr>
        <w:trPr>
          <w:trHeight w:val="243"/>
        </w:trPr>
        <w:tc>
          <w:tcPr>
            <w:tcW w:w="6640" w:type="dxa"/>
            <w:vAlign w:val="bottom"/>
          </w:tcPr>
          <w:p>
            <w:pPr>
              <w:ind w:left="50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7,341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11,425</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ESPP</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6,401</w:t>
            </w:r>
          </w:p>
        </w:tc>
      </w:tr>
      <w:tr>
        <w:trPr>
          <w:trHeight w:val="257"/>
        </w:trPr>
        <w:tc>
          <w:tcPr>
            <w:tcW w:w="664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137,183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122,423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95,088</w:t>
            </w: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consolidated statements of operations is as follows (in thousands):</w:t>
      </w:r>
    </w:p>
    <w:p>
      <w:pPr>
        <w:spacing w:after="0" w:line="1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34290</wp:posOffset>
            </wp:positionV>
            <wp:extent cx="2967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associated with stock-based compensation</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30,943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29,190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25,189</w:t>
            </w:r>
          </w:p>
        </w:tc>
      </w:tr>
      <w:tr>
        <w:trPr>
          <w:trHeight w:val="27"/>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January 2016, our board of directors approved the Share Repurchase Program (the “Repurchase Program”), which authorized the repurchase of up to $200.0 million of our outstanding common stock through December 31, 2017. In 2016 and 2017, our board of directors approved the increases in the aggregate authorized repurchase amount under the Repurchase Program by $100.0 million and $700.0 million, respectively, to a total of $1.0 billion. Under the Repurchase Program,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 In 2017, we repurchased 11.2 million shares of common stock under the Repurchase Program in open market transactions for an aggregate purchase price of $446.3 million. As of December 31, 2017, $442.8 million remained available for future share repurchases under the Repurchase Program.</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125" w:right="239" w:bottom="1440" w:gutter="0" w:footer="0" w:header="0"/>
          <w:type w:val="continuous"/>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before income taxes consisted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7"/>
          </w:tcPr>
          <w:p>
            <w:pPr>
              <w:jc w:val="center"/>
              <w:ind w:left="771"/>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center"/>
              <w:ind w:right="271"/>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1"/>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center"/>
              <w:ind w:right="291"/>
              <w:spacing w:after="0"/>
              <w:rPr>
                <w:sz w:val="20"/>
                <w:szCs w:val="20"/>
                <w:color w:val="auto"/>
              </w:rPr>
            </w:pPr>
            <w:r>
              <w:rPr>
                <w:rFonts w:ascii="Arial" w:cs="Arial" w:eastAsia="Arial" w:hAnsi="Arial"/>
                <w:sz w:val="18"/>
                <w:szCs w:val="18"/>
                <w:b w:val="1"/>
                <w:bCs w:val="1"/>
                <w:color w:val="auto"/>
                <w:w w:val="89"/>
              </w:rPr>
              <w:t>2015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(40,709)</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(37,437)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164,703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92,855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54,442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before income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123,994</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43,148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17,005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w w:val="99"/>
              </w:rPr>
              <w:t>The provision for income taxes consisted of the following (in thousands):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4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2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center"/>
              <w:ind w:right="271"/>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1"/>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center"/>
              <w:ind w:right="291"/>
              <w:spacing w:after="0"/>
              <w:rPr>
                <w:sz w:val="20"/>
                <w:szCs w:val="20"/>
                <w:color w:val="auto"/>
              </w:rPr>
            </w:pPr>
            <w:r>
              <w:rPr>
                <w:rFonts w:ascii="Arial" w:cs="Arial" w:eastAsia="Arial" w:hAnsi="Arial"/>
                <w:sz w:val="16"/>
                <w:szCs w:val="16"/>
                <w:b w:val="1"/>
                <w:bCs w:val="1"/>
                <w:color w:val="auto"/>
                <w:w w:val="89"/>
              </w:rPr>
              <w:t>2015</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34,739</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7,904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9,864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State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27,688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17,829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13,683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current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63,243</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26,536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23,411</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Deferred:</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39,103</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(9,383)</w:t>
            </w:r>
          </w:p>
        </w:tc>
        <w:tc>
          <w:tcPr>
            <w:tcW w:w="0" w:type="dxa"/>
            <w:vAlign w:val="bottom"/>
          </w:tcPr>
          <w:p>
            <w:pPr>
              <w:spacing w:after="0"/>
              <w:rPr>
                <w:sz w:val="1"/>
                <w:szCs w:val="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7"/>
        </w:trPr>
        <w:tc>
          <w:tcPr>
            <w:tcW w:w="6400" w:type="dxa"/>
            <w:vAlign w:val="bottom"/>
          </w:tcPr>
          <w:p>
            <w:pPr>
              <w:ind w:left="920"/>
              <w:spacing w:after="0"/>
              <w:rPr>
                <w:sz w:val="20"/>
                <w:szCs w:val="20"/>
                <w:color w:val="auto"/>
              </w:rPr>
            </w:pPr>
            <w:r>
              <w:rPr>
                <w:rFonts w:ascii="Arial" w:cs="Arial" w:eastAsia="Arial" w:hAnsi="Arial"/>
                <w:sz w:val="18"/>
                <w:szCs w:val="18"/>
                <w:color w:val="auto"/>
              </w:rPr>
              <w:t>Total deferred</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29,352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(15,575)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(14,393)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92,595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10,961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1420" w:type="dxa"/>
            <w:vAlign w:val="bottom"/>
            <w:gridSpan w:val="10"/>
          </w:tcPr>
          <w:p>
            <w:pPr>
              <w:ind w:left="660"/>
              <w:spacing w:after="0"/>
              <w:rPr>
                <w:sz w:val="20"/>
                <w:szCs w:val="20"/>
                <w:color w:val="auto"/>
              </w:rPr>
            </w:pPr>
            <w:r>
              <w:rPr>
                <w:rFonts w:ascii="Arial" w:cs="Arial" w:eastAsia="Arial" w:hAnsi="Arial"/>
                <w:sz w:val="18"/>
                <w:szCs w:val="18"/>
                <w:color w:val="auto"/>
                <w:w w:val="96"/>
              </w:rPr>
              <w:t>The provision for income taxes differs from the amount computed by applying the statutory federal income tax rate as follows (in thousands):</w:t>
            </w:r>
          </w:p>
        </w:tc>
        <w:tc>
          <w:tcPr>
            <w:tcW w:w="0" w:type="dxa"/>
            <w:vAlign w:val="bottom"/>
          </w:tcPr>
          <w:p>
            <w:pPr>
              <w:spacing w:after="0"/>
              <w:rPr>
                <w:sz w:val="1"/>
                <w:szCs w:val="1"/>
                <w:color w:val="auto"/>
              </w:rPr>
            </w:pPr>
          </w:p>
        </w:tc>
      </w:tr>
      <w:tr>
        <w:trPr>
          <w:trHeight w:val="372"/>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2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center"/>
              <w:ind w:right="271"/>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center"/>
              <w:ind w:right="291"/>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center"/>
              <w:ind w:right="291"/>
              <w:spacing w:after="0"/>
              <w:rPr>
                <w:sz w:val="20"/>
                <w:szCs w:val="20"/>
                <w:color w:val="auto"/>
              </w:rPr>
            </w:pPr>
            <w:r>
              <w:rPr>
                <w:rFonts w:ascii="Arial" w:cs="Arial" w:eastAsia="Arial" w:hAnsi="Arial"/>
                <w:sz w:val="16"/>
                <w:szCs w:val="16"/>
                <w:b w:val="1"/>
                <w:bCs w:val="1"/>
                <w:color w:val="auto"/>
                <w:w w:val="89"/>
              </w:rPr>
              <w:t>2015</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federal statutory tax rate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43,398</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5,951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 income taxed at different rates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(13,681)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(11,225)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withholding taxes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9,502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10,010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tax credit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State taxes—net of federal benefit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credit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Dividend distribution</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27,295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9,647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the 2017 Tax Act: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500"/>
              <w:spacing w:after="0"/>
              <w:rPr>
                <w:sz w:val="20"/>
                <w:szCs w:val="20"/>
                <w:color w:val="auto"/>
              </w:rPr>
            </w:pPr>
            <w:r>
              <w:rPr>
                <w:rFonts w:ascii="Arial" w:cs="Arial" w:eastAsia="Arial" w:hAnsi="Arial"/>
                <w:sz w:val="18"/>
                <w:szCs w:val="18"/>
                <w:color w:val="auto"/>
                <w:w w:val="97"/>
              </w:rPr>
              <w:t>Deferred tax asset remeasurement due to reduction in the federal corporate</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500"/>
              <w:spacing w:after="0"/>
              <w:rPr>
                <w:sz w:val="20"/>
                <w:szCs w:val="20"/>
                <w:color w:val="auto"/>
              </w:rPr>
            </w:pPr>
            <w:r>
              <w:rPr>
                <w:rFonts w:ascii="Arial" w:cs="Arial" w:eastAsia="Arial" w:hAnsi="Arial"/>
                <w:sz w:val="18"/>
                <w:szCs w:val="18"/>
                <w:color w:val="auto"/>
              </w:rPr>
              <w:t>income tax rate</w:t>
            </w:r>
          </w:p>
        </w:tc>
        <w:tc>
          <w:tcPr>
            <w:tcW w:w="38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47,878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One-time transition tax</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provision for income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92,595</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10,961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5" w:right="2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Significant permanent differences arise from the portion of stock-based compensation expense that is not expected to generate a tax deduction, such as stock-based compensation expense on stock option grants to certain foreign employees, offset by the actual tax benefits in the current periods from disqualifying dispositions of shares held by our U.S. employees. For stock options exercised by our U.S. employees, we receive an income tax benefit calculated as the difference between the fair market value of the stock issued at the time of the exercise and the option price, tax effected. In 2017, the excess tax benefits of $13.5 million were recognized in income tax provision due to the adoption of ASU 2016-09. In 2016, the excess tax benefits of $10.8 million were recognized in income tax provision. For 2015, income tax payable was reduced by excess tax benefits from the exercise or vesting of stock-based awards of $1.3 million.</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December 2017, the U.S. federal government enacted the Tax Cuts and Jobs Act (the “2017 Tax Act”). The 2017 Tax Act reduced the U.S. federal corporate income tax rate from 35% to 21% effective January 1, 2018 and created a territorial tax system with a one-time mandatory tax on foreign earnings of U.S. subsidiaries not previously subject to U.S. income tax. Under GAAP, changes in tax rates and tax law are accounted for in the period of enactment and deferred tax assets and liabilities are measured at the enacted tax rate.</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Securities and Exchange Commission (“SEC”) staff issued Staff Accounting Bulletin No. 118 (“SAB 118”), which provides guidance on accounting for the tax effects of the 2017 Tax Act. SAB 118 provides a measurement period that should not extend beyond one year from the 2017 Tax Act enactment date for companies to complete the accounting under ASC 740. In accordance with SAB 118, a company must reflect the income tax effects of those aspects of the 2017 Tax Act for which the accounting under ASC 740 is complete. To the extent that a company’s accounting for certain income tax effects of the 2017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2017 Tax Act.</w:t>
      </w:r>
    </w:p>
    <w:p>
      <w:pPr>
        <w:spacing w:after="0" w:line="17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Consistent with the guidance issued by the SEC, which provides for a measurement period of one year from the enactment date to finalize the accounting for effects of the 2017 Tax Act, we provisionally recorded a $47.9 million expense on the remeasurement of deferred tax assets due to the reduction of federal corporate income tax rate, and a $15.2 million expense for the one-time transition tax on deemed repatriation. We are able to make a reasonable estimate of the transition tax. However, we are continuing to gather additional information to more precisely compute the amount of the transition tax.</w:t>
      </w:r>
    </w:p>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2017 Tax Act creates a new requirement that global intangible low-taxed income (“GILTI”) earned by controlled foreign corporations (“CFCs”) must be included currently in the gross income of the CFCs’ U.S. shareholder. Because of the complexity of the new GILTI tax rules, we are continuing to evaluate this provision of the 2017 Tax Act and the application of ASC 740. Under GAAP, we are allowed to make an accounting policy choice of either (1) treating taxes due on future U.S. inclusions in taxable income related to GILTI as a current-period expense when incurred (the “period cost method”) or (2) factoring such amounts into a company’s measurement of its deferred taxes (the “deferred method”). Our selection of an accounting policy with respect to the new GILTI tax rules will depend, in part, on analyzing our global income to determine whether we expect to have future U.S. inclusions in taxable income related to GILTI and, if so, what the impact is expected to be. We have not yet made any adjustments related to potential GILTI tax in our financial statements and have not made a policy decision regarding whether to record deferred taxes on GILTI.</w:t>
      </w:r>
    </w:p>
    <w:p>
      <w:pPr>
        <w:spacing w:after="0" w:line="179" w:lineRule="exact"/>
        <w:rPr>
          <w:sz w:val="20"/>
          <w:szCs w:val="20"/>
          <w:color w:val="auto"/>
        </w:rPr>
      </w:pPr>
    </w:p>
    <w:p>
      <w:pPr>
        <w:ind w:right="400" w:firstLine="648"/>
        <w:spacing w:after="0" w:line="255" w:lineRule="auto"/>
        <w:rPr>
          <w:sz w:val="20"/>
          <w:szCs w:val="20"/>
          <w:color w:val="auto"/>
        </w:rPr>
      </w:pPr>
      <w:r>
        <w:rPr>
          <w:rFonts w:ascii="Arial" w:cs="Arial" w:eastAsia="Arial" w:hAnsi="Arial"/>
          <w:sz w:val="18"/>
          <w:szCs w:val="18"/>
          <w:color w:val="auto"/>
        </w:rPr>
        <w:t>During 2016, we repatriated $55.0 million of foreign earnings and profits. A decision was made to bring this cash back to the United States as it carried a foreign tax credit of $22.3 million. Our 2015 income tax provision reflected a $1.2 million tax benefit due to a recent U.S. Tax Court opinion involving an independent third party filed on July 27, 2015. Based on the findings of the U.S. Tax Court, we recognized the tax benefit for excluding the share-based compensation from intercompany charges in prior periods. During 2015, we completed a corporate reorganization to convert our Canadian company to a branch of our U.S. company resulting on a $27.6 million deemed dividend distribution. The tax impact of the Canadian deemed dividend distribution of $9.6 million was partially offset by an additional tax benefit of $6.4 million due to the deferred tax benefit of the Canadian stock based compensation expense.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as of the years ended are presented below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2"/>
              <w:spacing w:after="0"/>
              <w:rPr>
                <w:sz w:val="20"/>
                <w:szCs w:val="20"/>
                <w:color w:val="auto"/>
              </w:rPr>
            </w:pPr>
            <w:r>
              <w:rPr>
                <w:rFonts w:ascii="Arial" w:cs="Arial" w:eastAsia="Arial" w:hAnsi="Arial"/>
                <w:sz w:val="16"/>
                <w:szCs w:val="16"/>
                <w:b w:val="1"/>
                <w:bCs w:val="1"/>
                <w:color w:val="auto"/>
              </w:rPr>
              <w:t>2016</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General business credit carryforward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49,854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62,705</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41,877</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Nondeductible reserves and accruals</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22,966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27,029</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operating loss carryforward</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24,348</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12,265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20,943</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5,776</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67</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146,932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182,745</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 assessing the realizability of deferred tax assets, we considered whether it is more likely than not that some portion or all of our deferred tax assets will be realized. This realization is dependent upon the generation of future taxable income during the periods in which those temporary differences become deductible. We concluded that it is more likely than not that we would be able to realize the benefits of our deferred tax assets in the future.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2017, we had $42.4 million in federal net operating loss carryforwards to offset future income, which is limited by Section 382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the Internal Revenue Code (“Section 382”) due to the acquisition of Meru and AccelOps. With the acquisition of Meru, we had $22.6 million in federal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carryforwards which is limited by Section 382 available from year 2020. With the acquisition of AccelOps, we had $19.9 million in federal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carryforwards which is limited by Section 382 available from year 2016. We had $25.6 million federal tax credits to offset future federal taxes.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we had $36.7 million in California net operating loss carryforwards. With the acquisition of Meru and AccelOps, we also had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$22.1 million and $14.6 million in California net operating loss carryforwards, respectively, which is subject to Section 382 limitation. We had state tax credit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carryforwards of $21.7 million available to offset our future state taxes. The state credits carry forward indefinitely.</w:t>
      </w:r>
    </w:p>
    <w:p>
      <w:pPr>
        <w:spacing w:after="0" w:line="211"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have analyzed our global working capital and cash requirements and the potential tax liabilities attributable to a repatriation, and have determined that we will be repatriating certain unremitted foreign earnings which was previously deemed indefinitely reinvested. For those investments from which we were able to make a reasonable estimate of the tax effects of such repatriation, we have recorded a provisional estimate for withholding and state taxes. For those investments from which we were not able to make a reasonable estimate, we have not recorded any deferred taxes. We will record the tax effects of any change in our prior assertion with respect to these investments, and disclose any unrecognized deferred tax liability for temporary differences related to our foreign investments, if practicable, in the period that we are first able to make a reasonable estimate, no later than December 2018.</w:t>
      </w:r>
    </w:p>
    <w:p>
      <w:pPr>
        <w:spacing w:after="0" w:line="165"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We operate under a tax incentive agreement in Singapore, which is effective through December 31, 2021, and may be extended if certain additional requirements are satisfied. The tax incentive agreement is conditional upon our meeting certain employment and investment thresholds.</w:t>
      </w:r>
    </w:p>
    <w:p>
      <w:pPr>
        <w:spacing w:after="0" w:line="14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As of December 31, 2017, we had $72.5 million of unrecognized tax benefits, of which, if recognized, $70.8 million would favorably affect our effective tax rate. Our policy is to include accrued interest and penalties related to uncertain tax benefits in income tax expense. As of December 31, 2017, 2016 and 2015, accrued interest and penalties were $13.5 million, $9.5 million and $5.5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changes in the balance of unrecognized tax benefits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100" w:type="dxa"/>
            <w:vAlign w:val="bottom"/>
            <w:gridSpan w:val="6"/>
          </w:tcPr>
          <w:p>
            <w:pPr>
              <w:jc w:val="right"/>
              <w:ind w:right="210"/>
              <w:spacing w:after="0"/>
              <w:rPr>
                <w:sz w:val="20"/>
                <w:szCs w:val="20"/>
                <w:color w:val="auto"/>
              </w:rPr>
            </w:pPr>
            <w:r>
              <w:rPr>
                <w:rFonts w:ascii="Arial" w:cs="Arial" w:eastAsia="Arial" w:hAnsi="Arial"/>
                <w:sz w:val="16"/>
                <w:szCs w:val="16"/>
                <w:b w:val="1"/>
                <w:bCs w:val="1"/>
                <w:color w:val="auto"/>
                <w:w w:val="90"/>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65,534</w:t>
            </w:r>
          </w:p>
        </w:tc>
        <w:tc>
          <w:tcPr>
            <w:tcW w:w="5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44,151</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Gross increases for tax positions related to the current year</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17,478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decreases for tax positions related to the current year</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Gross increases for tax positions related to the prior year</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7,049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8,319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Gross decreases for tax positions related to prior year</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(9,207)</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Gross decreases for tax positions related to expiration of statute of limitations</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Unrecognized tax benefits, end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72,544</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65,534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59,672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As of December 31, 2017, 2016 and 2015, $90.2 million, $68.6 million and $60.6 million, respectively, of the amounts reflected above were recorded as Income tax liabilities—non-current in our consolidated balance sheet.</w:t>
      </w:r>
    </w:p>
    <w:p>
      <w:pPr>
        <w:spacing w:after="0" w:line="143"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It is reasonably possible that our gross unrecognized tax benefits will decrease by up to $12.0 million in the next 12 months, primarily due to the lapse of the statute of limitations and audit settlement. These adjustments, if recognized, would positively impact our effective tax rate, and would be recognized as additional tax benefits.</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file income tax returns in the U.S. federal jurisdiction and in various U.S. state and foreign jurisdictions. Generally, we are no longer subject to U.S. state and non-U.S. income tax examinations by tax authorities for tax years prior to 2009. We are no longer subject to examination by U.S federal income tax authorities for tax years prior to 2012. We have closed the Internal Revenue Service audit for tax years 2012, 2013 and 2014 at the field level. This audit included a refund claim for $6.5 million, which was approved in the audit process. This refund claim was sent to the Joint Committee in Washington for the final review on January 18, 2018, and was approved on January 31, 2018 and will result in a benefit to the tax provision in 2018 by approximately $3.0 million. In addition, the tax authorities in France are examining the intercompany relationship between Fortinet, Inc., Fortinet France and Fortinet Singapore. In May 2017, we received a notice from the French tax authorities that an audit was officially opened for tax years from 2007 to 2015.</w:t>
      </w:r>
    </w:p>
    <w:p>
      <w:pPr>
        <w:spacing w:after="0" w:line="163"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229"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Our tax-deferred savings plan under our 401(k) Plan, permits participating employees to defer a portion of their pre-tax earnings. In Canada, we have a Group Registered Retirement Savings Plan Program (the “RRSP”), which permits participants to make tax deductible contributions. Our board of directors approved 50% matching contributions on employee contributions up to 4% of each employee’s eligible earnings. Our matching contributions to our 401(k) Plan and the RRSP for 2017, 2016 and 2015 were $4.7 million, $4.4 million and $3.5 million, respectively.</w:t>
      </w:r>
    </w:p>
    <w:p>
      <w:pPr>
        <w:spacing w:after="0" w:line="167"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the customer. The following tables set forth revenue and property and equipment— net by geographic region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6"/>
        </w:trPr>
        <w:tc>
          <w:tcPr>
            <w:tcW w:w="6400" w:type="dxa"/>
            <w:vAlign w:val="bottom"/>
            <w:gridSpan w:val="3"/>
          </w:tcPr>
          <w:p>
            <w:pPr>
              <w:ind w:left="40"/>
              <w:spacing w:after="0"/>
              <w:rPr>
                <w:sz w:val="20"/>
                <w:szCs w:val="20"/>
                <w:color w:val="auto"/>
              </w:rPr>
            </w:pPr>
            <w:r>
              <w:rPr>
                <w:rFonts w:ascii="Arial" w:cs="Arial" w:eastAsia="Arial" w:hAnsi="Arial"/>
                <w:sz w:val="16"/>
                <w:szCs w:val="16"/>
                <w:b w:val="1"/>
                <w:bCs w:val="1"/>
                <w:color w:val="auto"/>
              </w:rPr>
              <w:t>Revenue</w:t>
            </w:r>
          </w:p>
        </w:tc>
        <w:tc>
          <w:tcPr>
            <w:tcW w:w="380" w:type="dxa"/>
            <w:vAlign w:val="bottom"/>
          </w:tcPr>
          <w:p>
            <w:pPr>
              <w:spacing w:after="0"/>
              <w:rPr>
                <w:sz w:val="17"/>
                <w:szCs w:val="17"/>
                <w:color w:val="auto"/>
              </w:rPr>
            </w:pPr>
          </w:p>
        </w:tc>
        <w:tc>
          <w:tcPr>
            <w:tcW w:w="124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2015</w:t>
            </w: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57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44"/>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36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496,967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426,406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347,905</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Latin America (“LATAM”)</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92,081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54,124</w:t>
            </w:r>
          </w:p>
        </w:tc>
      </w:tr>
      <w:tr>
        <w:trPr>
          <w:trHeight w:val="264"/>
        </w:trPr>
        <w:tc>
          <w:tcPr>
            <w:tcW w:w="40" w:type="dxa"/>
            <w:vAlign w:val="bottom"/>
            <w:tcBorders>
              <w:bottom w:val="single" w:sz="8" w:color="CCEEFF"/>
            </w:tcBorders>
          </w:tcPr>
          <w:p>
            <w:pPr>
              <w:spacing w:after="0"/>
              <w:rPr>
                <w:sz w:val="22"/>
                <w:szCs w:val="22"/>
                <w:color w:val="auto"/>
              </w:rPr>
            </w:pPr>
          </w:p>
        </w:tc>
        <w:tc>
          <w:tcPr>
            <w:tcW w:w="63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 xml:space="preserve">Canada </w:t>
            </w:r>
            <w:r>
              <w:rPr>
                <w:rFonts w:ascii="Arial" w:cs="Arial" w:eastAsia="Arial" w:hAnsi="Arial"/>
                <w:sz w:val="18"/>
                <w:szCs w:val="18"/>
                <w:color w:val="auto"/>
                <w:vertAlign w:val="superscript"/>
              </w:rPr>
              <w:t>(1)</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53,283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44,274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33,253</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642,331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536,706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435,282</w:t>
            </w:r>
          </w:p>
        </w:tc>
      </w:tr>
      <w:tr>
        <w:trPr>
          <w:trHeight w:val="243"/>
        </w:trPr>
        <w:tc>
          <w:tcPr>
            <w:tcW w:w="6400" w:type="dxa"/>
            <w:vAlign w:val="bottom"/>
            <w:gridSpan w:val="3"/>
          </w:tcPr>
          <w:p>
            <w:pPr>
              <w:ind w:left="40"/>
              <w:spacing w:after="0"/>
              <w:rPr>
                <w:sz w:val="20"/>
                <w:szCs w:val="20"/>
                <w:color w:val="auto"/>
              </w:rPr>
            </w:pPr>
            <w:r>
              <w:rPr>
                <w:rFonts w:ascii="Arial" w:cs="Arial" w:eastAsia="Arial" w:hAnsi="Arial"/>
                <w:sz w:val="18"/>
                <w:szCs w:val="18"/>
                <w:color w:val="auto"/>
              </w:rPr>
              <w:t>Europe, Middle East and Africa (“EMEA”)</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554,569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477,393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366,018</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Asia Pacific (“APAC”)</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298,030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261,344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207,968</w:t>
            </w:r>
          </w:p>
        </w:tc>
      </w:tr>
      <w:tr>
        <w:trPr>
          <w:trHeight w:val="257"/>
        </w:trPr>
        <w:tc>
          <w:tcPr>
            <w:tcW w:w="40" w:type="dxa"/>
            <w:vAlign w:val="bottom"/>
          </w:tcPr>
          <w:p>
            <w:pPr>
              <w:spacing w:after="0"/>
              <w:rPr>
                <w:sz w:val="22"/>
                <w:szCs w:val="22"/>
                <w:color w:val="auto"/>
              </w:rPr>
            </w:pPr>
          </w:p>
        </w:tc>
        <w:tc>
          <w:tcPr>
            <w:tcW w:w="6360" w:type="dxa"/>
            <w:vAlign w:val="bottom"/>
            <w:gridSpan w:val="2"/>
          </w:tcPr>
          <w:p>
            <w:pPr>
              <w:ind w:left="46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1,494,930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1,275,443</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1,009,268</w:t>
            </w: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40" w:hanging="132"/>
        <w:spacing w:after="0"/>
        <w:tabs>
          <w:tab w:leader="none" w:pos="140" w:val="left"/>
        </w:tabs>
        <w:numPr>
          <w:ilvl w:val="0"/>
          <w:numId w:val="51"/>
        </w:numPr>
        <w:rPr>
          <w:rFonts w:ascii="Arial" w:cs="Arial" w:eastAsia="Arial" w:hAnsi="Arial"/>
          <w:sz w:val="8"/>
          <w:szCs w:val="8"/>
          <w:color w:val="auto"/>
        </w:rPr>
      </w:pPr>
      <w:r>
        <w:rPr>
          <w:rFonts w:ascii="Arial" w:cs="Arial" w:eastAsia="Arial" w:hAnsi="Arial"/>
          <w:sz w:val="13"/>
          <w:szCs w:val="13"/>
          <w:color w:val="auto"/>
        </w:rPr>
        <w:t>Certain amounts in the prior periods in Canada were reclassified to the United States to conform with the 2017 presentation as a result of a change in the bill-to address of a customer.</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8"/>
                <w:szCs w:val="18"/>
                <w:color w:val="auto"/>
              </w:rPr>
              <w:t>—</w:t>
            </w:r>
            <w:r>
              <w:rPr>
                <w:rFonts w:ascii="Arial" w:cs="Arial" w:eastAsia="Arial" w:hAnsi="Arial"/>
                <w:sz w:val="16"/>
                <w:szCs w:val="16"/>
                <w:b w:val="1"/>
                <w:bCs w:val="1"/>
                <w:color w:val="auto"/>
              </w:rPr>
              <w:t>net</w:t>
            </w: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176"/>
        </w:trPr>
        <w:tc>
          <w:tcPr>
            <w:tcW w:w="81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552"/>
              <w:spacing w:after="0" w:line="176" w:lineRule="exact"/>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552"/>
              <w:spacing w:after="0" w:line="176" w:lineRule="exact"/>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8120" w:type="dxa"/>
            <w:vAlign w:val="bottom"/>
            <w:gridSpan w:val="3"/>
            <w:vMerge w:val="restart"/>
          </w:tcPr>
          <w:p>
            <w:pPr>
              <w:ind w:left="40"/>
              <w:spacing w:after="0"/>
              <w:rPr>
                <w:sz w:val="20"/>
                <w:szCs w:val="20"/>
                <w:color w:val="auto"/>
              </w:rPr>
            </w:pPr>
            <w:r>
              <w:rPr>
                <w:rFonts w:ascii="Arial" w:cs="Arial" w:eastAsia="Arial" w:hAnsi="Arial"/>
                <w:sz w:val="18"/>
                <w:szCs w:val="18"/>
                <w:color w:val="auto"/>
              </w:rPr>
              <w:t>Americas:</w:t>
            </w: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12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96,414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Canada</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103,787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12,881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LATAM</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Total Americas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219,735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109,902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France</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11,846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13,241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EMEA</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6,391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Total EMEA</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17,682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19,632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APAC</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080" w:type="dxa"/>
            <w:vAlign w:val="bottom"/>
            <w:gridSpan w:val="2"/>
          </w:tcPr>
          <w:p>
            <w:pPr>
              <w:ind w:left="460"/>
              <w:spacing w:after="0"/>
              <w:rPr>
                <w:sz w:val="20"/>
                <w:szCs w:val="20"/>
                <w:color w:val="auto"/>
              </w:rPr>
            </w:pPr>
            <w:r>
              <w:rPr>
                <w:rFonts w:ascii="Arial" w:cs="Arial" w:eastAsia="Arial" w:hAnsi="Arial"/>
                <w:sz w:val="18"/>
                <w:szCs w:val="18"/>
                <w:color w:val="auto"/>
              </w:rPr>
              <w:t>Total property and equipment—net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245,395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137,249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accumulated balances of other comprehensive loss for 2017 and 2016 (in thousands):</w:t>
      </w:r>
    </w:p>
    <w:p>
      <w:pPr>
        <w:spacing w:after="0" w:line="383"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34290</wp:posOffset>
            </wp:positionV>
            <wp:extent cx="31813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ind w:left="60"/>
              <w:spacing w:after="0"/>
              <w:rPr>
                <w:sz w:val="20"/>
                <w:szCs w:val="20"/>
                <w:color w:val="auto"/>
              </w:rPr>
            </w:pPr>
            <w:r>
              <w:rPr>
                <w:rFonts w:ascii="Arial" w:cs="Arial" w:eastAsia="Arial" w:hAnsi="Arial"/>
                <w:sz w:val="16"/>
                <w:szCs w:val="16"/>
                <w:b w:val="1"/>
                <w:bCs w:val="1"/>
                <w:color w:val="auto"/>
              </w:rPr>
              <w:t>Tax provision related</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Unrealized Losses on</w:t>
            </w:r>
          </w:p>
        </w:tc>
        <w:tc>
          <w:tcPr>
            <w:tcW w:w="1700" w:type="dxa"/>
            <w:vAlign w:val="bottom"/>
            <w:gridSpan w:val="3"/>
          </w:tcPr>
          <w:p>
            <w:pPr>
              <w:ind w:left="60"/>
              <w:spacing w:after="0"/>
              <w:rPr>
                <w:sz w:val="20"/>
                <w:szCs w:val="20"/>
                <w:color w:val="auto"/>
              </w:rPr>
            </w:pPr>
            <w:r>
              <w:rPr>
                <w:rFonts w:ascii="Arial" w:cs="Arial" w:eastAsia="Arial" w:hAnsi="Arial"/>
                <w:sz w:val="16"/>
                <w:szCs w:val="16"/>
                <w:b w:val="1"/>
                <w:bCs w:val="1"/>
                <w:color w:val="auto"/>
                <w:w w:val="97"/>
              </w:rPr>
              <w:t>to unrealized gains or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Investments</w:t>
            </w:r>
          </w:p>
        </w:tc>
        <w:tc>
          <w:tcPr>
            <w:tcW w:w="1700" w:type="dxa"/>
            <w:vAlign w:val="bottom"/>
            <w:gridSpan w:val="3"/>
          </w:tcPr>
          <w:p>
            <w:pPr>
              <w:ind w:left="80"/>
              <w:spacing w:after="0"/>
              <w:rPr>
                <w:sz w:val="20"/>
                <w:szCs w:val="20"/>
                <w:color w:val="auto"/>
              </w:rPr>
            </w:pPr>
            <w:r>
              <w:rPr>
                <w:rFonts w:ascii="Arial" w:cs="Arial" w:eastAsia="Arial" w:hAnsi="Arial"/>
                <w:sz w:val="16"/>
                <w:szCs w:val="16"/>
                <w:b w:val="1"/>
                <w:bCs w:val="1"/>
                <w:color w:val="auto"/>
                <w:w w:val="93"/>
              </w:rPr>
              <w:t>losses on investments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3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43"/>
        </w:trPr>
        <w:tc>
          <w:tcPr>
            <w:tcW w:w="530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5"/>
              </w:rPr>
              <w:t>Amounts reclassified from accumulated other comprehensive loss</w:t>
            </w:r>
          </w:p>
        </w:tc>
        <w:tc>
          <w:tcPr>
            <w:tcW w:w="1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w:t>
            </w:r>
          </w:p>
        </w:tc>
        <w:tc>
          <w:tcPr>
            <w:tcW w:w="1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36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ind w:right="470"/>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30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80"/>
              <w:spacing w:after="0"/>
              <w:rPr>
                <w:sz w:val="20"/>
                <w:szCs w:val="20"/>
                <w:color w:val="auto"/>
              </w:rPr>
            </w:pPr>
            <w:r>
              <w:rPr>
                <w:rFonts w:ascii="Arial" w:cs="Arial" w:eastAsia="Arial" w:hAnsi="Arial"/>
                <w:sz w:val="18"/>
                <w:szCs w:val="18"/>
                <w:b w:val="1"/>
                <w:bCs w:val="1"/>
                <w:color w:val="auto"/>
                <w:w w:val="91"/>
              </w:rPr>
              <w:t>December 31, 2016</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Tax provision</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related to</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unrealized gains or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Unrealized Losses</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1"/>
              </w:rPr>
              <w:t>losses on</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on Investments</w:t>
            </w: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investments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166</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Amounts reclassified from accumulated other comprehensive loss for unrealized losses on investments and tax provision related to unrealized gains or losses on investments are recorded in Other income (expense)—net and in Provision for income taxes, respectively.</w:t>
      </w:r>
    </w:p>
    <w:p>
      <w:pPr>
        <w:spacing w:after="0" w:line="166"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son of one member of our board of directors is a partner of an outside law firm that we utilize for certain complex litigation matters. Expenses for legal services provided by the law firm related to matters that arose subsequent to the member joining our board of directors were $1.1 million, $0.4 million and $7.2 million in 2017, 2016 and 2015, respectively. Of such amounts, $2.5 million was incurred under contingent fee arrangements in 2015. There were no expenses incurred under contingent fee arrangements in 2017 and 2016. Amounts due and payable to the law firm were $0.2 million and $0.1 million as of December 31, 2017 and December 31, 2016,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 13a-15(e) or 15d-15(e) under the Securities Exchange Act of 1934 (the “Exchange Act”) as of the end of the period covered by this Annual Report on Form 10-K.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7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December 31, 2017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s Report on Internal Control Over Financial Reporting</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and 15d-15(f) under the Exchange Act. Management conducted an evaluation of the effectiveness of our internal control over financial reporting based on the framework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set forth by the Committee of Sponsoring Organizations of the Treadway Commission.</w:t>
      </w:r>
    </w:p>
    <w:p>
      <w:pPr>
        <w:spacing w:after="0" w:line="14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Based on this evaluation, management concluded that our internal control over financial reporting was effective as of December 31, 2017. Management reviewed the results of its assessment with our Audit Committee. The effectiveness of our internal control over financial reporting as of December 31, 2017 has been audited by Deloitte &amp; Touche LLP, an independent registered public accounting firm, as stated in its report, which appears in this Item under the heading “Report of Independent Registered Public Accounting Firm.”</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or 15d-15(f) under the Exchange Act) during the fourth quarter of 2017 that have materially affected, or are reasonably likely to materially affect, our internal control over financial reporting.</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40"/>
          </w:cols>
          <w:pgMar w:left="240" w:top="121" w:right="31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Fortinet,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Fortinet, Inc. and subsidiaries (the “Company”) as of December 31, 2017,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2017,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COSO.</w:t>
      </w:r>
    </w:p>
    <w:p>
      <w:pPr>
        <w:spacing w:after="0" w:line="18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financial statement schedule as of and for the year ended December 31, 2017, of the Company and our report dated February 26, 2018, expressed an unqualified opinion on those financial statements and financial statement schedule.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2018 Annual Meeting of Stockholders to be filed with the SEC within 120 days after the end of the fiscal year covered by this Annual Report on Form 10-K.</w:t>
      </w:r>
    </w:p>
    <w:p>
      <w:pPr>
        <w:spacing w:after="0" w:line="14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our employees, with regard to their Fortinet-related activities. Our code of business conduct and ethics is available on our website at www.fortinet.com under “Corporate—Investor Relations—Corporate Governance.” We will post on this section of our website any amendment to our code of business conduct and ethics, as well as any waivers of our code of business conduct and ethics, that are required to be disclosed by the rules of the SEC or the Nasdaq Stock Market.</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2018 Annual Meeting of Stockholders to be filed with the SEC within 120 days after the end of the fiscal year covered by this Annual Report on Form 10-K.</w:t>
      </w:r>
    </w:p>
    <w:p>
      <w:pPr>
        <w:spacing w:after="0" w:line="14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2018 Annual Meeting of Stockholders to be filed with the SEC within 120 days after the end of the fiscal year covered by this Annual Report on Form 10-K.</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2018 Annual Meeting of Stockholders to be filed with the SEC within 120 days after the end of the fiscal year covered by this Annual Report on Form 10-K.</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2018 Annual Meeting of Stockholders to be filed with the SEC within 120 days after the end of the fiscal year covered by this Annual Report on Form 10-K.</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122" w:right="29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following documents are filed as part of this Annual Report on Form 10-K:</w:t>
      </w:r>
    </w:p>
    <w:p>
      <w:pPr>
        <w:spacing w:after="0" w:line="225" w:lineRule="exact"/>
        <w:rPr>
          <w:sz w:val="20"/>
          <w:szCs w:val="20"/>
          <w:color w:val="auto"/>
        </w:rPr>
      </w:pPr>
    </w:p>
    <w:p>
      <w:pPr>
        <w:ind w:left="1300" w:right="220" w:hanging="644"/>
        <w:spacing w:after="0" w:line="264"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information concerning Fortinet’s financial statements and the Report of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required by this Item 15(a)(1) is incorporated by reference herein to the section of this Annual Report on Form 10-K in Part II, Item 8, titled “Financial Statements and Supplementary Data.”</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Financial Statement Schedule: </w:t>
      </w:r>
      <w:r>
        <w:rPr>
          <w:rFonts w:ascii="Arial" w:cs="Arial" w:eastAsia="Arial" w:hAnsi="Arial"/>
          <w:sz w:val="17"/>
          <w:szCs w:val="17"/>
          <w:color w:val="auto"/>
        </w:rPr>
        <w:t>The following financial statement schedule of Fortinet, Inc., for the fiscal years ended December 31,</w:t>
      </w:r>
    </w:p>
    <w:p>
      <w:pPr>
        <w:spacing w:after="0" w:line="34" w:lineRule="exact"/>
        <w:rPr>
          <w:rFonts w:ascii="Arial" w:cs="Arial" w:eastAsia="Arial" w:hAnsi="Arial"/>
          <w:sz w:val="17"/>
          <w:szCs w:val="17"/>
          <w:i w:val="1"/>
          <w:iCs w:val="1"/>
          <w:color w:val="auto"/>
        </w:rPr>
      </w:pPr>
    </w:p>
    <w:p>
      <w:pPr>
        <w:ind w:left="1300"/>
        <w:spacing w:after="0" w:line="261" w:lineRule="auto"/>
        <w:rPr>
          <w:rFonts w:ascii="Arial" w:cs="Arial" w:eastAsia="Arial" w:hAnsi="Arial"/>
          <w:sz w:val="17"/>
          <w:szCs w:val="17"/>
          <w:i w:val="1"/>
          <w:iCs w:val="1"/>
          <w:color w:val="auto"/>
        </w:rPr>
      </w:pPr>
      <w:r>
        <w:rPr>
          <w:rFonts w:ascii="Arial" w:cs="Arial" w:eastAsia="Arial" w:hAnsi="Arial"/>
          <w:sz w:val="18"/>
          <w:szCs w:val="18"/>
          <w:color w:val="auto"/>
        </w:rPr>
        <w:t>2017, 2016 and 2015, is filed as part of this Annual Report on Form 10-K and should be read in conjunction with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122" w:right="27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76"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37465</wp:posOffset>
            </wp:positionV>
            <wp:extent cx="31813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55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2015</w:t>
            </w:r>
          </w:p>
        </w:tc>
      </w:tr>
      <w:tr>
        <w:trPr>
          <w:trHeight w:val="33"/>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Returns Reserve and Allowance for Doubtful Accounts: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500"/>
              <w:spacing w:after="0"/>
              <w:rPr>
                <w:sz w:val="20"/>
                <w:szCs w:val="20"/>
                <w:color w:val="auto"/>
              </w:rPr>
            </w:pPr>
            <w:r>
              <w:rPr>
                <w:rFonts w:ascii="Arial" w:cs="Arial" w:eastAsia="Arial" w:hAnsi="Arial"/>
                <w:sz w:val="18"/>
                <w:szCs w:val="18"/>
                <w:color w:val="auto"/>
              </w:rPr>
              <w:t>Beginning balance</w:t>
            </w: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11,235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6,228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6,204</w:t>
            </w:r>
          </w:p>
        </w:tc>
      </w:tr>
      <w:tr>
        <w:trPr>
          <w:trHeight w:val="27"/>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Charged to costs and expenses, net of deductions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r>
      <w:tr>
        <w:trPr>
          <w:trHeight w:val="257"/>
        </w:trPr>
        <w:tc>
          <w:tcPr>
            <w:tcW w:w="6400" w:type="dxa"/>
            <w:vAlign w:val="bottom"/>
          </w:tcPr>
          <w:p>
            <w:pPr>
              <w:ind w:left="500"/>
              <w:spacing w:after="0"/>
              <w:rPr>
                <w:sz w:val="20"/>
                <w:szCs w:val="20"/>
                <w:color w:val="auto"/>
              </w:rPr>
            </w:pPr>
            <w:r>
              <w:rPr>
                <w:rFonts w:ascii="Arial" w:cs="Arial" w:eastAsia="Arial" w:hAnsi="Arial"/>
                <w:sz w:val="18"/>
                <w:szCs w:val="18"/>
                <w:color w:val="auto"/>
              </w:rPr>
              <w:t>Ending balance</w:t>
            </w:r>
          </w:p>
        </w:tc>
        <w:tc>
          <w:tcPr>
            <w:tcW w:w="1000" w:type="dxa"/>
            <w:vAlign w:val="bottom"/>
            <w:tcBorders>
              <w:top w:val="single" w:sz="8" w:color="auto"/>
              <w:bottom w:val="single" w:sz="8" w:color="auto"/>
            </w:tcBorders>
          </w:tcPr>
          <w:p>
            <w:pPr>
              <w:jc w:val="right"/>
              <w:ind w:right="79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14,503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11,235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6,228</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notes thereto.</w:t>
      </w:r>
    </w:p>
    <w:p>
      <w:pPr>
        <w:spacing w:after="0" w:line="170" w:lineRule="exact"/>
        <w:rPr>
          <w:sz w:val="20"/>
          <w:szCs w:val="20"/>
          <w:color w:val="auto"/>
        </w:rPr>
      </w:pPr>
    </w:p>
    <w:p>
      <w:pPr>
        <w:ind w:left="1300" w:hanging="644"/>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Item 15(b) below. We have filed, or incorporated into this Annual Report on Form 10-K by reference, the exhibits listed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Exhibit Index immediately preceding the signature page of this Annual Report on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exhibit list in the Exhibit Index immediately preceding the signature page of this Annual Report on Form 10-K is incorporated herein by reference as the list of exhibits required by this Item 15(b).</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Financial Statement Schedules: See Item 15(a) above.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tcPr>
          <w:p>
            <w:pPr>
              <w:ind w:left="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4020" w:type="dxa"/>
            <w:vAlign w:val="bottom"/>
            <w:gridSpan w:val="2"/>
            <w:vMerge w:val="restart"/>
          </w:tcPr>
          <w:p>
            <w:pPr>
              <w:ind w:left="1580"/>
              <w:spacing w:after="0"/>
              <w:rPr>
                <w:sz w:val="20"/>
                <w:szCs w:val="20"/>
                <w:color w:val="auto"/>
              </w:rPr>
            </w:pPr>
            <w:r>
              <w:rPr>
                <w:rFonts w:ascii="Arial" w:cs="Arial" w:eastAsia="Arial" w:hAnsi="Arial"/>
                <w:sz w:val="14"/>
                <w:szCs w:val="14"/>
                <w:b w:val="1"/>
                <w:bCs w:val="1"/>
                <w:color w:val="auto"/>
              </w:rPr>
              <w:t>Description</w:t>
            </w:r>
          </w:p>
        </w:tc>
        <w:tc>
          <w:tcPr>
            <w:tcW w:w="3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Incorporated by reference herein</w:t>
            </w:r>
          </w:p>
        </w:tc>
        <w:tc>
          <w:tcPr>
            <w:tcW w:w="0" w:type="dxa"/>
            <w:vAlign w:val="bottom"/>
          </w:tcPr>
          <w:p>
            <w:pPr>
              <w:spacing w:after="0"/>
              <w:rPr>
                <w:sz w:val="1"/>
                <w:szCs w:val="1"/>
                <w:color w:val="auto"/>
              </w:rPr>
            </w:pPr>
          </w:p>
        </w:tc>
      </w:tr>
      <w:tr>
        <w:trPr>
          <w:trHeight w:val="192"/>
        </w:trPr>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4020" w:type="dxa"/>
            <w:vAlign w:val="bottom"/>
            <w:gridSpan w:val="2"/>
            <w:vMerge w:val="continue"/>
          </w:tcPr>
          <w:p>
            <w:pPr>
              <w:spacing w:after="0"/>
              <w:rPr>
                <w:sz w:val="16"/>
                <w:szCs w:val="16"/>
                <w:color w:val="auto"/>
              </w:rPr>
            </w:pPr>
          </w:p>
        </w:tc>
        <w:tc>
          <w:tcPr>
            <w:tcW w:w="3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960" w:type="dxa"/>
            <w:vAlign w:val="bottom"/>
          </w:tcPr>
          <w:p>
            <w:pPr>
              <w:jc w:val="center"/>
              <w:ind w:left="388"/>
              <w:spacing w:after="0"/>
              <w:rPr>
                <w:sz w:val="20"/>
                <w:szCs w:val="20"/>
                <w:color w:val="auto"/>
              </w:rPr>
            </w:pPr>
            <w:r>
              <w:rPr>
                <w:rFonts w:ascii="Arial" w:cs="Arial" w:eastAsia="Arial" w:hAnsi="Arial"/>
                <w:sz w:val="14"/>
                <w:szCs w:val="14"/>
                <w:b w:val="1"/>
                <w:bCs w:val="1"/>
                <w:color w:val="auto"/>
                <w:w w:val="98"/>
              </w:rPr>
              <w:t>Exhibit</w:t>
            </w:r>
          </w:p>
        </w:tc>
        <w:tc>
          <w:tcPr>
            <w:tcW w:w="0" w:type="dxa"/>
            <w:vAlign w:val="bottom"/>
          </w:tcPr>
          <w:p>
            <w:pPr>
              <w:spacing w:after="0"/>
              <w:rPr>
                <w:sz w:val="1"/>
                <w:szCs w:val="1"/>
                <w:color w:val="auto"/>
              </w:rPr>
            </w:pPr>
          </w:p>
        </w:tc>
      </w:tr>
      <w:tr>
        <w:trPr>
          <w:trHeight w:val="186"/>
        </w:trPr>
        <w:tc>
          <w:tcPr>
            <w:tcW w:w="740" w:type="dxa"/>
            <w:vAlign w:val="bottom"/>
            <w:vMerge w:val="continue"/>
          </w:tcPr>
          <w:p>
            <w:pPr>
              <w:spacing w:after="0"/>
              <w:rPr>
                <w:sz w:val="16"/>
                <w:szCs w:val="16"/>
                <w:color w:val="auto"/>
              </w:rPr>
            </w:pPr>
          </w:p>
        </w:tc>
        <w:tc>
          <w:tcPr>
            <w:tcW w:w="960" w:type="dxa"/>
            <w:vAlign w:val="bottom"/>
          </w:tcPr>
          <w:p>
            <w:pPr>
              <w:jc w:val="center"/>
              <w:ind w:left="388"/>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-223520</wp:posOffset>
            </wp:positionV>
            <wp:extent cx="15779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8820" w:space="700"/>
            <w:col w:w="1700"/>
          </w:cols>
          <w:pgMar w:left="240" w:top="121" w:right="439" w:bottom="1440" w:gutter="0" w:footer="0" w:header="0"/>
        </w:sectPr>
      </w:pPr>
    </w:p>
    <w:tbl>
      <w:tblPr>
        <w:tblLayout w:type="fixed"/>
        <w:tblInd w:w="40" w:type="dxa"/>
        <w:tblCellMar>
          <w:top w:w="0" w:type="dxa"/>
          <w:left w:w="0" w:type="dxa"/>
          <w:bottom w:w="0" w:type="dxa"/>
          <w:right w:w="0" w:type="dxa"/>
        </w:tblCellMar>
      </w:tblPr>
      <w:tr>
        <w:trPr>
          <w:trHeight w:val="161"/>
        </w:trPr>
        <w:tc>
          <w:tcPr>
            <w:tcW w:w="200" w:type="dxa"/>
            <w:vAlign w:val="bottom"/>
            <w:tcBorders>
              <w:bottom w:val="single" w:sz="8" w:color="0000FF"/>
            </w:tcBorders>
            <w:gridSpan w:val="2"/>
          </w:tcPr>
          <w:p>
            <w:pPr>
              <w:spacing w:after="0"/>
              <w:rPr>
                <w:rFonts w:ascii="Arial" w:cs="Arial" w:eastAsia="Arial" w:hAnsi="Arial"/>
                <w:sz w:val="14"/>
                <w:szCs w:val="14"/>
                <w:color w:val="0000FF"/>
                <w:w w:val="92"/>
              </w:rPr>
            </w:pPr>
            <w:hyperlink r:id="rId21">
              <w:r>
                <w:rPr>
                  <w:rFonts w:ascii="Arial" w:cs="Arial" w:eastAsia="Arial" w:hAnsi="Arial"/>
                  <w:sz w:val="14"/>
                  <w:szCs w:val="14"/>
                  <w:color w:val="0000FF"/>
                  <w:w w:val="92"/>
                </w:rPr>
                <w:t>3.</w:t>
              </w:r>
              <w:r>
                <w:rPr>
                  <w:rFonts w:ascii="Arial" w:cs="Arial" w:eastAsia="Arial" w:hAnsi="Arial"/>
                  <w:sz w:val="14"/>
                  <w:szCs w:val="14"/>
                  <w:u w:val="single" w:color="auto"/>
                  <w:color w:val="0000FF"/>
                  <w:w w:val="92"/>
                </w:rPr>
                <w:t>1</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Amended and Restated Certificate of Incorporation</w:t>
            </w:r>
          </w:p>
        </w:tc>
      </w:tr>
      <w:tr>
        <w:trPr>
          <w:trHeight w:val="372"/>
        </w:trPr>
        <w:tc>
          <w:tcPr>
            <w:tcW w:w="200" w:type="dxa"/>
            <w:vAlign w:val="bottom"/>
            <w:tcBorders>
              <w:bottom w:val="single" w:sz="8" w:color="0000FF"/>
            </w:tcBorders>
            <w:gridSpan w:val="2"/>
          </w:tcPr>
          <w:p>
            <w:pPr>
              <w:spacing w:after="0"/>
              <w:rPr>
                <w:rFonts w:ascii="Arial" w:cs="Arial" w:eastAsia="Arial" w:hAnsi="Arial"/>
                <w:sz w:val="14"/>
                <w:szCs w:val="14"/>
                <w:color w:val="0000FF"/>
                <w:w w:val="92"/>
              </w:rPr>
            </w:pPr>
            <w:hyperlink r:id="rId22">
              <w:r>
                <w:rPr>
                  <w:rFonts w:ascii="Arial" w:cs="Arial" w:eastAsia="Arial" w:hAnsi="Arial"/>
                  <w:sz w:val="14"/>
                  <w:szCs w:val="14"/>
                  <w:color w:val="0000FF"/>
                  <w:w w:val="92"/>
                </w:rPr>
                <w:t>3.</w:t>
              </w:r>
              <w:r>
                <w:rPr>
                  <w:rFonts w:ascii="Arial" w:cs="Arial" w:eastAsia="Arial" w:hAnsi="Arial"/>
                  <w:sz w:val="14"/>
                  <w:szCs w:val="14"/>
                  <w:u w:val="single" w:color="auto"/>
                  <w:color w:val="0000FF"/>
                  <w:w w:val="92"/>
                </w:rPr>
                <w:t>2</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Bylaws</w:t>
            </w:r>
          </w:p>
        </w:tc>
      </w:tr>
      <w:tr>
        <w:trPr>
          <w:trHeight w:val="372"/>
        </w:trPr>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23">
              <w:r>
                <w:rPr>
                  <w:rFonts w:ascii="Arial" w:cs="Arial" w:eastAsia="Arial" w:hAnsi="Arial"/>
                  <w:sz w:val="14"/>
                  <w:szCs w:val="14"/>
                  <w:color w:val="0000FF"/>
                  <w:w w:val="81"/>
                </w:rPr>
                <w:t>4.</w:t>
              </w:r>
              <w:r>
                <w:rPr>
                  <w:rFonts w:ascii="Arial" w:cs="Arial" w:eastAsia="Arial" w:hAnsi="Arial"/>
                  <w:sz w:val="14"/>
                  <w:szCs w:val="14"/>
                  <w:u w:val="single" w:color="auto"/>
                  <w:color w:val="0000FF"/>
                  <w:w w:val="81"/>
                </w:rPr>
                <w:t>1</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Specimen common stock certificate of the Company</w:t>
            </w:r>
          </w:p>
        </w:tc>
      </w:tr>
      <w:tr>
        <w:trPr>
          <w:trHeight w:val="453"/>
        </w:trPr>
        <w:tc>
          <w:tcPr>
            <w:tcW w:w="640" w:type="dxa"/>
            <w:vAlign w:val="bottom"/>
            <w:gridSpan w:val="5"/>
          </w:tcPr>
          <w:p>
            <w:pPr>
              <w:spacing w:after="0"/>
              <w:rPr>
                <w:rFonts w:ascii="Arial" w:cs="Arial" w:eastAsia="Arial" w:hAnsi="Arial"/>
                <w:sz w:val="14"/>
                <w:szCs w:val="14"/>
                <w:color w:val="0000FF"/>
              </w:rPr>
            </w:pPr>
            <w:hyperlink r:id="rId24">
              <w:r>
                <w:rPr>
                  <w:rFonts w:ascii="Arial" w:cs="Arial" w:eastAsia="Arial" w:hAnsi="Arial"/>
                  <w:sz w:val="14"/>
                  <w:szCs w:val="14"/>
                  <w:color w:val="0000FF"/>
                </w:rPr>
                <w:t>10.</w:t>
              </w:r>
              <w:r>
                <w:rPr>
                  <w:rFonts w:ascii="Arial" w:cs="Arial" w:eastAsia="Arial" w:hAnsi="Arial"/>
                  <w:sz w:val="14"/>
                  <w:szCs w:val="14"/>
                  <w:u w:val="single" w:color="auto"/>
                  <w:color w:val="0000FF"/>
                </w:rPr>
                <w:t>1</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5"/>
              </w:rPr>
              <w:t>Forms of Indemnification Agreement between the Company and</w:t>
            </w:r>
          </w:p>
        </w:tc>
      </w:tr>
      <w:tr>
        <w:trPr>
          <w:trHeight w:val="162"/>
        </w:trPr>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its directors and officers</w:t>
            </w:r>
          </w:p>
        </w:tc>
      </w:tr>
      <w:tr>
        <w:trPr>
          <w:trHeight w:val="290"/>
        </w:trPr>
        <w:tc>
          <w:tcPr>
            <w:tcW w:w="640" w:type="dxa"/>
            <w:vAlign w:val="bottom"/>
            <w:gridSpan w:val="5"/>
          </w:tcPr>
          <w:p>
            <w:pPr>
              <w:spacing w:after="0"/>
              <w:rPr>
                <w:rFonts w:ascii="Arial" w:cs="Arial" w:eastAsia="Arial" w:hAnsi="Arial"/>
                <w:sz w:val="14"/>
                <w:szCs w:val="14"/>
                <w:color w:val="0000FF"/>
              </w:rPr>
            </w:pPr>
            <w:hyperlink r:id="rId25">
              <w:r>
                <w:rPr>
                  <w:rFonts w:ascii="Arial" w:cs="Arial" w:eastAsia="Arial" w:hAnsi="Arial"/>
                  <w:sz w:val="14"/>
                  <w:szCs w:val="14"/>
                  <w:color w:val="0000FF"/>
                </w:rPr>
                <w:t>10.</w:t>
              </w:r>
              <w:r>
                <w:rPr>
                  <w:rFonts w:ascii="Arial" w:cs="Arial" w:eastAsia="Arial" w:hAnsi="Arial"/>
                  <w:sz w:val="14"/>
                  <w:szCs w:val="14"/>
                  <w:u w:val="single" w:color="auto"/>
                  <w:color w:val="0000FF"/>
                </w:rPr>
                <w:t>2</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2000 Stock Plan and forms of agreement thereunder</w:t>
            </w:r>
          </w:p>
        </w:tc>
      </w:tr>
      <w:tr>
        <w:trPr>
          <w:trHeight w:val="20"/>
        </w:trPr>
        <w:tc>
          <w:tcPr>
            <w:tcW w:w="2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372"/>
        </w:trPr>
        <w:tc>
          <w:tcPr>
            <w:tcW w:w="640" w:type="dxa"/>
            <w:vAlign w:val="bottom"/>
            <w:gridSpan w:val="5"/>
          </w:tcPr>
          <w:p>
            <w:pPr>
              <w:spacing w:after="0"/>
              <w:rPr>
                <w:rFonts w:ascii="Arial" w:cs="Arial" w:eastAsia="Arial" w:hAnsi="Arial"/>
                <w:sz w:val="14"/>
                <w:szCs w:val="14"/>
                <w:color w:val="0000FF"/>
              </w:rPr>
            </w:pPr>
            <w:hyperlink r:id="rId26">
              <w:r>
                <w:rPr>
                  <w:rFonts w:ascii="Arial" w:cs="Arial" w:eastAsia="Arial" w:hAnsi="Arial"/>
                  <w:sz w:val="14"/>
                  <w:szCs w:val="14"/>
                  <w:color w:val="0000FF"/>
                </w:rPr>
                <w:t>10.</w:t>
              </w:r>
              <w:r>
                <w:rPr>
                  <w:rFonts w:ascii="Arial" w:cs="Arial" w:eastAsia="Arial" w:hAnsi="Arial"/>
                  <w:sz w:val="14"/>
                  <w:szCs w:val="14"/>
                  <w:u w:val="single" w:color="auto"/>
                  <w:color w:val="0000FF"/>
                </w:rPr>
                <w:t>3</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2008 Stock Plan and forms of agreement thereunder</w:t>
            </w:r>
          </w:p>
        </w:tc>
      </w:tr>
      <w:tr>
        <w:trPr>
          <w:trHeight w:val="20"/>
        </w:trPr>
        <w:tc>
          <w:tcPr>
            <w:tcW w:w="2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372"/>
        </w:trPr>
        <w:tc>
          <w:tcPr>
            <w:tcW w:w="640" w:type="dxa"/>
            <w:vAlign w:val="bottom"/>
            <w:gridSpan w:val="5"/>
          </w:tcPr>
          <w:p>
            <w:pPr>
              <w:spacing w:after="0"/>
              <w:rPr>
                <w:rFonts w:ascii="Arial" w:cs="Arial" w:eastAsia="Arial" w:hAnsi="Arial"/>
                <w:sz w:val="14"/>
                <w:szCs w:val="14"/>
                <w:color w:val="0000FF"/>
              </w:rPr>
            </w:pPr>
            <w:hyperlink r:id="rId27">
              <w:r>
                <w:rPr>
                  <w:rFonts w:ascii="Arial" w:cs="Arial" w:eastAsia="Arial" w:hAnsi="Arial"/>
                  <w:sz w:val="14"/>
                  <w:szCs w:val="14"/>
                  <w:color w:val="0000FF"/>
                </w:rPr>
                <w:t>10.</w:t>
              </w:r>
              <w:r>
                <w:rPr>
                  <w:rFonts w:ascii="Arial" w:cs="Arial" w:eastAsia="Arial" w:hAnsi="Arial"/>
                  <w:sz w:val="14"/>
                  <w:szCs w:val="14"/>
                  <w:u w:val="single" w:color="auto"/>
                  <w:color w:val="0000FF"/>
                </w:rPr>
                <w:t>4</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2009 Equity Incentive Plan and forms of restricted stock unit</w:t>
            </w:r>
          </w:p>
        </w:tc>
      </w:tr>
      <w:tr>
        <w:trPr>
          <w:trHeight w:val="162"/>
        </w:trPr>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award and restricted stock agreement thereunder</w:t>
            </w:r>
          </w:p>
        </w:tc>
      </w:tr>
      <w:tr>
        <w:trPr>
          <w:trHeight w:val="290"/>
        </w:trPr>
        <w:tc>
          <w:tcPr>
            <w:tcW w:w="640" w:type="dxa"/>
            <w:vAlign w:val="bottom"/>
            <w:gridSpan w:val="5"/>
          </w:tcPr>
          <w:p>
            <w:pPr>
              <w:spacing w:after="0"/>
              <w:rPr>
                <w:rFonts w:ascii="Arial" w:cs="Arial" w:eastAsia="Arial" w:hAnsi="Arial"/>
                <w:sz w:val="14"/>
                <w:szCs w:val="14"/>
                <w:color w:val="0000FF"/>
              </w:rPr>
            </w:pPr>
            <w:hyperlink r:id="rId28">
              <w:r>
                <w:rPr>
                  <w:rFonts w:ascii="Arial" w:cs="Arial" w:eastAsia="Arial" w:hAnsi="Arial"/>
                  <w:sz w:val="14"/>
                  <w:szCs w:val="14"/>
                  <w:color w:val="0000FF"/>
                </w:rPr>
                <w:t>10.</w:t>
              </w:r>
              <w:r>
                <w:rPr>
                  <w:rFonts w:ascii="Arial" w:cs="Arial" w:eastAsia="Arial" w:hAnsi="Arial"/>
                  <w:sz w:val="14"/>
                  <w:szCs w:val="14"/>
                  <w:u w:val="single" w:color="auto"/>
                  <w:color w:val="0000FF"/>
                </w:rPr>
                <w:t>5</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9"/>
              </w:rPr>
              <w:t>Forms of stock option agreement under 2009 Equity Incentive</w:t>
            </w:r>
          </w:p>
        </w:tc>
      </w:tr>
      <w:tr>
        <w:trPr>
          <w:trHeight w:val="162"/>
        </w:trPr>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Plan</w:t>
            </w:r>
          </w:p>
        </w:tc>
      </w:tr>
      <w:tr>
        <w:trPr>
          <w:trHeight w:val="290"/>
        </w:trPr>
        <w:tc>
          <w:tcPr>
            <w:tcW w:w="640" w:type="dxa"/>
            <w:vAlign w:val="bottom"/>
            <w:gridSpan w:val="5"/>
          </w:tcPr>
          <w:p>
            <w:pPr>
              <w:spacing w:after="0"/>
              <w:rPr>
                <w:rFonts w:ascii="Arial" w:cs="Arial" w:eastAsia="Arial" w:hAnsi="Arial"/>
                <w:sz w:val="14"/>
                <w:szCs w:val="14"/>
                <w:color w:val="0000FF"/>
              </w:rPr>
            </w:pPr>
            <w:hyperlink r:id="rId29">
              <w:r>
                <w:rPr>
                  <w:rFonts w:ascii="Arial" w:cs="Arial" w:eastAsia="Arial" w:hAnsi="Arial"/>
                  <w:sz w:val="14"/>
                  <w:szCs w:val="14"/>
                  <w:color w:val="0000FF"/>
                </w:rPr>
                <w:t>10.</w:t>
              </w:r>
              <w:r>
                <w:rPr>
                  <w:rFonts w:ascii="Arial" w:cs="Arial" w:eastAsia="Arial" w:hAnsi="Arial"/>
                  <w:sz w:val="14"/>
                  <w:szCs w:val="14"/>
                  <w:u w:val="single" w:color="auto"/>
                  <w:color w:val="0000FF"/>
                </w:rPr>
                <w:t>6</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9"/>
              </w:rPr>
              <w:t>Form of performance stock unit award agreement under 2009</w:t>
            </w:r>
          </w:p>
        </w:tc>
      </w:tr>
      <w:tr>
        <w:trPr>
          <w:trHeight w:val="162"/>
        </w:trPr>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Equity Incentive Plan</w:t>
            </w:r>
          </w:p>
        </w:tc>
      </w:tr>
      <w:tr>
        <w:trPr>
          <w:trHeight w:val="290"/>
        </w:trPr>
        <w:tc>
          <w:tcPr>
            <w:tcW w:w="640" w:type="dxa"/>
            <w:vAlign w:val="bottom"/>
            <w:gridSpan w:val="5"/>
          </w:tcPr>
          <w:p>
            <w:pPr>
              <w:spacing w:after="0"/>
              <w:rPr>
                <w:rFonts w:ascii="Arial" w:cs="Arial" w:eastAsia="Arial" w:hAnsi="Arial"/>
                <w:sz w:val="14"/>
                <w:szCs w:val="14"/>
                <w:color w:val="0000FF"/>
              </w:rPr>
            </w:pPr>
            <w:hyperlink r:id="rId30">
              <w:r>
                <w:rPr>
                  <w:rFonts w:ascii="Arial" w:cs="Arial" w:eastAsia="Arial" w:hAnsi="Arial"/>
                  <w:sz w:val="14"/>
                  <w:szCs w:val="14"/>
                  <w:color w:val="0000FF"/>
                </w:rPr>
                <w:t>10.</w:t>
              </w:r>
              <w:r>
                <w:rPr>
                  <w:rFonts w:ascii="Arial" w:cs="Arial" w:eastAsia="Arial" w:hAnsi="Arial"/>
                  <w:sz w:val="14"/>
                  <w:szCs w:val="14"/>
                  <w:u w:val="single" w:color="auto"/>
                  <w:color w:val="0000FF"/>
                </w:rPr>
                <w:t>7</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6"/>
              </w:rPr>
              <w:t>Forms of restricted stock unit award and performance stock unit</w:t>
            </w:r>
          </w:p>
        </w:tc>
      </w:tr>
      <w:tr>
        <w:trPr>
          <w:trHeight w:val="123"/>
        </w:trPr>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100" w:type="dxa"/>
            <w:vAlign w:val="bottom"/>
          </w:tcPr>
          <w:p>
            <w:pPr>
              <w:ind w:left="280"/>
              <w:spacing w:after="0" w:line="123" w:lineRule="exact"/>
              <w:rPr>
                <w:sz w:val="20"/>
                <w:szCs w:val="20"/>
                <w:color w:val="auto"/>
              </w:rPr>
            </w:pPr>
            <w:r>
              <w:rPr>
                <w:rFonts w:ascii="Arial" w:cs="Arial" w:eastAsia="Arial" w:hAnsi="Arial"/>
                <w:sz w:val="14"/>
                <w:szCs w:val="14"/>
                <w:color w:val="auto"/>
                <w:w w:val="97"/>
              </w:rPr>
              <w:t>award agreement under 2009 Equity Incentive Plan (Additional</w:t>
            </w:r>
          </w:p>
        </w:tc>
      </w:tr>
      <w:tr>
        <w:trPr>
          <w:trHeight w:val="182"/>
        </w:trPr>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Forms)</w:t>
            </w:r>
          </w:p>
        </w:tc>
      </w:tr>
      <w:tr>
        <w:trPr>
          <w:trHeight w:val="296"/>
        </w:trPr>
        <w:tc>
          <w:tcPr>
            <w:tcW w:w="640" w:type="dxa"/>
            <w:vAlign w:val="bottom"/>
            <w:gridSpan w:val="5"/>
          </w:tcPr>
          <w:p>
            <w:pPr>
              <w:spacing w:after="0"/>
              <w:rPr>
                <w:rFonts w:ascii="Arial" w:cs="Arial" w:eastAsia="Arial" w:hAnsi="Arial"/>
                <w:sz w:val="14"/>
                <w:szCs w:val="14"/>
                <w:color w:val="0000FF"/>
              </w:rPr>
            </w:pPr>
            <w:hyperlink r:id="rId31">
              <w:r>
                <w:rPr>
                  <w:rFonts w:ascii="Arial" w:cs="Arial" w:eastAsia="Arial" w:hAnsi="Arial"/>
                  <w:sz w:val="14"/>
                  <w:szCs w:val="14"/>
                  <w:color w:val="0000FF"/>
                </w:rPr>
                <w:t>10.</w:t>
              </w:r>
              <w:r>
                <w:rPr>
                  <w:rFonts w:ascii="Arial" w:cs="Arial" w:eastAsia="Arial" w:hAnsi="Arial"/>
                  <w:sz w:val="14"/>
                  <w:szCs w:val="14"/>
                  <w:u w:val="single" w:color="auto"/>
                  <w:color w:val="0000FF"/>
                </w:rPr>
                <w:t>8</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Fortinet, Inc. 2011 Employee Stock Purchase Plan</w:t>
            </w:r>
          </w:p>
        </w:tc>
      </w:tr>
      <w:tr>
        <w:trPr>
          <w:trHeight w:val="20"/>
        </w:trPr>
        <w:tc>
          <w:tcPr>
            <w:tcW w:w="2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372"/>
        </w:trPr>
        <w:tc>
          <w:tcPr>
            <w:tcW w:w="640" w:type="dxa"/>
            <w:vAlign w:val="bottom"/>
            <w:gridSpan w:val="5"/>
          </w:tcPr>
          <w:p>
            <w:pPr>
              <w:spacing w:after="0"/>
              <w:rPr>
                <w:rFonts w:ascii="Arial" w:cs="Arial" w:eastAsia="Arial" w:hAnsi="Arial"/>
                <w:sz w:val="14"/>
                <w:szCs w:val="14"/>
                <w:color w:val="0000FF"/>
              </w:rPr>
            </w:pPr>
            <w:hyperlink r:id="rId32">
              <w:r>
                <w:rPr>
                  <w:rFonts w:ascii="Arial" w:cs="Arial" w:eastAsia="Arial" w:hAnsi="Arial"/>
                  <w:sz w:val="14"/>
                  <w:szCs w:val="14"/>
                  <w:color w:val="0000FF"/>
                </w:rPr>
                <w:t>10.</w:t>
              </w:r>
              <w:r>
                <w:rPr>
                  <w:rFonts w:ascii="Arial" w:cs="Arial" w:eastAsia="Arial" w:hAnsi="Arial"/>
                  <w:sz w:val="14"/>
                  <w:szCs w:val="14"/>
                  <w:u w:val="single" w:color="auto"/>
                  <w:color w:val="0000FF"/>
                </w:rPr>
                <w:t>9</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Meru Networks, Inc. 2010 Equity Incentive Plan</w:t>
            </w:r>
          </w:p>
        </w:tc>
      </w:tr>
      <w:tr>
        <w:trPr>
          <w:trHeight w:val="20"/>
        </w:trPr>
        <w:tc>
          <w:tcPr>
            <w:tcW w:w="2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453"/>
        </w:trPr>
        <w:tc>
          <w:tcPr>
            <w:tcW w:w="640" w:type="dxa"/>
            <w:vAlign w:val="bottom"/>
            <w:gridSpan w:val="5"/>
          </w:tcPr>
          <w:p>
            <w:pPr>
              <w:spacing w:after="0"/>
              <w:rPr>
                <w:rFonts w:ascii="Arial" w:cs="Arial" w:eastAsia="Arial" w:hAnsi="Arial"/>
                <w:sz w:val="14"/>
                <w:szCs w:val="14"/>
                <w:color w:val="0000FF"/>
              </w:rPr>
            </w:pPr>
            <w:hyperlink r:id="rId33">
              <w:r>
                <w:rPr>
                  <w:rFonts w:ascii="Arial" w:cs="Arial" w:eastAsia="Arial" w:hAnsi="Arial"/>
                  <w:sz w:val="14"/>
                  <w:szCs w:val="14"/>
                  <w:color w:val="0000FF"/>
                </w:rPr>
                <w:t>10.</w:t>
              </w:r>
              <w:r>
                <w:rPr>
                  <w:rFonts w:ascii="Arial" w:cs="Arial" w:eastAsia="Arial" w:hAnsi="Arial"/>
                  <w:sz w:val="14"/>
                  <w:szCs w:val="14"/>
                  <w:u w:val="single" w:color="auto"/>
                  <w:color w:val="0000FF"/>
                </w:rPr>
                <w:t>10</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3"/>
              </w:rPr>
              <w:t>Meru Networks, Inc. 2013 New Employee Stock Inducement Plan</w:t>
            </w:r>
          </w:p>
        </w:tc>
      </w:tr>
      <w:tr>
        <w:trPr>
          <w:trHeight w:val="20"/>
        </w:trPr>
        <w:tc>
          <w:tcPr>
            <w:tcW w:w="32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453"/>
        </w:trPr>
        <w:tc>
          <w:tcPr>
            <w:tcW w:w="640" w:type="dxa"/>
            <w:vAlign w:val="bottom"/>
            <w:gridSpan w:val="5"/>
          </w:tcPr>
          <w:p>
            <w:pPr>
              <w:spacing w:after="0"/>
              <w:rPr>
                <w:rFonts w:ascii="Arial" w:cs="Arial" w:eastAsia="Arial" w:hAnsi="Arial"/>
                <w:sz w:val="14"/>
                <w:szCs w:val="14"/>
                <w:color w:val="0000FF"/>
              </w:rPr>
            </w:pPr>
            <w:hyperlink r:id="rId34">
              <w:r>
                <w:rPr>
                  <w:rFonts w:ascii="Arial" w:cs="Arial" w:eastAsia="Arial" w:hAnsi="Arial"/>
                  <w:sz w:val="14"/>
                  <w:szCs w:val="14"/>
                  <w:color w:val="0000FF"/>
                </w:rPr>
                <w:t>10.</w:t>
              </w:r>
              <w:r>
                <w:rPr>
                  <w:rFonts w:ascii="Arial" w:cs="Arial" w:eastAsia="Arial" w:hAnsi="Arial"/>
                  <w:sz w:val="14"/>
                  <w:szCs w:val="14"/>
                  <w:u w:val="single" w:color="auto"/>
                  <w:color w:val="0000FF"/>
                </w:rPr>
                <w:t>11</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Forms of Fortinet, Inc. Restricted Stock Unit Assumption</w:t>
            </w:r>
          </w:p>
        </w:tc>
      </w:tr>
      <w:tr>
        <w:trPr>
          <w:trHeight w:val="162"/>
        </w:trPr>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Agreement</w:t>
            </w:r>
          </w:p>
        </w:tc>
      </w:tr>
      <w:tr>
        <w:trPr>
          <w:trHeight w:val="439"/>
        </w:trPr>
        <w:tc>
          <w:tcPr>
            <w:tcW w:w="640" w:type="dxa"/>
            <w:vAlign w:val="bottom"/>
            <w:gridSpan w:val="5"/>
          </w:tcPr>
          <w:p>
            <w:pPr>
              <w:spacing w:after="0"/>
              <w:rPr>
                <w:rFonts w:ascii="Arial" w:cs="Arial" w:eastAsia="Arial" w:hAnsi="Arial"/>
                <w:sz w:val="14"/>
                <w:szCs w:val="14"/>
                <w:color w:val="0000FF"/>
              </w:rPr>
            </w:pPr>
            <w:hyperlink r:id="rId35">
              <w:r>
                <w:rPr>
                  <w:rFonts w:ascii="Arial" w:cs="Arial" w:eastAsia="Arial" w:hAnsi="Arial"/>
                  <w:sz w:val="14"/>
                  <w:szCs w:val="14"/>
                  <w:color w:val="0000FF"/>
                </w:rPr>
                <w:t>10.</w:t>
              </w:r>
              <w:r>
                <w:rPr>
                  <w:rFonts w:ascii="Arial" w:cs="Arial" w:eastAsia="Arial" w:hAnsi="Arial"/>
                  <w:sz w:val="14"/>
                  <w:szCs w:val="14"/>
                  <w:u w:val="single" w:color="auto"/>
                  <w:color w:val="0000FF"/>
                </w:rPr>
                <w:t>12</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Fortinet, Inc. Bonus Plan</w:t>
            </w:r>
          </w:p>
        </w:tc>
      </w:tr>
      <w:tr>
        <w:trPr>
          <w:trHeight w:val="20"/>
        </w:trPr>
        <w:tc>
          <w:tcPr>
            <w:tcW w:w="32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453"/>
        </w:trPr>
        <w:tc>
          <w:tcPr>
            <w:tcW w:w="640" w:type="dxa"/>
            <w:vAlign w:val="bottom"/>
            <w:gridSpan w:val="5"/>
          </w:tcPr>
          <w:p>
            <w:pPr>
              <w:spacing w:after="0"/>
              <w:rPr>
                <w:rFonts w:ascii="Arial" w:cs="Arial" w:eastAsia="Arial" w:hAnsi="Arial"/>
                <w:sz w:val="14"/>
                <w:szCs w:val="14"/>
                <w:color w:val="0000FF"/>
              </w:rPr>
            </w:pPr>
            <w:hyperlink r:id="rId36">
              <w:r>
                <w:rPr>
                  <w:rFonts w:ascii="Arial" w:cs="Arial" w:eastAsia="Arial" w:hAnsi="Arial"/>
                  <w:sz w:val="14"/>
                  <w:szCs w:val="14"/>
                  <w:color w:val="0000FF"/>
                </w:rPr>
                <w:t>10.</w:t>
              </w:r>
              <w:r>
                <w:rPr>
                  <w:rFonts w:ascii="Arial" w:cs="Arial" w:eastAsia="Arial" w:hAnsi="Arial"/>
                  <w:sz w:val="14"/>
                  <w:szCs w:val="14"/>
                  <w:u w:val="single" w:color="auto"/>
                  <w:color w:val="0000FF"/>
                </w:rPr>
                <w:t>13</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rPr>
              <w:t>Fortinet, Inc. Cash and Equity Incentive Plan</w:t>
            </w:r>
          </w:p>
        </w:tc>
      </w:tr>
      <w:tr>
        <w:trPr>
          <w:trHeight w:val="20"/>
        </w:trPr>
        <w:tc>
          <w:tcPr>
            <w:tcW w:w="32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372"/>
        </w:trPr>
        <w:tc>
          <w:tcPr>
            <w:tcW w:w="640" w:type="dxa"/>
            <w:vAlign w:val="bottom"/>
            <w:gridSpan w:val="5"/>
          </w:tcPr>
          <w:p>
            <w:pPr>
              <w:spacing w:after="0"/>
              <w:rPr>
                <w:rFonts w:ascii="Arial" w:cs="Arial" w:eastAsia="Arial" w:hAnsi="Arial"/>
                <w:sz w:val="14"/>
                <w:szCs w:val="14"/>
                <w:color w:val="0000FF"/>
              </w:rPr>
            </w:pPr>
            <w:hyperlink r:id="rId37">
              <w:r>
                <w:rPr>
                  <w:rFonts w:ascii="Arial" w:cs="Arial" w:eastAsia="Arial" w:hAnsi="Arial"/>
                  <w:sz w:val="14"/>
                  <w:szCs w:val="14"/>
                  <w:color w:val="0000FF"/>
                </w:rPr>
                <w:t>10.</w:t>
              </w:r>
              <w:r>
                <w:rPr>
                  <w:rFonts w:ascii="Arial" w:cs="Arial" w:eastAsia="Arial" w:hAnsi="Arial"/>
                  <w:sz w:val="14"/>
                  <w:szCs w:val="14"/>
                  <w:u w:val="single" w:color="auto"/>
                  <w:color w:val="0000FF"/>
                </w:rPr>
                <w:t>14</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2"/>
              </w:rPr>
              <w:t>Form of Change of Control Agreement between the Company and</w:t>
            </w:r>
          </w:p>
        </w:tc>
      </w:tr>
      <w:tr>
        <w:trPr>
          <w:trHeight w:val="162"/>
        </w:trPr>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its directors</w:t>
            </w:r>
          </w:p>
        </w:tc>
      </w:tr>
      <w:tr>
        <w:trPr>
          <w:trHeight w:val="290"/>
        </w:trPr>
        <w:tc>
          <w:tcPr>
            <w:tcW w:w="640" w:type="dxa"/>
            <w:vAlign w:val="bottom"/>
            <w:gridSpan w:val="5"/>
          </w:tcPr>
          <w:p>
            <w:pPr>
              <w:spacing w:after="0"/>
              <w:rPr>
                <w:rFonts w:ascii="Arial" w:cs="Arial" w:eastAsia="Arial" w:hAnsi="Arial"/>
                <w:sz w:val="14"/>
                <w:szCs w:val="14"/>
                <w:color w:val="0000FF"/>
              </w:rPr>
            </w:pPr>
            <w:hyperlink r:id="rId38">
              <w:r>
                <w:rPr>
                  <w:rFonts w:ascii="Arial" w:cs="Arial" w:eastAsia="Arial" w:hAnsi="Arial"/>
                  <w:sz w:val="14"/>
                  <w:szCs w:val="14"/>
                  <w:color w:val="0000FF"/>
                </w:rPr>
                <w:t>10.</w:t>
              </w:r>
              <w:r>
                <w:rPr>
                  <w:rFonts w:ascii="Arial" w:cs="Arial" w:eastAsia="Arial" w:hAnsi="Arial"/>
                  <w:sz w:val="14"/>
                  <w:szCs w:val="14"/>
                  <w:u w:val="single" w:color="auto"/>
                  <w:color w:val="0000FF"/>
                </w:rPr>
                <w:t>15</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1"/>
              </w:rPr>
              <w:t>Amended and Restated Change of Control Agreement, dated as of</w:t>
            </w:r>
          </w:p>
        </w:tc>
      </w:tr>
      <w:tr>
        <w:trPr>
          <w:trHeight w:val="162"/>
        </w:trPr>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February 4, 2016, between the Company and Ken Xie</w:t>
            </w:r>
          </w:p>
        </w:tc>
      </w:tr>
      <w:tr>
        <w:trPr>
          <w:trHeight w:val="290"/>
        </w:trPr>
        <w:tc>
          <w:tcPr>
            <w:tcW w:w="640" w:type="dxa"/>
            <w:vAlign w:val="bottom"/>
            <w:gridSpan w:val="5"/>
          </w:tcPr>
          <w:p>
            <w:pPr>
              <w:spacing w:after="0"/>
              <w:rPr>
                <w:rFonts w:ascii="Arial" w:cs="Arial" w:eastAsia="Arial" w:hAnsi="Arial"/>
                <w:sz w:val="14"/>
                <w:szCs w:val="14"/>
                <w:color w:val="0000FF"/>
              </w:rPr>
            </w:pPr>
            <w:hyperlink r:id="rId39">
              <w:r>
                <w:rPr>
                  <w:rFonts w:ascii="Arial" w:cs="Arial" w:eastAsia="Arial" w:hAnsi="Arial"/>
                  <w:sz w:val="14"/>
                  <w:szCs w:val="14"/>
                  <w:color w:val="0000FF"/>
                </w:rPr>
                <w:t>10.</w:t>
              </w:r>
              <w:r>
                <w:rPr>
                  <w:rFonts w:ascii="Arial" w:cs="Arial" w:eastAsia="Arial" w:hAnsi="Arial"/>
                  <w:sz w:val="14"/>
                  <w:szCs w:val="14"/>
                  <w:u w:val="single" w:color="auto"/>
                  <w:color w:val="0000FF"/>
                </w:rPr>
                <w:t>16</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1"/>
              </w:rPr>
              <w:t>Amended and Restated Change of Control Agreement, dated as of</w:t>
            </w:r>
          </w:p>
        </w:tc>
      </w:tr>
      <w:tr>
        <w:trPr>
          <w:trHeight w:val="162"/>
        </w:trPr>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February 4, 2016, between the Company and Michael Xie</w:t>
            </w:r>
          </w:p>
        </w:tc>
      </w:tr>
      <w:tr>
        <w:trPr>
          <w:trHeight w:val="290"/>
        </w:trPr>
        <w:tc>
          <w:tcPr>
            <w:tcW w:w="640" w:type="dxa"/>
            <w:vAlign w:val="bottom"/>
            <w:gridSpan w:val="5"/>
          </w:tcPr>
          <w:p>
            <w:pPr>
              <w:spacing w:after="0"/>
              <w:rPr>
                <w:rFonts w:ascii="Arial" w:cs="Arial" w:eastAsia="Arial" w:hAnsi="Arial"/>
                <w:sz w:val="14"/>
                <w:szCs w:val="14"/>
                <w:color w:val="0000FF"/>
              </w:rPr>
            </w:pPr>
            <w:hyperlink r:id="rId40">
              <w:r>
                <w:rPr>
                  <w:rFonts w:ascii="Arial" w:cs="Arial" w:eastAsia="Arial" w:hAnsi="Arial"/>
                  <w:sz w:val="14"/>
                  <w:szCs w:val="14"/>
                  <w:color w:val="0000FF"/>
                </w:rPr>
                <w:t>10.</w:t>
              </w:r>
              <w:r>
                <w:rPr>
                  <w:rFonts w:ascii="Arial" w:cs="Arial" w:eastAsia="Arial" w:hAnsi="Arial"/>
                  <w:sz w:val="14"/>
                  <w:szCs w:val="14"/>
                  <w:u w:val="single" w:color="auto"/>
                  <w:color w:val="0000FF"/>
                </w:rPr>
                <w:t>17</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1"/>
              </w:rPr>
              <w:t>Amended and Restated Change of Control Agreement, dated as of</w:t>
            </w:r>
          </w:p>
        </w:tc>
      </w:tr>
      <w:tr>
        <w:trPr>
          <w:trHeight w:val="162"/>
        </w:trPr>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rPr>
              <w:t>February 4, 2016, between the Company and John Whittle</w:t>
            </w:r>
          </w:p>
        </w:tc>
      </w:tr>
      <w:tr>
        <w:trPr>
          <w:trHeight w:val="290"/>
        </w:trPr>
        <w:tc>
          <w:tcPr>
            <w:tcW w:w="640" w:type="dxa"/>
            <w:vAlign w:val="bottom"/>
            <w:gridSpan w:val="5"/>
          </w:tcPr>
          <w:p>
            <w:pPr>
              <w:spacing w:after="0"/>
              <w:rPr>
                <w:rFonts w:ascii="Arial" w:cs="Arial" w:eastAsia="Arial" w:hAnsi="Arial"/>
                <w:sz w:val="14"/>
                <w:szCs w:val="14"/>
                <w:color w:val="0000FF"/>
              </w:rPr>
            </w:pPr>
            <w:hyperlink r:id="rId41">
              <w:r>
                <w:rPr>
                  <w:rFonts w:ascii="Arial" w:cs="Arial" w:eastAsia="Arial" w:hAnsi="Arial"/>
                  <w:sz w:val="14"/>
                  <w:szCs w:val="14"/>
                  <w:color w:val="0000FF"/>
                </w:rPr>
                <w:t>10.</w:t>
              </w:r>
              <w:r>
                <w:rPr>
                  <w:rFonts w:ascii="Arial" w:cs="Arial" w:eastAsia="Arial" w:hAnsi="Arial"/>
                  <w:sz w:val="14"/>
                  <w:szCs w:val="14"/>
                  <w:u w:val="single" w:color="auto"/>
                  <w:color w:val="0000FF"/>
                </w:rPr>
                <w:t>18</w:t>
              </w:r>
            </w:hyperlink>
            <w:r>
              <w:rPr>
                <w:rFonts w:ascii="Arial" w:cs="Arial" w:eastAsia="Arial" w:hAnsi="Arial"/>
                <w:sz w:val="8"/>
                <w:szCs w:val="8"/>
                <w:color w:val="000000"/>
              </w:rPr>
              <w:t>†</w:t>
            </w:r>
          </w:p>
        </w:tc>
        <w:tc>
          <w:tcPr>
            <w:tcW w:w="4100" w:type="dxa"/>
            <w:vAlign w:val="bottom"/>
          </w:tcPr>
          <w:p>
            <w:pPr>
              <w:ind w:left="280"/>
              <w:spacing w:after="0"/>
              <w:rPr>
                <w:sz w:val="20"/>
                <w:szCs w:val="20"/>
                <w:color w:val="auto"/>
              </w:rPr>
            </w:pPr>
            <w:r>
              <w:rPr>
                <w:rFonts w:ascii="Arial" w:cs="Arial" w:eastAsia="Arial" w:hAnsi="Arial"/>
                <w:sz w:val="14"/>
                <w:szCs w:val="14"/>
                <w:color w:val="auto"/>
                <w:w w:val="91"/>
              </w:rPr>
              <w:t>Amended and Restated Change of Control Agreement, dated as of</w:t>
            </w:r>
          </w:p>
        </w:tc>
      </w:tr>
      <w:tr>
        <w:trPr>
          <w:trHeight w:val="162"/>
        </w:trPr>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tcPr>
          <w:p>
            <w:pPr>
              <w:ind w:left="280"/>
              <w:spacing w:after="0"/>
              <w:rPr>
                <w:sz w:val="20"/>
                <w:szCs w:val="20"/>
                <w:color w:val="auto"/>
              </w:rPr>
            </w:pPr>
            <w:r>
              <w:rPr>
                <w:rFonts w:ascii="Arial" w:cs="Arial" w:eastAsia="Arial" w:hAnsi="Arial"/>
                <w:sz w:val="14"/>
                <w:szCs w:val="14"/>
                <w:color w:val="auto"/>
                <w:w w:val="95"/>
              </w:rPr>
              <w:t>February 4, 2016, between the Company and Andrew Del Matto</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Registration Statement on Form S-l (File No. 333-161190)</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Current Report on Form 8-K (File No. 001-34511)</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Registration Statement on Form S-l, as amended (File No. 333-161190)</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Registration Statement on Form S-l (File No. 333-161190)</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Registration Statement on Form S-l (File No. 333-161190)</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Registration Statement on Form S-l (File No. 333-161190)</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Registration Statement on Form S-l (File No. 333-161190)</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Annual Report on Form 10-K (File No. 001-34511)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Quarterly Report on Form 10-Q (File No. 001-34511)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Annual Report on Form 10-K (File No. 001-34511)</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Current Report on Form 8-K (File No. 001-34511)</w:t>
      </w: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Registration Statement on Form S-8 (File No. 333-205958)</w:t>
      </w: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auto"/>
        </w:rPr>
        <w:t>Registration Statement on Form S-8 (File No. 333-205958)</w:t>
      </w: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auto"/>
        </w:rPr>
        <w:t>Registration Statement on Form S-8 (File No. 333-205958)</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Current Report on Form 8-K (File No. 001-34511)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Quarterly Report on Form 10-Q (File No. 001-34511)</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Quarterly Report on Form 10-Q (File No. 001-34511)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Annual Report on Form 10-K (File No. 001-34511)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Annual Report on Form 10-K (File No. 001-34511)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Annual Report on Form 10-K (File No. 001-34511)</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Annual Report on Form 10-K (File No. 001-34511)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580" w:type="dxa"/>
            <w:vAlign w:val="bottom"/>
          </w:tcPr>
          <w:p>
            <w:pPr>
              <w:ind w:left="260"/>
              <w:spacing w:after="0"/>
              <w:rPr>
                <w:sz w:val="20"/>
                <w:szCs w:val="20"/>
                <w:color w:val="auto"/>
              </w:rPr>
            </w:pPr>
            <w:r>
              <w:rPr>
                <w:rFonts w:ascii="Arial" w:cs="Arial" w:eastAsia="Arial" w:hAnsi="Arial"/>
                <w:sz w:val="14"/>
                <w:szCs w:val="14"/>
                <w:color w:val="auto"/>
              </w:rPr>
              <w:t>3.2</w:t>
            </w: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April 21, 2014</w:t>
            </w:r>
          </w:p>
        </w:tc>
        <w:tc>
          <w:tcPr>
            <w:tcW w:w="580" w:type="dxa"/>
            <w:vAlign w:val="bottom"/>
          </w:tcPr>
          <w:p>
            <w:pPr>
              <w:ind w:left="260"/>
              <w:spacing w:after="0"/>
              <w:rPr>
                <w:sz w:val="20"/>
                <w:szCs w:val="20"/>
                <w:color w:val="auto"/>
              </w:rPr>
            </w:pPr>
            <w:r>
              <w:rPr>
                <w:rFonts w:ascii="Arial" w:cs="Arial" w:eastAsia="Arial" w:hAnsi="Arial"/>
                <w:sz w:val="14"/>
                <w:szCs w:val="14"/>
                <w:color w:val="auto"/>
              </w:rPr>
              <w:t>3.1</w:t>
            </w: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November 2, 2009</w:t>
            </w:r>
          </w:p>
        </w:tc>
        <w:tc>
          <w:tcPr>
            <w:tcW w:w="580" w:type="dxa"/>
            <w:vAlign w:val="bottom"/>
          </w:tcPr>
          <w:p>
            <w:pPr>
              <w:ind w:left="260"/>
              <w:spacing w:after="0"/>
              <w:rPr>
                <w:sz w:val="20"/>
                <w:szCs w:val="20"/>
                <w:color w:val="auto"/>
              </w:rPr>
            </w:pPr>
            <w:r>
              <w:rPr>
                <w:rFonts w:ascii="Arial" w:cs="Arial" w:eastAsia="Arial" w:hAnsi="Arial"/>
                <w:sz w:val="14"/>
                <w:szCs w:val="14"/>
                <w:color w:val="auto"/>
              </w:rPr>
              <w:t>4.1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580" w:type="dxa"/>
            <w:vAlign w:val="bottom"/>
          </w:tcPr>
          <w:p>
            <w:pPr>
              <w:ind w:left="260"/>
              <w:spacing w:after="0"/>
              <w:rPr>
                <w:sz w:val="20"/>
                <w:szCs w:val="20"/>
                <w:color w:val="auto"/>
              </w:rPr>
            </w:pPr>
            <w:r>
              <w:rPr>
                <w:rFonts w:ascii="Arial" w:cs="Arial" w:eastAsia="Arial" w:hAnsi="Arial"/>
                <w:sz w:val="14"/>
                <w:szCs w:val="14"/>
                <w:color w:val="auto"/>
              </w:rPr>
              <w:t>10.1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580" w:type="dxa"/>
            <w:vAlign w:val="bottom"/>
          </w:tcPr>
          <w:p>
            <w:pPr>
              <w:ind w:left="260"/>
              <w:spacing w:after="0"/>
              <w:rPr>
                <w:sz w:val="20"/>
                <w:szCs w:val="20"/>
                <w:color w:val="auto"/>
              </w:rPr>
            </w:pPr>
            <w:r>
              <w:rPr>
                <w:rFonts w:ascii="Arial" w:cs="Arial" w:eastAsia="Arial" w:hAnsi="Arial"/>
                <w:sz w:val="14"/>
                <w:szCs w:val="14"/>
                <w:color w:val="auto"/>
              </w:rPr>
              <w:t>10.2</w:t>
            </w: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580" w:type="dxa"/>
            <w:vAlign w:val="bottom"/>
          </w:tcPr>
          <w:p>
            <w:pPr>
              <w:ind w:left="260"/>
              <w:spacing w:after="0"/>
              <w:rPr>
                <w:sz w:val="20"/>
                <w:szCs w:val="20"/>
                <w:color w:val="auto"/>
              </w:rPr>
            </w:pPr>
            <w:r>
              <w:rPr>
                <w:rFonts w:ascii="Arial" w:cs="Arial" w:eastAsia="Arial" w:hAnsi="Arial"/>
                <w:sz w:val="14"/>
                <w:szCs w:val="14"/>
                <w:color w:val="auto"/>
              </w:rPr>
              <w:t>10.3</w:t>
            </w: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August 10, 2009</w:t>
            </w:r>
          </w:p>
        </w:tc>
        <w:tc>
          <w:tcPr>
            <w:tcW w:w="580" w:type="dxa"/>
            <w:vAlign w:val="bottom"/>
          </w:tcPr>
          <w:p>
            <w:pPr>
              <w:ind w:left="260"/>
              <w:spacing w:after="0"/>
              <w:rPr>
                <w:sz w:val="20"/>
                <w:szCs w:val="20"/>
                <w:color w:val="auto"/>
              </w:rPr>
            </w:pPr>
            <w:r>
              <w:rPr>
                <w:rFonts w:ascii="Arial" w:cs="Arial" w:eastAsia="Arial" w:hAnsi="Arial"/>
                <w:sz w:val="14"/>
                <w:szCs w:val="14"/>
                <w:color w:val="auto"/>
              </w:rPr>
              <w:t>10.4</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February 28, 2012</w:t>
            </w:r>
          </w:p>
        </w:tc>
        <w:tc>
          <w:tcPr>
            <w:tcW w:w="580" w:type="dxa"/>
            <w:vAlign w:val="bottom"/>
          </w:tcPr>
          <w:p>
            <w:pPr>
              <w:ind w:left="260"/>
              <w:spacing w:after="0"/>
              <w:rPr>
                <w:sz w:val="20"/>
                <w:szCs w:val="20"/>
                <w:color w:val="auto"/>
              </w:rPr>
            </w:pPr>
            <w:r>
              <w:rPr>
                <w:rFonts w:ascii="Arial" w:cs="Arial" w:eastAsia="Arial" w:hAnsi="Arial"/>
                <w:sz w:val="14"/>
                <w:szCs w:val="14"/>
                <w:color w:val="auto"/>
              </w:rPr>
              <w:t>10.5</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August 6, 2013</w:t>
            </w:r>
          </w:p>
        </w:tc>
        <w:tc>
          <w:tcPr>
            <w:tcW w:w="580" w:type="dxa"/>
            <w:vAlign w:val="bottom"/>
          </w:tcPr>
          <w:p>
            <w:pPr>
              <w:ind w:left="260"/>
              <w:spacing w:after="0"/>
              <w:rPr>
                <w:sz w:val="20"/>
                <w:szCs w:val="20"/>
                <w:color w:val="auto"/>
              </w:rPr>
            </w:pPr>
            <w:r>
              <w:rPr>
                <w:rFonts w:ascii="Arial" w:cs="Arial" w:eastAsia="Arial" w:hAnsi="Arial"/>
                <w:sz w:val="14"/>
                <w:szCs w:val="14"/>
                <w:color w:val="auto"/>
              </w:rPr>
              <w:t>99.1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March 2, 2015</w:t>
            </w:r>
          </w:p>
        </w:tc>
        <w:tc>
          <w:tcPr>
            <w:tcW w:w="580" w:type="dxa"/>
            <w:vAlign w:val="bottom"/>
          </w:tcPr>
          <w:p>
            <w:pPr>
              <w:ind w:left="260"/>
              <w:spacing w:after="0"/>
              <w:rPr>
                <w:sz w:val="20"/>
                <w:szCs w:val="20"/>
                <w:color w:val="auto"/>
              </w:rPr>
            </w:pPr>
            <w:r>
              <w:rPr>
                <w:rFonts w:ascii="Arial" w:cs="Arial" w:eastAsia="Arial" w:hAnsi="Arial"/>
                <w:sz w:val="14"/>
                <w:szCs w:val="14"/>
                <w:color w:val="auto"/>
              </w:rPr>
              <w:t>10.7</w:t>
            </w:r>
          </w:p>
        </w:tc>
      </w:tr>
      <w:tr>
        <w:trPr>
          <w:trHeight w:val="621"/>
        </w:trPr>
        <w:tc>
          <w:tcPr>
            <w:tcW w:w="1320" w:type="dxa"/>
            <w:vAlign w:val="bottom"/>
          </w:tcPr>
          <w:p>
            <w:pPr>
              <w:spacing w:after="0"/>
              <w:rPr>
                <w:sz w:val="20"/>
                <w:szCs w:val="20"/>
                <w:color w:val="auto"/>
              </w:rPr>
            </w:pPr>
            <w:r>
              <w:rPr>
                <w:rFonts w:ascii="Arial" w:cs="Arial" w:eastAsia="Arial" w:hAnsi="Arial"/>
                <w:sz w:val="14"/>
                <w:szCs w:val="14"/>
                <w:color w:val="auto"/>
              </w:rPr>
              <w:t>June 27, 2011</w:t>
            </w:r>
          </w:p>
        </w:tc>
        <w:tc>
          <w:tcPr>
            <w:tcW w:w="580" w:type="dxa"/>
            <w:vAlign w:val="bottom"/>
          </w:tcPr>
          <w:p>
            <w:pPr>
              <w:ind w:left="260"/>
              <w:spacing w:after="0"/>
              <w:rPr>
                <w:sz w:val="20"/>
                <w:szCs w:val="20"/>
                <w:color w:val="auto"/>
              </w:rPr>
            </w:pPr>
            <w:r>
              <w:rPr>
                <w:rFonts w:ascii="Arial" w:cs="Arial" w:eastAsia="Arial" w:hAnsi="Arial"/>
                <w:sz w:val="14"/>
                <w:szCs w:val="14"/>
                <w:color w:val="auto"/>
              </w:rPr>
              <w:t>10.1</w:t>
            </w: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July 30, 2015</w:t>
            </w:r>
          </w:p>
        </w:tc>
        <w:tc>
          <w:tcPr>
            <w:tcW w:w="580" w:type="dxa"/>
            <w:vAlign w:val="bottom"/>
          </w:tcPr>
          <w:p>
            <w:pPr>
              <w:ind w:left="260"/>
              <w:spacing w:after="0"/>
              <w:rPr>
                <w:sz w:val="20"/>
                <w:szCs w:val="20"/>
                <w:color w:val="auto"/>
              </w:rPr>
            </w:pPr>
            <w:r>
              <w:rPr>
                <w:rFonts w:ascii="Arial" w:cs="Arial" w:eastAsia="Arial" w:hAnsi="Arial"/>
                <w:sz w:val="14"/>
                <w:szCs w:val="14"/>
                <w:color w:val="auto"/>
              </w:rPr>
              <w:t>99.1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July 30, 2015</w:t>
            </w:r>
          </w:p>
        </w:tc>
        <w:tc>
          <w:tcPr>
            <w:tcW w:w="580" w:type="dxa"/>
            <w:vAlign w:val="bottom"/>
          </w:tcPr>
          <w:p>
            <w:pPr>
              <w:ind w:left="260"/>
              <w:spacing w:after="0"/>
              <w:rPr>
                <w:sz w:val="20"/>
                <w:szCs w:val="20"/>
                <w:color w:val="auto"/>
              </w:rPr>
            </w:pPr>
            <w:r>
              <w:rPr>
                <w:rFonts w:ascii="Arial" w:cs="Arial" w:eastAsia="Arial" w:hAnsi="Arial"/>
                <w:sz w:val="14"/>
                <w:szCs w:val="14"/>
                <w:color w:val="auto"/>
              </w:rPr>
              <w:t>99.2</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July 30, 2015</w:t>
            </w:r>
          </w:p>
        </w:tc>
        <w:tc>
          <w:tcPr>
            <w:tcW w:w="580" w:type="dxa"/>
            <w:vAlign w:val="bottom"/>
          </w:tcPr>
          <w:p>
            <w:pPr>
              <w:ind w:left="260"/>
              <w:spacing w:after="0"/>
              <w:rPr>
                <w:sz w:val="20"/>
                <w:szCs w:val="20"/>
                <w:color w:val="auto"/>
              </w:rPr>
            </w:pPr>
            <w:r>
              <w:rPr>
                <w:rFonts w:ascii="Arial" w:cs="Arial" w:eastAsia="Arial" w:hAnsi="Arial"/>
                <w:sz w:val="14"/>
                <w:szCs w:val="14"/>
                <w:color w:val="auto"/>
              </w:rPr>
              <w:t>99.3</w:t>
            </w:r>
          </w:p>
        </w:tc>
      </w:tr>
      <w:tr>
        <w:trPr>
          <w:trHeight w:val="621"/>
        </w:trPr>
        <w:tc>
          <w:tcPr>
            <w:tcW w:w="1320" w:type="dxa"/>
            <w:vAlign w:val="bottom"/>
          </w:tcPr>
          <w:p>
            <w:pPr>
              <w:spacing w:after="0"/>
              <w:rPr>
                <w:sz w:val="20"/>
                <w:szCs w:val="20"/>
                <w:color w:val="auto"/>
              </w:rPr>
            </w:pPr>
            <w:r>
              <w:rPr>
                <w:rFonts w:ascii="Arial" w:cs="Arial" w:eastAsia="Arial" w:hAnsi="Arial"/>
                <w:sz w:val="14"/>
                <w:szCs w:val="14"/>
                <w:color w:val="auto"/>
              </w:rPr>
              <w:t>January 26, 2010</w:t>
            </w:r>
          </w:p>
        </w:tc>
        <w:tc>
          <w:tcPr>
            <w:tcW w:w="580" w:type="dxa"/>
            <w:vAlign w:val="bottom"/>
          </w:tcPr>
          <w:p>
            <w:pPr>
              <w:ind w:left="260"/>
              <w:spacing w:after="0"/>
              <w:rPr>
                <w:sz w:val="20"/>
                <w:szCs w:val="20"/>
                <w:color w:val="auto"/>
              </w:rPr>
            </w:pPr>
            <w:r>
              <w:rPr>
                <w:rFonts w:ascii="Arial" w:cs="Arial" w:eastAsia="Arial" w:hAnsi="Arial"/>
                <w:sz w:val="14"/>
                <w:szCs w:val="14"/>
                <w:color w:val="auto"/>
              </w:rPr>
              <w:t>10.1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November 5, 2013</w:t>
            </w:r>
          </w:p>
        </w:tc>
        <w:tc>
          <w:tcPr>
            <w:tcW w:w="580" w:type="dxa"/>
            <w:vAlign w:val="bottom"/>
          </w:tcPr>
          <w:p>
            <w:pPr>
              <w:ind w:left="260"/>
              <w:spacing w:after="0"/>
              <w:rPr>
                <w:sz w:val="20"/>
                <w:szCs w:val="20"/>
                <w:color w:val="auto"/>
              </w:rPr>
            </w:pPr>
            <w:r>
              <w:rPr>
                <w:rFonts w:ascii="Arial" w:cs="Arial" w:eastAsia="Arial" w:hAnsi="Arial"/>
                <w:sz w:val="14"/>
                <w:szCs w:val="14"/>
                <w:color w:val="auto"/>
              </w:rPr>
              <w:t>10.1</w:t>
            </w:r>
          </w:p>
        </w:tc>
      </w:tr>
      <w:tr>
        <w:trPr>
          <w:trHeight w:val="392"/>
        </w:trPr>
        <w:tc>
          <w:tcPr>
            <w:tcW w:w="1320" w:type="dxa"/>
            <w:vAlign w:val="bottom"/>
          </w:tcPr>
          <w:p>
            <w:pPr>
              <w:spacing w:after="0"/>
              <w:rPr>
                <w:sz w:val="20"/>
                <w:szCs w:val="20"/>
                <w:color w:val="auto"/>
              </w:rPr>
            </w:pPr>
            <w:r>
              <w:rPr>
                <w:rFonts w:ascii="Arial" w:cs="Arial" w:eastAsia="Arial" w:hAnsi="Arial"/>
                <w:sz w:val="14"/>
                <w:szCs w:val="14"/>
                <w:color w:val="auto"/>
              </w:rPr>
              <w:t>August 4, 2015</w:t>
            </w:r>
          </w:p>
        </w:tc>
        <w:tc>
          <w:tcPr>
            <w:tcW w:w="580" w:type="dxa"/>
            <w:vAlign w:val="bottom"/>
          </w:tcPr>
          <w:p>
            <w:pPr>
              <w:ind w:left="260"/>
              <w:spacing w:after="0"/>
              <w:rPr>
                <w:sz w:val="20"/>
                <w:szCs w:val="20"/>
                <w:color w:val="auto"/>
              </w:rPr>
            </w:pPr>
            <w:r>
              <w:rPr>
                <w:rFonts w:ascii="Arial" w:cs="Arial" w:eastAsia="Arial" w:hAnsi="Arial"/>
                <w:sz w:val="14"/>
                <w:szCs w:val="14"/>
                <w:color w:val="auto"/>
              </w:rPr>
              <w:t>10.1</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February 26, 2016</w:t>
            </w:r>
          </w:p>
        </w:tc>
        <w:tc>
          <w:tcPr>
            <w:tcW w:w="580" w:type="dxa"/>
            <w:vAlign w:val="bottom"/>
          </w:tcPr>
          <w:p>
            <w:pPr>
              <w:ind w:left="260"/>
              <w:spacing w:after="0"/>
              <w:rPr>
                <w:sz w:val="20"/>
                <w:szCs w:val="20"/>
                <w:color w:val="auto"/>
              </w:rPr>
            </w:pPr>
            <w:r>
              <w:rPr>
                <w:rFonts w:ascii="Arial" w:cs="Arial" w:eastAsia="Arial" w:hAnsi="Arial"/>
                <w:sz w:val="14"/>
                <w:szCs w:val="14"/>
                <w:color w:val="auto"/>
                <w:w w:val="85"/>
              </w:rPr>
              <w:t>10.15</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February 26, 2016</w:t>
            </w:r>
          </w:p>
        </w:tc>
        <w:tc>
          <w:tcPr>
            <w:tcW w:w="580" w:type="dxa"/>
            <w:vAlign w:val="bottom"/>
          </w:tcPr>
          <w:p>
            <w:pPr>
              <w:ind w:left="260"/>
              <w:spacing w:after="0"/>
              <w:rPr>
                <w:sz w:val="20"/>
                <w:szCs w:val="20"/>
                <w:color w:val="auto"/>
              </w:rPr>
            </w:pPr>
            <w:r>
              <w:rPr>
                <w:rFonts w:ascii="Arial" w:cs="Arial" w:eastAsia="Arial" w:hAnsi="Arial"/>
                <w:sz w:val="14"/>
                <w:szCs w:val="14"/>
                <w:color w:val="auto"/>
                <w:w w:val="85"/>
              </w:rPr>
              <w:t>10.16</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February 26, 2016</w:t>
            </w:r>
          </w:p>
        </w:tc>
        <w:tc>
          <w:tcPr>
            <w:tcW w:w="580" w:type="dxa"/>
            <w:vAlign w:val="bottom"/>
          </w:tcPr>
          <w:p>
            <w:pPr>
              <w:ind w:left="260"/>
              <w:spacing w:after="0"/>
              <w:rPr>
                <w:sz w:val="20"/>
                <w:szCs w:val="20"/>
                <w:color w:val="auto"/>
              </w:rPr>
            </w:pPr>
            <w:r>
              <w:rPr>
                <w:rFonts w:ascii="Arial" w:cs="Arial" w:eastAsia="Arial" w:hAnsi="Arial"/>
                <w:sz w:val="14"/>
                <w:szCs w:val="14"/>
                <w:color w:val="auto"/>
                <w:w w:val="85"/>
              </w:rPr>
              <w:t>10.17</w:t>
            </w:r>
          </w:p>
        </w:tc>
      </w:tr>
      <w:tr>
        <w:trPr>
          <w:trHeight w:val="473"/>
        </w:trPr>
        <w:tc>
          <w:tcPr>
            <w:tcW w:w="1320" w:type="dxa"/>
            <w:vAlign w:val="bottom"/>
          </w:tcPr>
          <w:p>
            <w:pPr>
              <w:spacing w:after="0"/>
              <w:rPr>
                <w:sz w:val="20"/>
                <w:szCs w:val="20"/>
                <w:color w:val="auto"/>
              </w:rPr>
            </w:pPr>
            <w:r>
              <w:rPr>
                <w:rFonts w:ascii="Arial" w:cs="Arial" w:eastAsia="Arial" w:hAnsi="Arial"/>
                <w:sz w:val="14"/>
                <w:szCs w:val="14"/>
                <w:color w:val="auto"/>
              </w:rPr>
              <w:t>February 26, 2016</w:t>
            </w:r>
          </w:p>
        </w:tc>
        <w:tc>
          <w:tcPr>
            <w:tcW w:w="580" w:type="dxa"/>
            <w:vAlign w:val="bottom"/>
          </w:tcPr>
          <w:p>
            <w:pPr>
              <w:ind w:left="260"/>
              <w:spacing w:after="0"/>
              <w:rPr>
                <w:sz w:val="20"/>
                <w:szCs w:val="20"/>
                <w:color w:val="auto"/>
              </w:rPr>
            </w:pPr>
            <w:r>
              <w:rPr>
                <w:rFonts w:ascii="Arial" w:cs="Arial" w:eastAsia="Arial" w:hAnsi="Arial"/>
                <w:sz w:val="14"/>
                <w:szCs w:val="14"/>
                <w:color w:val="auto"/>
                <w:w w:val="85"/>
              </w:rPr>
              <w:t>10.18</w:t>
            </w:r>
          </w:p>
        </w:tc>
      </w:tr>
    </w:tbl>
    <w:p>
      <w:pPr>
        <w:spacing w:after="0" w:line="353" w:lineRule="exact"/>
        <w:rPr>
          <w:sz w:val="20"/>
          <w:szCs w:val="20"/>
          <w:color w:val="auto"/>
        </w:rPr>
      </w:pPr>
    </w:p>
    <w:p>
      <w:pPr>
        <w:sectPr>
          <w:pgSz w:w="11900" w:h="16838" w:orient="portrait"/>
          <w:cols w:equalWidth="0" w:num="3">
            <w:col w:w="4780" w:space="200"/>
            <w:col w:w="3640" w:space="340"/>
            <w:col w:w="2260"/>
          </w:cols>
          <w:pgMar w:left="240" w:top="121" w:right="439" w:bottom="1440" w:gutter="0" w:footer="0" w:header="0"/>
          <w:type w:val="continuous"/>
        </w:sectPr>
      </w:pP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220"/>
          </w:cols>
          <w:pgMar w:left="240" w:top="121" w:right="4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161"/>
        </w:trPr>
        <w:tc>
          <w:tcPr>
            <w:tcW w:w="4860" w:type="dxa"/>
            <w:vAlign w:val="bottom"/>
            <w:gridSpan w:val="6"/>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547"/>
        </w:trPr>
        <w:tc>
          <w:tcPr>
            <w:tcW w:w="40" w:type="dxa"/>
            <w:vAlign w:val="bottom"/>
          </w:tcPr>
          <w:p>
            <w:pPr>
              <w:spacing w:after="0"/>
              <w:rPr>
                <w:sz w:val="24"/>
                <w:szCs w:val="24"/>
                <w:color w:val="auto"/>
              </w:rPr>
            </w:pPr>
          </w:p>
        </w:tc>
        <w:tc>
          <w:tcPr>
            <w:tcW w:w="680" w:type="dxa"/>
            <w:vAlign w:val="bottom"/>
            <w:gridSpan w:val="3"/>
          </w:tcPr>
          <w:p>
            <w:pPr>
              <w:spacing w:after="0"/>
              <w:rPr>
                <w:rFonts w:ascii="Arial" w:cs="Arial" w:eastAsia="Arial" w:hAnsi="Arial"/>
                <w:sz w:val="14"/>
                <w:szCs w:val="14"/>
                <w:color w:val="0000FF"/>
              </w:rPr>
            </w:pPr>
            <w:hyperlink r:id="rId42">
              <w:r>
                <w:rPr>
                  <w:rFonts w:ascii="Arial" w:cs="Arial" w:eastAsia="Arial" w:hAnsi="Arial"/>
                  <w:sz w:val="14"/>
                  <w:szCs w:val="14"/>
                  <w:color w:val="0000FF"/>
                </w:rPr>
                <w:t>10.</w:t>
              </w:r>
              <w:r>
                <w:rPr>
                  <w:rFonts w:ascii="Arial" w:cs="Arial" w:eastAsia="Arial" w:hAnsi="Arial"/>
                  <w:sz w:val="14"/>
                  <w:szCs w:val="14"/>
                  <w:u w:val="single" w:color="auto"/>
                  <w:color w:val="0000FF"/>
                </w:rPr>
                <w:t>19</w:t>
              </w:r>
            </w:hyperlink>
            <w:r>
              <w:rPr>
                <w:rFonts w:ascii="Arial" w:cs="Arial" w:eastAsia="Arial" w:hAnsi="Arial"/>
                <w:sz w:val="8"/>
                <w:szCs w:val="8"/>
                <w:color w:val="000000"/>
              </w:rPr>
              <w:t>†</w:t>
            </w:r>
          </w:p>
        </w:tc>
        <w:tc>
          <w:tcPr>
            <w:tcW w:w="4140" w:type="dxa"/>
            <w:vAlign w:val="bottom"/>
            <w:gridSpan w:val="2"/>
          </w:tcPr>
          <w:p>
            <w:pPr>
              <w:ind w:left="240"/>
              <w:spacing w:after="0"/>
              <w:rPr>
                <w:sz w:val="20"/>
                <w:szCs w:val="20"/>
                <w:color w:val="auto"/>
              </w:rPr>
            </w:pPr>
            <w:r>
              <w:rPr>
                <w:rFonts w:ascii="Arial" w:cs="Arial" w:eastAsia="Arial" w:hAnsi="Arial"/>
                <w:sz w:val="14"/>
                <w:szCs w:val="14"/>
                <w:color w:val="auto"/>
              </w:rPr>
              <w:t>Offer Letter, dated as of August 31, 2007, by and between the</w:t>
            </w:r>
          </w:p>
        </w:tc>
        <w:tc>
          <w:tcPr>
            <w:tcW w:w="3940" w:type="dxa"/>
            <w:vAlign w:val="bottom"/>
          </w:tcPr>
          <w:p>
            <w:pPr>
              <w:ind w:left="120"/>
              <w:spacing w:after="0"/>
              <w:rPr>
                <w:sz w:val="20"/>
                <w:szCs w:val="20"/>
                <w:color w:val="auto"/>
              </w:rPr>
            </w:pPr>
            <w:r>
              <w:rPr>
                <w:rFonts w:ascii="Arial" w:cs="Arial" w:eastAsia="Arial" w:hAnsi="Arial"/>
                <w:sz w:val="14"/>
                <w:szCs w:val="14"/>
                <w:color w:val="auto"/>
                <w:w w:val="96"/>
              </w:rPr>
              <w:t>Registration Statement on Form S-l, as amended (File No. 333-</w:t>
            </w:r>
          </w:p>
        </w:tc>
        <w:tc>
          <w:tcPr>
            <w:tcW w:w="1520" w:type="dxa"/>
            <w:vAlign w:val="bottom"/>
          </w:tcPr>
          <w:p>
            <w:pPr>
              <w:ind w:left="160"/>
              <w:spacing w:after="0"/>
              <w:rPr>
                <w:sz w:val="20"/>
                <w:szCs w:val="20"/>
                <w:color w:val="auto"/>
              </w:rPr>
            </w:pPr>
            <w:r>
              <w:rPr>
                <w:rFonts w:ascii="Arial" w:cs="Arial" w:eastAsia="Arial" w:hAnsi="Arial"/>
                <w:sz w:val="14"/>
                <w:szCs w:val="14"/>
                <w:color w:val="auto"/>
              </w:rPr>
              <w:t>August 10, 2009</w:t>
            </w:r>
          </w:p>
        </w:tc>
        <w:tc>
          <w:tcPr>
            <w:tcW w:w="540" w:type="dxa"/>
            <w:vAlign w:val="bottom"/>
          </w:tcPr>
          <w:p>
            <w:pPr>
              <w:ind w:left="220"/>
              <w:spacing w:after="0"/>
              <w:rPr>
                <w:sz w:val="20"/>
                <w:szCs w:val="20"/>
                <w:color w:val="auto"/>
              </w:rPr>
            </w:pPr>
            <w:r>
              <w:rPr>
                <w:rFonts w:ascii="Arial" w:cs="Arial" w:eastAsia="Arial" w:hAnsi="Arial"/>
                <w:sz w:val="14"/>
                <w:szCs w:val="14"/>
                <w:color w:val="auto"/>
                <w:w w:val="85"/>
              </w:rPr>
              <w:t>10.10</w:t>
            </w:r>
          </w:p>
        </w:tc>
      </w:tr>
      <w:tr>
        <w:trPr>
          <w:trHeight w:val="162"/>
        </w:trPr>
        <w:tc>
          <w:tcPr>
            <w:tcW w:w="4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60" w:type="dxa"/>
            <w:vAlign w:val="bottom"/>
          </w:tcPr>
          <w:p>
            <w:pPr>
              <w:spacing w:after="0"/>
              <w:rPr>
                <w:sz w:val="14"/>
                <w:szCs w:val="14"/>
                <w:color w:val="auto"/>
              </w:rPr>
            </w:pPr>
          </w:p>
        </w:tc>
        <w:tc>
          <w:tcPr>
            <w:tcW w:w="4140" w:type="dxa"/>
            <w:vAlign w:val="bottom"/>
            <w:gridSpan w:val="2"/>
          </w:tcPr>
          <w:p>
            <w:pPr>
              <w:ind w:left="240"/>
              <w:spacing w:after="0"/>
              <w:rPr>
                <w:sz w:val="20"/>
                <w:szCs w:val="20"/>
                <w:color w:val="auto"/>
              </w:rPr>
            </w:pPr>
            <w:r>
              <w:rPr>
                <w:rFonts w:ascii="Arial" w:cs="Arial" w:eastAsia="Arial" w:hAnsi="Arial"/>
                <w:sz w:val="14"/>
                <w:szCs w:val="14"/>
                <w:color w:val="auto"/>
              </w:rPr>
              <w:t>Company and John Whittle</w:t>
            </w:r>
          </w:p>
        </w:tc>
        <w:tc>
          <w:tcPr>
            <w:tcW w:w="3940" w:type="dxa"/>
            <w:vAlign w:val="bottom"/>
          </w:tcPr>
          <w:p>
            <w:pPr>
              <w:ind w:left="120"/>
              <w:spacing w:after="0"/>
              <w:rPr>
                <w:sz w:val="20"/>
                <w:szCs w:val="20"/>
                <w:color w:val="auto"/>
              </w:rPr>
            </w:pPr>
            <w:r>
              <w:rPr>
                <w:rFonts w:ascii="Arial" w:cs="Arial" w:eastAsia="Arial" w:hAnsi="Arial"/>
                <w:sz w:val="14"/>
                <w:szCs w:val="14"/>
                <w:color w:val="auto"/>
              </w:rPr>
              <w:t>161190)</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39"/>
        </w:trPr>
        <w:tc>
          <w:tcPr>
            <w:tcW w:w="40" w:type="dxa"/>
            <w:vAlign w:val="bottom"/>
          </w:tcPr>
          <w:p>
            <w:pPr>
              <w:spacing w:after="0"/>
              <w:rPr>
                <w:sz w:val="24"/>
                <w:szCs w:val="24"/>
                <w:color w:val="auto"/>
              </w:rPr>
            </w:pPr>
          </w:p>
        </w:tc>
        <w:tc>
          <w:tcPr>
            <w:tcW w:w="680" w:type="dxa"/>
            <w:vAlign w:val="bottom"/>
            <w:gridSpan w:val="3"/>
          </w:tcPr>
          <w:p>
            <w:pPr>
              <w:spacing w:after="0"/>
              <w:rPr>
                <w:rFonts w:ascii="Arial" w:cs="Arial" w:eastAsia="Arial" w:hAnsi="Arial"/>
                <w:sz w:val="14"/>
                <w:szCs w:val="14"/>
                <w:color w:val="0000FF"/>
              </w:rPr>
            </w:pPr>
            <w:hyperlink r:id="rId43">
              <w:r>
                <w:rPr>
                  <w:rFonts w:ascii="Arial" w:cs="Arial" w:eastAsia="Arial" w:hAnsi="Arial"/>
                  <w:sz w:val="14"/>
                  <w:szCs w:val="14"/>
                  <w:color w:val="0000FF"/>
                </w:rPr>
                <w:t>10.</w:t>
              </w:r>
              <w:r>
                <w:rPr>
                  <w:rFonts w:ascii="Arial" w:cs="Arial" w:eastAsia="Arial" w:hAnsi="Arial"/>
                  <w:sz w:val="14"/>
                  <w:szCs w:val="14"/>
                  <w:u w:val="single" w:color="auto"/>
                  <w:color w:val="0000FF"/>
                </w:rPr>
                <w:t>20</w:t>
              </w:r>
            </w:hyperlink>
            <w:r>
              <w:rPr>
                <w:rFonts w:ascii="Arial" w:cs="Arial" w:eastAsia="Arial" w:hAnsi="Arial"/>
                <w:sz w:val="8"/>
                <w:szCs w:val="8"/>
                <w:color w:val="000000"/>
              </w:rPr>
              <w:t>†</w:t>
            </w:r>
          </w:p>
        </w:tc>
        <w:tc>
          <w:tcPr>
            <w:tcW w:w="4140" w:type="dxa"/>
            <w:vAlign w:val="bottom"/>
            <w:gridSpan w:val="2"/>
          </w:tcPr>
          <w:p>
            <w:pPr>
              <w:ind w:left="240"/>
              <w:spacing w:after="0"/>
              <w:rPr>
                <w:sz w:val="20"/>
                <w:szCs w:val="20"/>
                <w:color w:val="auto"/>
              </w:rPr>
            </w:pPr>
            <w:r>
              <w:rPr>
                <w:rFonts w:ascii="Arial" w:cs="Arial" w:eastAsia="Arial" w:hAnsi="Arial"/>
                <w:sz w:val="14"/>
                <w:szCs w:val="14"/>
                <w:color w:val="auto"/>
                <w:w w:val="95"/>
              </w:rPr>
              <w:t>Offer Letter, dated as of December 17, 2013, by and between the</w:t>
            </w:r>
          </w:p>
        </w:tc>
        <w:tc>
          <w:tcPr>
            <w:tcW w:w="3940" w:type="dxa"/>
            <w:vAlign w:val="bottom"/>
          </w:tcPr>
          <w:p>
            <w:pPr>
              <w:ind w:left="120"/>
              <w:spacing w:after="0"/>
              <w:rPr>
                <w:sz w:val="20"/>
                <w:szCs w:val="20"/>
                <w:color w:val="auto"/>
              </w:rPr>
            </w:pPr>
            <w:r>
              <w:rPr>
                <w:rFonts w:ascii="Arial" w:cs="Arial" w:eastAsia="Arial" w:hAnsi="Arial"/>
                <w:sz w:val="14"/>
                <w:szCs w:val="14"/>
                <w:color w:val="auto"/>
              </w:rPr>
              <w:t>Current Report on Form 8-K (File No. 001-34511)</w:t>
            </w:r>
          </w:p>
        </w:tc>
        <w:tc>
          <w:tcPr>
            <w:tcW w:w="1520" w:type="dxa"/>
            <w:vAlign w:val="bottom"/>
          </w:tcPr>
          <w:p>
            <w:pPr>
              <w:ind w:left="160"/>
              <w:spacing w:after="0"/>
              <w:rPr>
                <w:sz w:val="20"/>
                <w:szCs w:val="20"/>
                <w:color w:val="auto"/>
              </w:rPr>
            </w:pPr>
            <w:r>
              <w:rPr>
                <w:rFonts w:ascii="Arial" w:cs="Arial" w:eastAsia="Arial" w:hAnsi="Arial"/>
                <w:sz w:val="14"/>
                <w:szCs w:val="14"/>
                <w:color w:val="auto"/>
              </w:rPr>
              <w:t>December 20, 2013</w:t>
            </w:r>
          </w:p>
        </w:tc>
        <w:tc>
          <w:tcPr>
            <w:tcW w:w="540" w:type="dxa"/>
            <w:vAlign w:val="bottom"/>
          </w:tcPr>
          <w:p>
            <w:pPr>
              <w:ind w:left="220"/>
              <w:spacing w:after="0"/>
              <w:rPr>
                <w:sz w:val="20"/>
                <w:szCs w:val="20"/>
                <w:color w:val="auto"/>
              </w:rPr>
            </w:pPr>
            <w:r>
              <w:rPr>
                <w:rFonts w:ascii="Arial" w:cs="Arial" w:eastAsia="Arial" w:hAnsi="Arial"/>
                <w:sz w:val="14"/>
                <w:szCs w:val="14"/>
                <w:color w:val="auto"/>
              </w:rPr>
              <w:t>99.1</w:t>
            </w:r>
          </w:p>
        </w:tc>
      </w:tr>
      <w:tr>
        <w:trPr>
          <w:trHeight w:val="162"/>
        </w:trPr>
        <w:tc>
          <w:tcPr>
            <w:tcW w:w="4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60" w:type="dxa"/>
            <w:vAlign w:val="bottom"/>
          </w:tcPr>
          <w:p>
            <w:pPr>
              <w:spacing w:after="0"/>
              <w:rPr>
                <w:sz w:val="14"/>
                <w:szCs w:val="14"/>
                <w:color w:val="auto"/>
              </w:rPr>
            </w:pPr>
          </w:p>
        </w:tc>
        <w:tc>
          <w:tcPr>
            <w:tcW w:w="4140" w:type="dxa"/>
            <w:vAlign w:val="bottom"/>
            <w:gridSpan w:val="2"/>
          </w:tcPr>
          <w:p>
            <w:pPr>
              <w:ind w:left="240"/>
              <w:spacing w:after="0"/>
              <w:rPr>
                <w:sz w:val="20"/>
                <w:szCs w:val="20"/>
                <w:color w:val="auto"/>
              </w:rPr>
            </w:pPr>
            <w:r>
              <w:rPr>
                <w:rFonts w:ascii="Arial" w:cs="Arial" w:eastAsia="Arial" w:hAnsi="Arial"/>
                <w:sz w:val="14"/>
                <w:szCs w:val="14"/>
                <w:color w:val="auto"/>
              </w:rPr>
              <w:t>Company and Andrew Del Matto</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39"/>
        </w:trPr>
        <w:tc>
          <w:tcPr>
            <w:tcW w:w="40" w:type="dxa"/>
            <w:vAlign w:val="bottom"/>
          </w:tcPr>
          <w:p>
            <w:pPr>
              <w:spacing w:after="0"/>
              <w:rPr>
                <w:sz w:val="24"/>
                <w:szCs w:val="24"/>
                <w:color w:val="auto"/>
              </w:rPr>
            </w:pPr>
          </w:p>
        </w:tc>
        <w:tc>
          <w:tcPr>
            <w:tcW w:w="680" w:type="dxa"/>
            <w:vAlign w:val="bottom"/>
            <w:gridSpan w:val="3"/>
          </w:tcPr>
          <w:p>
            <w:pPr>
              <w:spacing w:after="0"/>
              <w:rPr>
                <w:rFonts w:ascii="Arial" w:cs="Arial" w:eastAsia="Arial" w:hAnsi="Arial"/>
                <w:sz w:val="14"/>
                <w:szCs w:val="14"/>
                <w:color w:val="0000FF"/>
              </w:rPr>
            </w:pPr>
            <w:hyperlink r:id="rId44">
              <w:r>
                <w:rPr>
                  <w:rFonts w:ascii="Arial" w:cs="Arial" w:eastAsia="Arial" w:hAnsi="Arial"/>
                  <w:sz w:val="14"/>
                  <w:szCs w:val="14"/>
                  <w:color w:val="0000FF"/>
                </w:rPr>
                <w:t>10.</w:t>
              </w:r>
              <w:r>
                <w:rPr>
                  <w:rFonts w:ascii="Arial" w:cs="Arial" w:eastAsia="Arial" w:hAnsi="Arial"/>
                  <w:sz w:val="14"/>
                  <w:szCs w:val="14"/>
                  <w:u w:val="single" w:color="auto"/>
                  <w:color w:val="0000FF"/>
                </w:rPr>
                <w:t>21</w:t>
              </w:r>
            </w:hyperlink>
            <w:r>
              <w:rPr>
                <w:rFonts w:ascii="Arial" w:cs="Arial" w:eastAsia="Arial" w:hAnsi="Arial"/>
                <w:sz w:val="8"/>
                <w:szCs w:val="8"/>
                <w:color w:val="000000"/>
              </w:rPr>
              <w:t>†</w:t>
            </w:r>
          </w:p>
        </w:tc>
        <w:tc>
          <w:tcPr>
            <w:tcW w:w="4140" w:type="dxa"/>
            <w:vAlign w:val="bottom"/>
            <w:gridSpan w:val="2"/>
          </w:tcPr>
          <w:p>
            <w:pPr>
              <w:ind w:left="240"/>
              <w:spacing w:after="0"/>
              <w:rPr>
                <w:sz w:val="20"/>
                <w:szCs w:val="20"/>
                <w:color w:val="auto"/>
              </w:rPr>
            </w:pPr>
            <w:r>
              <w:rPr>
                <w:rFonts w:ascii="Arial" w:cs="Arial" w:eastAsia="Arial" w:hAnsi="Arial"/>
                <w:sz w:val="14"/>
                <w:szCs w:val="14"/>
                <w:color w:val="auto"/>
              </w:rPr>
              <w:t>Letter regarding stock grants, dated as of December 17, 2013,</w:t>
            </w:r>
          </w:p>
        </w:tc>
        <w:tc>
          <w:tcPr>
            <w:tcW w:w="3940" w:type="dxa"/>
            <w:vAlign w:val="bottom"/>
          </w:tcPr>
          <w:p>
            <w:pPr>
              <w:ind w:left="120"/>
              <w:spacing w:after="0"/>
              <w:rPr>
                <w:sz w:val="20"/>
                <w:szCs w:val="20"/>
                <w:color w:val="auto"/>
              </w:rPr>
            </w:pPr>
            <w:r>
              <w:rPr>
                <w:rFonts w:ascii="Arial" w:cs="Arial" w:eastAsia="Arial" w:hAnsi="Arial"/>
                <w:sz w:val="14"/>
                <w:szCs w:val="14"/>
                <w:color w:val="auto"/>
              </w:rPr>
              <w:t>Current Report on Form 8-K (File No. 001-34511)</w:t>
            </w:r>
          </w:p>
        </w:tc>
        <w:tc>
          <w:tcPr>
            <w:tcW w:w="1520" w:type="dxa"/>
            <w:vAlign w:val="bottom"/>
          </w:tcPr>
          <w:p>
            <w:pPr>
              <w:ind w:left="160"/>
              <w:spacing w:after="0"/>
              <w:rPr>
                <w:sz w:val="20"/>
                <w:szCs w:val="20"/>
                <w:color w:val="auto"/>
              </w:rPr>
            </w:pPr>
            <w:r>
              <w:rPr>
                <w:rFonts w:ascii="Arial" w:cs="Arial" w:eastAsia="Arial" w:hAnsi="Arial"/>
                <w:sz w:val="14"/>
                <w:szCs w:val="14"/>
                <w:color w:val="auto"/>
              </w:rPr>
              <w:t>December 20, 2013</w:t>
            </w:r>
          </w:p>
        </w:tc>
        <w:tc>
          <w:tcPr>
            <w:tcW w:w="540" w:type="dxa"/>
            <w:vAlign w:val="bottom"/>
          </w:tcPr>
          <w:p>
            <w:pPr>
              <w:ind w:left="220"/>
              <w:spacing w:after="0"/>
              <w:rPr>
                <w:sz w:val="20"/>
                <w:szCs w:val="20"/>
                <w:color w:val="auto"/>
              </w:rPr>
            </w:pPr>
            <w:r>
              <w:rPr>
                <w:rFonts w:ascii="Arial" w:cs="Arial" w:eastAsia="Arial" w:hAnsi="Arial"/>
                <w:sz w:val="14"/>
                <w:szCs w:val="14"/>
                <w:color w:val="auto"/>
              </w:rPr>
              <w:t>99.2</w:t>
            </w:r>
          </w:p>
        </w:tc>
      </w:tr>
      <w:tr>
        <w:trPr>
          <w:trHeight w:val="162"/>
        </w:trPr>
        <w:tc>
          <w:tcPr>
            <w:tcW w:w="4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60" w:type="dxa"/>
            <w:vAlign w:val="bottom"/>
          </w:tcPr>
          <w:p>
            <w:pPr>
              <w:spacing w:after="0"/>
              <w:rPr>
                <w:sz w:val="14"/>
                <w:szCs w:val="14"/>
                <w:color w:val="auto"/>
              </w:rPr>
            </w:pPr>
          </w:p>
        </w:tc>
        <w:tc>
          <w:tcPr>
            <w:tcW w:w="4140" w:type="dxa"/>
            <w:vAlign w:val="bottom"/>
            <w:gridSpan w:val="2"/>
          </w:tcPr>
          <w:p>
            <w:pPr>
              <w:ind w:left="240"/>
              <w:spacing w:after="0"/>
              <w:rPr>
                <w:sz w:val="20"/>
                <w:szCs w:val="20"/>
                <w:color w:val="auto"/>
              </w:rPr>
            </w:pPr>
            <w:r>
              <w:rPr>
                <w:rFonts w:ascii="Arial" w:cs="Arial" w:eastAsia="Arial" w:hAnsi="Arial"/>
                <w:sz w:val="14"/>
                <w:szCs w:val="14"/>
                <w:color w:val="auto"/>
              </w:rPr>
              <w:t>between the Company and Andrew Del Matto</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439"/>
        </w:trPr>
        <w:tc>
          <w:tcPr>
            <w:tcW w:w="40" w:type="dxa"/>
            <w:vAlign w:val="bottom"/>
          </w:tcPr>
          <w:p>
            <w:pPr>
              <w:spacing w:after="0"/>
              <w:rPr>
                <w:sz w:val="24"/>
                <w:szCs w:val="24"/>
                <w:color w:val="auto"/>
              </w:rPr>
            </w:pPr>
          </w:p>
        </w:tc>
        <w:tc>
          <w:tcPr>
            <w:tcW w:w="680" w:type="dxa"/>
            <w:vAlign w:val="bottom"/>
            <w:gridSpan w:val="3"/>
          </w:tcPr>
          <w:p>
            <w:pPr>
              <w:spacing w:after="0"/>
              <w:rPr>
                <w:rFonts w:ascii="Arial" w:cs="Arial" w:eastAsia="Arial" w:hAnsi="Arial"/>
                <w:sz w:val="14"/>
                <w:szCs w:val="14"/>
                <w:color w:val="0000FF"/>
              </w:rPr>
            </w:pPr>
            <w:hyperlink w:anchor="page114">
              <w:r>
                <w:rPr>
                  <w:rFonts w:ascii="Arial" w:cs="Arial" w:eastAsia="Arial" w:hAnsi="Arial"/>
                  <w:sz w:val="14"/>
                  <w:szCs w:val="14"/>
                  <w:color w:val="0000FF"/>
                </w:rPr>
                <w:t>10.</w:t>
              </w:r>
              <w:r>
                <w:rPr>
                  <w:rFonts w:ascii="Arial" w:cs="Arial" w:eastAsia="Arial" w:hAnsi="Arial"/>
                  <w:sz w:val="14"/>
                  <w:szCs w:val="14"/>
                  <w:u w:val="single" w:color="auto"/>
                  <w:color w:val="0000FF"/>
                </w:rPr>
                <w:t>22</w:t>
              </w:r>
            </w:hyperlink>
            <w:r>
              <w:rPr>
                <w:rFonts w:ascii="Arial" w:cs="Arial" w:eastAsia="Arial" w:hAnsi="Arial"/>
                <w:sz w:val="8"/>
                <w:szCs w:val="8"/>
                <w:color w:val="000000"/>
              </w:rPr>
              <w:t>†</w:t>
            </w:r>
            <w:r>
              <w:rPr>
                <w:rFonts w:ascii="Arial" w:cs="Arial" w:eastAsia="Arial" w:hAnsi="Arial"/>
                <w:sz w:val="14"/>
                <w:szCs w:val="14"/>
                <w:color w:val="000000"/>
              </w:rPr>
              <w:t>*</w:t>
            </w:r>
          </w:p>
        </w:tc>
        <w:tc>
          <w:tcPr>
            <w:tcW w:w="4140" w:type="dxa"/>
            <w:vAlign w:val="bottom"/>
            <w:gridSpan w:val="2"/>
          </w:tcPr>
          <w:p>
            <w:pPr>
              <w:ind w:left="240"/>
              <w:spacing w:after="0"/>
              <w:rPr>
                <w:sz w:val="20"/>
                <w:szCs w:val="20"/>
                <w:color w:val="auto"/>
              </w:rPr>
            </w:pPr>
            <w:r>
              <w:rPr>
                <w:rFonts w:ascii="Arial" w:cs="Arial" w:eastAsia="Arial" w:hAnsi="Arial"/>
                <w:sz w:val="14"/>
                <w:szCs w:val="14"/>
                <w:color w:val="auto"/>
              </w:rPr>
              <w:t>Offer Letter, dated as of April 3, 2014, by and between the</w:t>
            </w:r>
          </w:p>
        </w:tc>
        <w:tc>
          <w:tcPr>
            <w:tcW w:w="3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60" w:type="dxa"/>
            <w:vAlign w:val="bottom"/>
          </w:tcPr>
          <w:p>
            <w:pPr>
              <w:spacing w:after="0"/>
              <w:rPr>
                <w:sz w:val="14"/>
                <w:szCs w:val="14"/>
                <w:color w:val="auto"/>
              </w:rPr>
            </w:pPr>
          </w:p>
        </w:tc>
        <w:tc>
          <w:tcPr>
            <w:tcW w:w="4140" w:type="dxa"/>
            <w:vAlign w:val="bottom"/>
            <w:gridSpan w:val="2"/>
          </w:tcPr>
          <w:p>
            <w:pPr>
              <w:ind w:left="240"/>
              <w:spacing w:after="0"/>
              <w:rPr>
                <w:sz w:val="20"/>
                <w:szCs w:val="20"/>
                <w:color w:val="auto"/>
              </w:rPr>
            </w:pPr>
            <w:r>
              <w:rPr>
                <w:rFonts w:ascii="Arial" w:cs="Arial" w:eastAsia="Arial" w:hAnsi="Arial"/>
                <w:sz w:val="14"/>
                <w:szCs w:val="14"/>
                <w:color w:val="auto"/>
              </w:rPr>
              <w:t>Company and Keith Jensen</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90"/>
        </w:trPr>
        <w:tc>
          <w:tcPr>
            <w:tcW w:w="40" w:type="dxa"/>
            <w:vAlign w:val="bottom"/>
          </w:tcPr>
          <w:p>
            <w:pPr>
              <w:spacing w:after="0"/>
              <w:rPr>
                <w:sz w:val="24"/>
                <w:szCs w:val="24"/>
                <w:color w:val="auto"/>
              </w:rPr>
            </w:pPr>
          </w:p>
        </w:tc>
        <w:tc>
          <w:tcPr>
            <w:tcW w:w="680" w:type="dxa"/>
            <w:vAlign w:val="bottom"/>
            <w:gridSpan w:val="3"/>
          </w:tcPr>
          <w:p>
            <w:pPr>
              <w:spacing w:after="0"/>
              <w:rPr>
                <w:rFonts w:ascii="Arial" w:cs="Arial" w:eastAsia="Arial" w:hAnsi="Arial"/>
                <w:sz w:val="14"/>
                <w:szCs w:val="14"/>
                <w:color w:val="0000FF"/>
              </w:rPr>
            </w:pPr>
            <w:hyperlink w:anchor="page116">
              <w:r>
                <w:rPr>
                  <w:rFonts w:ascii="Arial" w:cs="Arial" w:eastAsia="Arial" w:hAnsi="Arial"/>
                  <w:sz w:val="14"/>
                  <w:szCs w:val="14"/>
                  <w:color w:val="0000FF"/>
                </w:rPr>
                <w:t>10.</w:t>
              </w:r>
              <w:r>
                <w:rPr>
                  <w:rFonts w:ascii="Arial" w:cs="Arial" w:eastAsia="Arial" w:hAnsi="Arial"/>
                  <w:sz w:val="14"/>
                  <w:szCs w:val="14"/>
                  <w:u w:val="single" w:color="auto"/>
                  <w:color w:val="0000FF"/>
                </w:rPr>
                <w:t>23</w:t>
              </w:r>
            </w:hyperlink>
            <w:r>
              <w:rPr>
                <w:rFonts w:ascii="Arial" w:cs="Arial" w:eastAsia="Arial" w:hAnsi="Arial"/>
                <w:sz w:val="8"/>
                <w:szCs w:val="8"/>
                <w:color w:val="000000"/>
              </w:rPr>
              <w:t>†</w:t>
            </w:r>
            <w:r>
              <w:rPr>
                <w:rFonts w:ascii="Arial" w:cs="Arial" w:eastAsia="Arial" w:hAnsi="Arial"/>
                <w:sz w:val="14"/>
                <w:szCs w:val="14"/>
                <w:color w:val="000000"/>
              </w:rPr>
              <w:t>*</w:t>
            </w:r>
          </w:p>
        </w:tc>
        <w:tc>
          <w:tcPr>
            <w:tcW w:w="4140" w:type="dxa"/>
            <w:vAlign w:val="bottom"/>
            <w:gridSpan w:val="2"/>
          </w:tcPr>
          <w:p>
            <w:pPr>
              <w:ind w:left="240"/>
              <w:spacing w:after="0"/>
              <w:rPr>
                <w:sz w:val="20"/>
                <w:szCs w:val="20"/>
                <w:color w:val="auto"/>
              </w:rPr>
            </w:pPr>
            <w:r>
              <w:rPr>
                <w:rFonts w:ascii="Arial" w:cs="Arial" w:eastAsia="Arial" w:hAnsi="Arial"/>
                <w:sz w:val="14"/>
                <w:szCs w:val="14"/>
                <w:color w:val="auto"/>
                <w:w w:val="94"/>
              </w:rPr>
              <w:t>Change of Control Severance Agreement, dated as of February 4,</w:t>
            </w:r>
          </w:p>
        </w:tc>
        <w:tc>
          <w:tcPr>
            <w:tcW w:w="3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60" w:type="dxa"/>
            <w:vAlign w:val="bottom"/>
          </w:tcPr>
          <w:p>
            <w:pPr>
              <w:spacing w:after="0"/>
              <w:rPr>
                <w:sz w:val="14"/>
                <w:szCs w:val="14"/>
                <w:color w:val="auto"/>
              </w:rPr>
            </w:pPr>
          </w:p>
        </w:tc>
        <w:tc>
          <w:tcPr>
            <w:tcW w:w="4140" w:type="dxa"/>
            <w:vAlign w:val="bottom"/>
            <w:gridSpan w:val="2"/>
          </w:tcPr>
          <w:p>
            <w:pPr>
              <w:ind w:left="240"/>
              <w:spacing w:after="0"/>
              <w:rPr>
                <w:sz w:val="20"/>
                <w:szCs w:val="20"/>
                <w:color w:val="auto"/>
              </w:rPr>
            </w:pPr>
            <w:r>
              <w:rPr>
                <w:rFonts w:ascii="Arial" w:cs="Arial" w:eastAsia="Arial" w:hAnsi="Arial"/>
                <w:sz w:val="14"/>
                <w:szCs w:val="14"/>
                <w:color w:val="auto"/>
              </w:rPr>
              <w:t>2016, between the Company and Keith Jensen</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90"/>
        </w:trPr>
        <w:tc>
          <w:tcPr>
            <w:tcW w:w="720" w:type="dxa"/>
            <w:vAlign w:val="bottom"/>
            <w:gridSpan w:val="4"/>
          </w:tcPr>
          <w:p>
            <w:pPr>
              <w:ind w:left="40"/>
              <w:spacing w:after="0"/>
              <w:rPr>
                <w:rFonts w:ascii="Arial" w:cs="Arial" w:eastAsia="Arial" w:hAnsi="Arial"/>
                <w:sz w:val="14"/>
                <w:szCs w:val="14"/>
                <w:color w:val="0000FF"/>
              </w:rPr>
            </w:pPr>
            <w:hyperlink w:anchor="page124">
              <w:r>
                <w:rPr>
                  <w:rFonts w:ascii="Arial" w:cs="Arial" w:eastAsia="Arial" w:hAnsi="Arial"/>
                  <w:sz w:val="14"/>
                  <w:szCs w:val="14"/>
                  <w:color w:val="0000FF"/>
                </w:rPr>
                <w:t>21.</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4140" w:type="dxa"/>
            <w:vAlign w:val="bottom"/>
            <w:gridSpan w:val="2"/>
          </w:tcPr>
          <w:p>
            <w:pPr>
              <w:ind w:left="240"/>
              <w:spacing w:after="0"/>
              <w:rPr>
                <w:sz w:val="20"/>
                <w:szCs w:val="20"/>
                <w:color w:val="auto"/>
              </w:rPr>
            </w:pPr>
            <w:r>
              <w:rPr>
                <w:rFonts w:ascii="Arial" w:cs="Arial" w:eastAsia="Arial" w:hAnsi="Arial"/>
                <w:sz w:val="14"/>
                <w:szCs w:val="14"/>
                <w:color w:val="auto"/>
              </w:rPr>
              <w:t>List of subsidiaries</w:t>
            </w:r>
          </w:p>
        </w:tc>
        <w:tc>
          <w:tcPr>
            <w:tcW w:w="3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72"/>
        </w:trPr>
        <w:tc>
          <w:tcPr>
            <w:tcW w:w="720" w:type="dxa"/>
            <w:vAlign w:val="bottom"/>
            <w:gridSpan w:val="4"/>
          </w:tcPr>
          <w:p>
            <w:pPr>
              <w:ind w:left="40"/>
              <w:spacing w:after="0"/>
              <w:rPr>
                <w:rFonts w:ascii="Arial" w:cs="Arial" w:eastAsia="Arial" w:hAnsi="Arial"/>
                <w:sz w:val="14"/>
                <w:szCs w:val="14"/>
                <w:color w:val="0000FF"/>
              </w:rPr>
            </w:pPr>
            <w:hyperlink w:anchor="page125">
              <w:r>
                <w:rPr>
                  <w:rFonts w:ascii="Arial" w:cs="Arial" w:eastAsia="Arial" w:hAnsi="Arial"/>
                  <w:sz w:val="14"/>
                  <w:szCs w:val="14"/>
                  <w:color w:val="0000FF"/>
                </w:rPr>
                <w:t>23.</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4140" w:type="dxa"/>
            <w:vAlign w:val="bottom"/>
            <w:gridSpan w:val="2"/>
          </w:tcPr>
          <w:p>
            <w:pPr>
              <w:ind w:left="240"/>
              <w:spacing w:after="0"/>
              <w:rPr>
                <w:sz w:val="20"/>
                <w:szCs w:val="20"/>
                <w:color w:val="auto"/>
              </w:rPr>
            </w:pPr>
            <w:r>
              <w:rPr>
                <w:rFonts w:ascii="Arial" w:cs="Arial" w:eastAsia="Arial" w:hAnsi="Arial"/>
                <w:sz w:val="14"/>
                <w:szCs w:val="14"/>
                <w:color w:val="auto"/>
              </w:rPr>
              <w:t>Consent of Independent Registered Public Accounting Firm</w:t>
            </w:r>
          </w:p>
        </w:tc>
        <w:tc>
          <w:tcPr>
            <w:tcW w:w="3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72"/>
        </w:trPr>
        <w:tc>
          <w:tcPr>
            <w:tcW w:w="720" w:type="dxa"/>
            <w:vAlign w:val="bottom"/>
            <w:gridSpan w:val="4"/>
          </w:tcPr>
          <w:p>
            <w:pPr>
              <w:ind w:left="40"/>
              <w:spacing w:after="0"/>
              <w:rPr>
                <w:rFonts w:ascii="Arial" w:cs="Arial" w:eastAsia="Arial" w:hAnsi="Arial"/>
                <w:sz w:val="14"/>
                <w:szCs w:val="14"/>
                <w:color w:val="0000EE"/>
              </w:rPr>
            </w:pPr>
            <w:hyperlink w:anchor="page112">
              <w:r>
                <w:rPr>
                  <w:rFonts w:ascii="Arial" w:cs="Arial" w:eastAsia="Arial" w:hAnsi="Arial"/>
                  <w:sz w:val="14"/>
                  <w:szCs w:val="14"/>
                  <w:color w:val="0000EE"/>
                </w:rPr>
                <w:t>24.</w:t>
              </w:r>
              <w:r>
                <w:rPr>
                  <w:rFonts w:ascii="Arial" w:cs="Arial" w:eastAsia="Arial" w:hAnsi="Arial"/>
                  <w:sz w:val="14"/>
                  <w:szCs w:val="14"/>
                  <w:u w:val="single" w:color="auto"/>
                  <w:color w:val="0000EE"/>
                </w:rPr>
                <w:t>1</w:t>
              </w:r>
            </w:hyperlink>
            <w:r>
              <w:rPr>
                <w:rFonts w:ascii="Arial" w:cs="Arial" w:eastAsia="Arial" w:hAnsi="Arial"/>
                <w:sz w:val="14"/>
                <w:szCs w:val="14"/>
                <w:color w:val="000000"/>
              </w:rPr>
              <w:t>*</w:t>
            </w:r>
          </w:p>
        </w:tc>
        <w:tc>
          <w:tcPr>
            <w:tcW w:w="4140" w:type="dxa"/>
            <w:vAlign w:val="bottom"/>
            <w:gridSpan w:val="2"/>
          </w:tcPr>
          <w:p>
            <w:pPr>
              <w:ind w:left="240"/>
              <w:spacing w:after="0"/>
              <w:rPr>
                <w:sz w:val="20"/>
                <w:szCs w:val="20"/>
                <w:color w:val="auto"/>
              </w:rPr>
            </w:pPr>
            <w:r>
              <w:rPr>
                <w:rFonts w:ascii="Arial" w:cs="Arial" w:eastAsia="Arial" w:hAnsi="Arial"/>
                <w:sz w:val="14"/>
                <w:szCs w:val="14"/>
                <w:color w:val="auto"/>
              </w:rPr>
              <w:t>Power of Attorney (incorporated by reference to the signature</w:t>
            </w:r>
          </w:p>
        </w:tc>
        <w:tc>
          <w:tcPr>
            <w:tcW w:w="3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62"/>
        </w:trPr>
        <w:tc>
          <w:tcPr>
            <w:tcW w:w="40" w:type="dxa"/>
            <w:vAlign w:val="bottom"/>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40" w:type="dxa"/>
            <w:vAlign w:val="bottom"/>
            <w:gridSpan w:val="2"/>
          </w:tcPr>
          <w:p>
            <w:pPr>
              <w:ind w:left="240"/>
              <w:spacing w:after="0"/>
              <w:rPr>
                <w:sz w:val="20"/>
                <w:szCs w:val="20"/>
                <w:color w:val="auto"/>
              </w:rPr>
            </w:pPr>
            <w:r>
              <w:rPr>
                <w:rFonts w:ascii="Arial" w:cs="Arial" w:eastAsia="Arial" w:hAnsi="Arial"/>
                <w:sz w:val="14"/>
                <w:szCs w:val="14"/>
                <w:color w:val="auto"/>
              </w:rPr>
              <w:t>page of this Annual Report on Form 10-K)</w:t>
            </w: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r>
    </w:tbl>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0" w:type="dxa"/>
            <w:vAlign w:val="bottom"/>
            <w:gridSpan w:val="2"/>
          </w:tcPr>
          <w:p>
            <w:pPr>
              <w:spacing w:after="0"/>
              <w:rPr>
                <w:rFonts w:ascii="Arial" w:cs="Arial" w:eastAsia="Arial" w:hAnsi="Arial"/>
                <w:sz w:val="14"/>
                <w:szCs w:val="14"/>
                <w:color w:val="0000FF"/>
              </w:rPr>
            </w:pPr>
            <w:hyperlink w:anchor="page126">
              <w:r>
                <w:rPr>
                  <w:rFonts w:ascii="Arial" w:cs="Arial" w:eastAsia="Arial" w:hAnsi="Arial"/>
                  <w:sz w:val="14"/>
                  <w:szCs w:val="14"/>
                  <w:color w:val="0000FF"/>
                </w:rPr>
                <w:t>31.</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10400" w:type="dxa"/>
            <w:vAlign w:val="bottom"/>
          </w:tcPr>
          <w:p>
            <w:pPr>
              <w:ind w:left="220"/>
              <w:spacing w:after="0"/>
              <w:rPr>
                <w:sz w:val="20"/>
                <w:szCs w:val="20"/>
                <w:color w:val="auto"/>
              </w:rPr>
            </w:pPr>
            <w:r>
              <w:rPr>
                <w:rFonts w:ascii="Arial" w:cs="Arial" w:eastAsia="Arial" w:hAnsi="Arial"/>
                <w:sz w:val="14"/>
                <w:szCs w:val="14"/>
                <w:color w:val="auto"/>
                <w:w w:val="97"/>
              </w:rPr>
              <w:t>Certification of Chief Executive Officer pursuant to Exchange Act Rules 13a-14(a) and 15d-14(a), as adopted pursuant to Section 302 of the 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r>
      <w:tr>
        <w:trPr>
          <w:trHeight w:val="372"/>
        </w:trPr>
        <w:tc>
          <w:tcPr>
            <w:tcW w:w="820" w:type="dxa"/>
            <w:vAlign w:val="bottom"/>
            <w:gridSpan w:val="2"/>
          </w:tcPr>
          <w:p>
            <w:pPr>
              <w:spacing w:after="0"/>
              <w:rPr>
                <w:rFonts w:ascii="Arial" w:cs="Arial" w:eastAsia="Arial" w:hAnsi="Arial"/>
                <w:sz w:val="14"/>
                <w:szCs w:val="14"/>
                <w:color w:val="0000FF"/>
              </w:rPr>
            </w:pPr>
            <w:hyperlink w:anchor="page127">
              <w:r>
                <w:rPr>
                  <w:rFonts w:ascii="Arial" w:cs="Arial" w:eastAsia="Arial" w:hAnsi="Arial"/>
                  <w:sz w:val="14"/>
                  <w:szCs w:val="14"/>
                  <w:color w:val="0000FF"/>
                </w:rPr>
                <w:t>31.</w:t>
              </w:r>
              <w:r>
                <w:rPr>
                  <w:rFonts w:ascii="Arial" w:cs="Arial" w:eastAsia="Arial" w:hAnsi="Arial"/>
                  <w:sz w:val="14"/>
                  <w:szCs w:val="14"/>
                  <w:u w:val="single" w:color="auto"/>
                  <w:color w:val="0000FF"/>
                </w:rPr>
                <w:t>2</w:t>
              </w:r>
            </w:hyperlink>
            <w:r>
              <w:rPr>
                <w:rFonts w:ascii="Arial" w:cs="Arial" w:eastAsia="Arial" w:hAnsi="Arial"/>
                <w:sz w:val="14"/>
                <w:szCs w:val="14"/>
                <w:color w:val="000000"/>
              </w:rPr>
              <w:t>*</w:t>
            </w:r>
          </w:p>
        </w:tc>
        <w:tc>
          <w:tcPr>
            <w:tcW w:w="10400" w:type="dxa"/>
            <w:vAlign w:val="bottom"/>
          </w:tcPr>
          <w:p>
            <w:pPr>
              <w:ind w:left="220"/>
              <w:spacing w:after="0"/>
              <w:rPr>
                <w:sz w:val="20"/>
                <w:szCs w:val="20"/>
                <w:color w:val="auto"/>
              </w:rPr>
            </w:pPr>
            <w:r>
              <w:rPr>
                <w:rFonts w:ascii="Arial" w:cs="Arial" w:eastAsia="Arial" w:hAnsi="Arial"/>
                <w:sz w:val="14"/>
                <w:szCs w:val="14"/>
                <w:color w:val="auto"/>
                <w:w w:val="97"/>
              </w:rPr>
              <w:t>Certification of Chief Financial Officer pursuant to Exchange Act Rules 13a-14(a) and 15d-14(a), as adopted pursuant to Section 302 of the 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r>
      <w:tr>
        <w:trPr>
          <w:trHeight w:val="372"/>
        </w:trPr>
        <w:tc>
          <w:tcPr>
            <w:tcW w:w="820" w:type="dxa"/>
            <w:vAlign w:val="bottom"/>
            <w:gridSpan w:val="2"/>
          </w:tcPr>
          <w:p>
            <w:pPr>
              <w:spacing w:after="0"/>
              <w:rPr>
                <w:rFonts w:ascii="Arial" w:cs="Arial" w:eastAsia="Arial" w:hAnsi="Arial"/>
                <w:sz w:val="14"/>
                <w:szCs w:val="14"/>
                <w:color w:val="0000FF"/>
              </w:rPr>
            </w:pPr>
            <w:hyperlink w:anchor="page128">
              <w:r>
                <w:rPr>
                  <w:rFonts w:ascii="Arial" w:cs="Arial" w:eastAsia="Arial" w:hAnsi="Arial"/>
                  <w:sz w:val="14"/>
                  <w:szCs w:val="14"/>
                  <w:color w:val="0000FF"/>
                </w:rPr>
                <w:t>32.</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10400" w:type="dxa"/>
            <w:vAlign w:val="bottom"/>
          </w:tcPr>
          <w:p>
            <w:pPr>
              <w:ind w:left="220"/>
              <w:spacing w:after="0"/>
              <w:rPr>
                <w:sz w:val="20"/>
                <w:szCs w:val="20"/>
                <w:color w:val="auto"/>
              </w:rPr>
            </w:pPr>
            <w:r>
              <w:rPr>
                <w:rFonts w:ascii="Arial" w:cs="Arial" w:eastAsia="Arial" w:hAnsi="Arial"/>
                <w:sz w:val="14"/>
                <w:szCs w:val="14"/>
                <w:color w:val="auto"/>
                <w:w w:val="93"/>
              </w:rPr>
              <w:t>Certifications of Chief Executive Officer and Chief Financial Officer pursuant to 18 U.S.C. Section 1350, as adopted pursuant to Section 906 of the 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r>
      <w:tr>
        <w:trPr>
          <w:trHeight w:val="400"/>
        </w:trPr>
        <w:tc>
          <w:tcPr>
            <w:tcW w:w="820" w:type="dxa"/>
            <w:vAlign w:val="bottom"/>
            <w:gridSpan w:val="2"/>
          </w:tcPr>
          <w:p>
            <w:pPr>
              <w:spacing w:after="0"/>
              <w:rPr>
                <w:sz w:val="20"/>
                <w:szCs w:val="20"/>
                <w:color w:val="auto"/>
              </w:rPr>
            </w:pPr>
            <w:r>
              <w:rPr>
                <w:rFonts w:ascii="Arial" w:cs="Arial" w:eastAsia="Arial" w:hAnsi="Arial"/>
                <w:sz w:val="14"/>
                <w:szCs w:val="14"/>
                <w:color w:val="auto"/>
              </w:rPr>
              <w:t>101.SCH*</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Taxonomy Extension Schema Document</w:t>
            </w:r>
          </w:p>
        </w:tc>
      </w:tr>
      <w:tr>
        <w:trPr>
          <w:trHeight w:val="392"/>
        </w:trPr>
        <w:tc>
          <w:tcPr>
            <w:tcW w:w="820" w:type="dxa"/>
            <w:vAlign w:val="bottom"/>
            <w:gridSpan w:val="2"/>
          </w:tcPr>
          <w:p>
            <w:pPr>
              <w:spacing w:after="0"/>
              <w:rPr>
                <w:sz w:val="20"/>
                <w:szCs w:val="20"/>
                <w:color w:val="auto"/>
              </w:rPr>
            </w:pPr>
            <w:r>
              <w:rPr>
                <w:rFonts w:ascii="Arial" w:cs="Arial" w:eastAsia="Arial" w:hAnsi="Arial"/>
                <w:sz w:val="14"/>
                <w:szCs w:val="14"/>
                <w:color w:val="auto"/>
              </w:rPr>
              <w:t>101.CAL*</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Taxonomy Extension Calculation Linkbase Document</w:t>
            </w:r>
          </w:p>
        </w:tc>
      </w:tr>
      <w:tr>
        <w:trPr>
          <w:trHeight w:val="392"/>
        </w:trPr>
        <w:tc>
          <w:tcPr>
            <w:tcW w:w="820" w:type="dxa"/>
            <w:vAlign w:val="bottom"/>
            <w:gridSpan w:val="2"/>
          </w:tcPr>
          <w:p>
            <w:pPr>
              <w:spacing w:after="0"/>
              <w:rPr>
                <w:sz w:val="20"/>
                <w:szCs w:val="20"/>
                <w:color w:val="auto"/>
              </w:rPr>
            </w:pPr>
            <w:r>
              <w:rPr>
                <w:rFonts w:ascii="Arial" w:cs="Arial" w:eastAsia="Arial" w:hAnsi="Arial"/>
                <w:sz w:val="14"/>
                <w:szCs w:val="14"/>
                <w:color w:val="auto"/>
              </w:rPr>
              <w:t>101.PRE*</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Taxonomy Extension Presentation Linkbase Document</w:t>
            </w:r>
          </w:p>
        </w:tc>
      </w:tr>
      <w:tr>
        <w:trPr>
          <w:trHeight w:val="392"/>
        </w:trPr>
        <w:tc>
          <w:tcPr>
            <w:tcW w:w="820" w:type="dxa"/>
            <w:vAlign w:val="bottom"/>
            <w:gridSpan w:val="2"/>
          </w:tcPr>
          <w:p>
            <w:pPr>
              <w:spacing w:after="0"/>
              <w:rPr>
                <w:sz w:val="20"/>
                <w:szCs w:val="20"/>
                <w:color w:val="auto"/>
              </w:rPr>
            </w:pPr>
            <w:r>
              <w:rPr>
                <w:rFonts w:ascii="Arial" w:cs="Arial" w:eastAsia="Arial" w:hAnsi="Arial"/>
                <w:sz w:val="14"/>
                <w:szCs w:val="14"/>
                <w:color w:val="auto"/>
              </w:rPr>
              <w:t>101.DEF*</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Taxonomy Extension Definition Linkbase Document</w:t>
            </w:r>
          </w:p>
        </w:tc>
      </w:tr>
      <w:tr>
        <w:trPr>
          <w:trHeight w:val="392"/>
        </w:trPr>
        <w:tc>
          <w:tcPr>
            <w:tcW w:w="820" w:type="dxa"/>
            <w:vAlign w:val="bottom"/>
            <w:gridSpan w:val="2"/>
          </w:tcPr>
          <w:p>
            <w:pPr>
              <w:spacing w:after="0"/>
              <w:rPr>
                <w:sz w:val="20"/>
                <w:szCs w:val="20"/>
                <w:color w:val="auto"/>
              </w:rPr>
            </w:pPr>
            <w:r>
              <w:rPr>
                <w:rFonts w:ascii="Arial" w:cs="Arial" w:eastAsia="Arial" w:hAnsi="Arial"/>
                <w:sz w:val="14"/>
                <w:szCs w:val="14"/>
                <w:color w:val="auto"/>
              </w:rPr>
              <w:t>101.LAB*</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Taxonomy Extension Label Linkbase Document</w:t>
            </w:r>
          </w:p>
        </w:tc>
      </w:tr>
      <w:tr>
        <w:trPr>
          <w:trHeight w:val="392"/>
        </w:trPr>
        <w:tc>
          <w:tcPr>
            <w:tcW w:w="820" w:type="dxa"/>
            <w:vAlign w:val="bottom"/>
            <w:gridSpan w:val="2"/>
          </w:tcPr>
          <w:p>
            <w:pPr>
              <w:spacing w:after="0"/>
              <w:rPr>
                <w:sz w:val="20"/>
                <w:szCs w:val="20"/>
                <w:color w:val="auto"/>
              </w:rPr>
            </w:pPr>
            <w:r>
              <w:rPr>
                <w:rFonts w:ascii="Arial" w:cs="Arial" w:eastAsia="Arial" w:hAnsi="Arial"/>
                <w:sz w:val="14"/>
                <w:szCs w:val="14"/>
                <w:color w:val="auto"/>
              </w:rPr>
              <w:t>101.INS*</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Instance Document</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190" w:lineRule="exact"/>
        <w:rPr>
          <w:sz w:val="20"/>
          <w:szCs w:val="20"/>
          <w:color w:val="auto"/>
        </w:rPr>
      </w:pPr>
    </w:p>
    <w:p>
      <w:pPr>
        <w:ind w:right="7260" w:firstLine="8"/>
        <w:spacing w:after="0" w:line="221" w:lineRule="auto"/>
        <w:tabs>
          <w:tab w:leader="none" w:pos="94" w:val="left"/>
        </w:tabs>
        <w:numPr>
          <w:ilvl w:val="0"/>
          <w:numId w:val="56"/>
        </w:numPr>
        <w:rPr>
          <w:rFonts w:ascii="Arial" w:cs="Arial" w:eastAsia="Arial" w:hAnsi="Arial"/>
          <w:sz w:val="23"/>
          <w:szCs w:val="23"/>
          <w:color w:val="auto"/>
          <w:vertAlign w:val="superscript"/>
        </w:rPr>
      </w:pPr>
      <w:r>
        <w:rPr>
          <w:rFonts w:ascii="Arial" w:cs="Arial" w:eastAsia="Arial" w:hAnsi="Arial"/>
          <w:sz w:val="13"/>
          <w:szCs w:val="13"/>
          <w:color w:val="auto"/>
        </w:rPr>
        <w:t xml:space="preserve">Indicates management compensatory plan, contract or arrangement. </w:t>
      </w:r>
      <w:r>
        <w:rPr>
          <w:rFonts w:ascii="Arial" w:cs="Arial" w:eastAsia="Arial" w:hAnsi="Arial"/>
          <w:sz w:val="17"/>
          <w:szCs w:val="17"/>
          <w:color w:val="auto"/>
        </w:rPr>
        <w:t xml:space="preserve">* </w:t>
      </w:r>
      <w:r>
        <w:rPr>
          <w:rFonts w:ascii="Arial" w:cs="Arial" w:eastAsia="Arial" w:hAnsi="Arial"/>
          <w:sz w:val="13"/>
          <w:szCs w:val="13"/>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60"/>
          </w:cols>
          <w:pgMar w:left="240" w:top="113" w:right="39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26, 2018.</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7280" w:val="left"/>
          <w:tab w:leader="none" w:pos="7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Executive Officer)</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6940" w:val="left"/>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Keith Jensen, Interim Chief Financial Officer</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122" w:right="29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Ken Xie and Keith Jensen,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8"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6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900" w:type="dxa"/>
            <w:vAlign w:val="bottom"/>
            <w:gridSpan w:val="3"/>
          </w:tcPr>
          <w:p>
            <w:pPr>
              <w:ind w:left="780"/>
              <w:spacing w:after="0"/>
              <w:rPr>
                <w:sz w:val="20"/>
                <w:szCs w:val="20"/>
                <w:color w:val="auto"/>
              </w:rPr>
            </w:pPr>
            <w:r>
              <w:rPr>
                <w:rFonts w:ascii="Arial" w:cs="Arial" w:eastAsia="Arial" w:hAnsi="Arial"/>
                <w:sz w:val="18"/>
                <w:szCs w:val="18"/>
                <w:b w:val="1"/>
                <w:bCs w:val="1"/>
                <w:color w:val="auto"/>
              </w:rPr>
              <w:t>Date</w:t>
            </w:r>
          </w:p>
        </w:tc>
      </w:tr>
      <w:tr>
        <w:trPr>
          <w:trHeight w:val="20"/>
        </w:trPr>
        <w:tc>
          <w:tcPr>
            <w:tcW w:w="1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615"/>
        </w:trPr>
        <w:tc>
          <w:tcPr>
            <w:tcW w:w="1560" w:type="dxa"/>
            <w:vAlign w:val="bottom"/>
            <w:gridSpan w:val="2"/>
          </w:tcPr>
          <w:p>
            <w:pPr>
              <w:ind w:left="1340"/>
              <w:spacing w:after="0"/>
              <w:rPr>
                <w:sz w:val="20"/>
                <w:szCs w:val="20"/>
                <w:color w:val="auto"/>
              </w:rPr>
            </w:pPr>
            <w:r>
              <w:rPr>
                <w:rFonts w:ascii="Arial" w:cs="Arial" w:eastAsia="Arial" w:hAnsi="Arial"/>
                <w:sz w:val="18"/>
                <w:szCs w:val="18"/>
                <w:color w:val="auto"/>
              </w:rPr>
              <w:t>/s/</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Ken Xie</w:t>
            </w:r>
          </w:p>
        </w:tc>
        <w:tc>
          <w:tcPr>
            <w:tcW w:w="1620" w:type="dxa"/>
            <w:vAlign w:val="bottom"/>
          </w:tcPr>
          <w:p>
            <w:pPr>
              <w:spacing w:after="0"/>
              <w:rPr>
                <w:sz w:val="24"/>
                <w:szCs w:val="24"/>
                <w:color w:val="auto"/>
              </w:rPr>
            </w:pP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Chief Executive Officer and Chairman</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2018</w:t>
            </w:r>
          </w:p>
        </w:tc>
      </w:tr>
      <w:tr>
        <w:trPr>
          <w:trHeight w:val="27"/>
        </w:trPr>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8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96"/>
              </w:rPr>
              <w:t>Ken Xie</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(Principal Executive Officer)</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tcPr>
          <w:p>
            <w:pPr>
              <w:ind w:left="1180"/>
              <w:spacing w:after="0"/>
              <w:rPr>
                <w:sz w:val="20"/>
                <w:szCs w:val="20"/>
                <w:color w:val="auto"/>
              </w:rPr>
            </w:pPr>
            <w:r>
              <w:rPr>
                <w:rFonts w:ascii="Arial" w:cs="Arial" w:eastAsia="Arial" w:hAnsi="Arial"/>
                <w:sz w:val="18"/>
                <w:szCs w:val="18"/>
                <w:color w:val="auto"/>
              </w:rPr>
              <w:t>/s/</w:t>
            </w: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color w:val="auto"/>
                <w:w w:val="88"/>
              </w:rPr>
              <w:t>Keith Jensen</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Interim Chief Financial Officer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2018</w:t>
            </w:r>
          </w:p>
        </w:tc>
      </w:tr>
      <w:tr>
        <w:trPr>
          <w:trHeight w:val="27"/>
        </w:trPr>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400" w:type="dxa"/>
            <w:vAlign w:val="bottom"/>
          </w:tcPr>
          <w:p>
            <w:pPr>
              <w:spacing w:after="0"/>
              <w:rPr>
                <w:sz w:val="20"/>
                <w:szCs w:val="20"/>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89"/>
              </w:rPr>
              <w:t>Keith Jensen</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(Principal Financial Officer and Principal Accounting Officer)</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tcPr>
          <w:p>
            <w:pPr>
              <w:ind w:left="1200"/>
              <w:spacing w:after="0"/>
              <w:rPr>
                <w:sz w:val="20"/>
                <w:szCs w:val="20"/>
                <w:color w:val="auto"/>
              </w:rPr>
            </w:pPr>
            <w:r>
              <w:rPr>
                <w:rFonts w:ascii="Arial" w:cs="Arial" w:eastAsia="Arial" w:hAnsi="Arial"/>
                <w:sz w:val="18"/>
                <w:szCs w:val="18"/>
                <w:color w:val="auto"/>
                <w:w w:val="94"/>
              </w:rPr>
              <w:t>/s/</w:t>
            </w:r>
          </w:p>
        </w:tc>
        <w:tc>
          <w:tcPr>
            <w:tcW w:w="2600" w:type="dxa"/>
            <w:vAlign w:val="bottom"/>
            <w:gridSpan w:val="4"/>
          </w:tcPr>
          <w:p>
            <w:pPr>
              <w:jc w:val="center"/>
              <w:ind w:right="1420"/>
              <w:spacing w:after="0"/>
              <w:rPr>
                <w:sz w:val="20"/>
                <w:szCs w:val="20"/>
                <w:color w:val="auto"/>
              </w:rPr>
            </w:pPr>
            <w:r>
              <w:rPr>
                <w:rFonts w:ascii="Arial" w:cs="Arial" w:eastAsia="Arial" w:hAnsi="Arial"/>
                <w:sz w:val="18"/>
                <w:szCs w:val="18"/>
                <w:color w:val="auto"/>
                <w:w w:val="96"/>
              </w:rPr>
              <w:t>Michael Xie</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President, Chief Technology Officer and 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2018</w:t>
            </w:r>
          </w:p>
        </w:tc>
      </w:tr>
      <w:tr>
        <w:trPr>
          <w:trHeight w:val="27"/>
        </w:trPr>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400" w:type="dxa"/>
            <w:vAlign w:val="bottom"/>
          </w:tcPr>
          <w:p>
            <w:pPr>
              <w:spacing w:after="0"/>
              <w:rPr>
                <w:sz w:val="20"/>
                <w:szCs w:val="20"/>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93"/>
              </w:rPr>
              <w:t>Michael Xie</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tcPr>
          <w:p>
            <w:pPr>
              <w:ind w:left="1160"/>
              <w:spacing w:after="0"/>
              <w:rPr>
                <w:sz w:val="20"/>
                <w:szCs w:val="20"/>
                <w:color w:val="auto"/>
              </w:rPr>
            </w:pPr>
            <w:r>
              <w:rPr>
                <w:rFonts w:ascii="Arial" w:cs="Arial" w:eastAsia="Arial" w:hAnsi="Arial"/>
                <w:sz w:val="18"/>
                <w:szCs w:val="18"/>
                <w:color w:val="auto"/>
              </w:rPr>
              <w:t>/s/</w:t>
            </w:r>
          </w:p>
        </w:tc>
        <w:tc>
          <w:tcPr>
            <w:tcW w:w="2600" w:type="dxa"/>
            <w:vAlign w:val="bottom"/>
            <w:gridSpan w:val="4"/>
          </w:tcPr>
          <w:p>
            <w:pPr>
              <w:ind w:left="120"/>
              <w:spacing w:after="0"/>
              <w:rPr>
                <w:sz w:val="20"/>
                <w:szCs w:val="20"/>
                <w:color w:val="auto"/>
              </w:rPr>
            </w:pPr>
            <w:r>
              <w:rPr>
                <w:rFonts w:ascii="Arial" w:cs="Arial" w:eastAsia="Arial" w:hAnsi="Arial"/>
                <w:sz w:val="18"/>
                <w:szCs w:val="18"/>
                <w:color w:val="auto"/>
              </w:rPr>
              <w:t>Peter D. Cohen</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2018</w:t>
            </w:r>
          </w:p>
        </w:tc>
      </w:tr>
      <w:tr>
        <w:trPr>
          <w:trHeight w:val="27"/>
        </w:trPr>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400" w:type="dxa"/>
            <w:vAlign w:val="bottom"/>
          </w:tcPr>
          <w:p>
            <w:pPr>
              <w:spacing w:after="0"/>
              <w:rPr>
                <w:sz w:val="20"/>
                <w:szCs w:val="20"/>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89"/>
              </w:rPr>
              <w:t>Peter D. Cohen</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tcPr>
          <w:p>
            <w:pPr>
              <w:ind w:left="1220"/>
              <w:spacing w:after="0"/>
              <w:rPr>
                <w:sz w:val="20"/>
                <w:szCs w:val="20"/>
                <w:color w:val="auto"/>
              </w:rPr>
            </w:pPr>
            <w:r>
              <w:rPr>
                <w:rFonts w:ascii="Arial" w:cs="Arial" w:eastAsia="Arial" w:hAnsi="Arial"/>
                <w:sz w:val="18"/>
                <w:szCs w:val="18"/>
                <w:color w:val="auto"/>
                <w:w w:val="83"/>
              </w:rPr>
              <w:t>/s/</w:t>
            </w:r>
          </w:p>
        </w:tc>
        <w:tc>
          <w:tcPr>
            <w:tcW w:w="160" w:type="dxa"/>
            <w:vAlign w:val="bottom"/>
          </w:tcPr>
          <w:p>
            <w:pPr>
              <w:spacing w:after="0"/>
              <w:rPr>
                <w:sz w:val="24"/>
                <w:szCs w:val="24"/>
                <w:color w:val="auto"/>
              </w:rPr>
            </w:pPr>
          </w:p>
        </w:tc>
        <w:tc>
          <w:tcPr>
            <w:tcW w:w="2440" w:type="dxa"/>
            <w:vAlign w:val="bottom"/>
            <w:gridSpan w:val="3"/>
          </w:tcPr>
          <w:p>
            <w:pPr>
              <w:jc w:val="center"/>
              <w:ind w:right="1580"/>
              <w:spacing w:after="0"/>
              <w:rPr>
                <w:sz w:val="20"/>
                <w:szCs w:val="20"/>
                <w:color w:val="auto"/>
              </w:rPr>
            </w:pPr>
            <w:r>
              <w:rPr>
                <w:rFonts w:ascii="Arial" w:cs="Arial" w:eastAsia="Arial" w:hAnsi="Arial"/>
                <w:sz w:val="18"/>
                <w:szCs w:val="18"/>
                <w:color w:val="auto"/>
                <w:w w:val="95"/>
              </w:rPr>
              <w:t>Ming Hsieh</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2018</w:t>
            </w:r>
          </w:p>
        </w:tc>
      </w:tr>
      <w:tr>
        <w:trPr>
          <w:trHeight w:val="27"/>
        </w:trPr>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400" w:type="dxa"/>
            <w:vAlign w:val="bottom"/>
          </w:tcPr>
          <w:p>
            <w:pPr>
              <w:spacing w:after="0"/>
              <w:rPr>
                <w:sz w:val="20"/>
                <w:szCs w:val="20"/>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91"/>
              </w:rPr>
              <w:t>Ming Hsieh</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w w:val="73"/>
              </w:rPr>
              <w:t>/s/</w:t>
            </w:r>
          </w:p>
        </w:tc>
        <w:tc>
          <w:tcPr>
            <w:tcW w:w="60" w:type="dxa"/>
            <w:vAlign w:val="bottom"/>
          </w:tcPr>
          <w:p>
            <w:pPr>
              <w:spacing w:after="0"/>
              <w:rPr>
                <w:sz w:val="24"/>
                <w:szCs w:val="24"/>
                <w:color w:val="auto"/>
              </w:rPr>
            </w:pPr>
          </w:p>
        </w:tc>
        <w:tc>
          <w:tcPr>
            <w:tcW w:w="2380" w:type="dxa"/>
            <w:vAlign w:val="bottom"/>
            <w:gridSpan w:val="2"/>
          </w:tcPr>
          <w:p>
            <w:pPr>
              <w:jc w:val="center"/>
              <w:ind w:right="1280"/>
              <w:spacing w:after="0"/>
              <w:rPr>
                <w:sz w:val="20"/>
                <w:szCs w:val="20"/>
                <w:color w:val="auto"/>
              </w:rPr>
            </w:pPr>
            <w:r>
              <w:rPr>
                <w:rFonts w:ascii="Arial" w:cs="Arial" w:eastAsia="Arial" w:hAnsi="Arial"/>
                <w:sz w:val="18"/>
                <w:szCs w:val="18"/>
                <w:color w:val="auto"/>
                <w:w w:val="93"/>
              </w:rPr>
              <w:t>Gary Locke</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2018</w:t>
            </w:r>
          </w:p>
        </w:tc>
      </w:tr>
      <w:tr>
        <w:trPr>
          <w:trHeight w:val="27"/>
        </w:trPr>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400" w:type="dxa"/>
            <w:vAlign w:val="bottom"/>
          </w:tcPr>
          <w:p>
            <w:pPr>
              <w:spacing w:after="0"/>
              <w:rPr>
                <w:sz w:val="20"/>
                <w:szCs w:val="20"/>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b w:val="1"/>
                <w:bCs w:val="1"/>
                <w:color w:val="auto"/>
                <w:w w:val="93"/>
              </w:rPr>
              <w:t>Gary Locke</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1400" w:type="dxa"/>
            <w:vAlign w:val="bottom"/>
          </w:tcPr>
          <w:p>
            <w:pPr>
              <w:ind w:left="1100"/>
              <w:spacing w:after="0"/>
              <w:rPr>
                <w:sz w:val="20"/>
                <w:szCs w:val="20"/>
                <w:color w:val="auto"/>
              </w:rPr>
            </w:pPr>
            <w:r>
              <w:rPr>
                <w:rFonts w:ascii="Arial" w:cs="Arial" w:eastAsia="Arial" w:hAnsi="Arial"/>
                <w:sz w:val="18"/>
                <w:szCs w:val="18"/>
                <w:color w:val="auto"/>
              </w:rPr>
              <w:t>/s/</w:t>
            </w:r>
          </w:p>
        </w:tc>
        <w:tc>
          <w:tcPr>
            <w:tcW w:w="2600" w:type="dxa"/>
            <w:vAlign w:val="bottom"/>
            <w:gridSpan w:val="4"/>
          </w:tcPr>
          <w:p>
            <w:pPr>
              <w:jc w:val="center"/>
              <w:ind w:right="1060"/>
              <w:spacing w:after="0"/>
              <w:rPr>
                <w:sz w:val="20"/>
                <w:szCs w:val="20"/>
                <w:color w:val="auto"/>
              </w:rPr>
            </w:pPr>
            <w:r>
              <w:rPr>
                <w:rFonts w:ascii="Arial" w:cs="Arial" w:eastAsia="Arial" w:hAnsi="Arial"/>
                <w:sz w:val="18"/>
                <w:szCs w:val="18"/>
                <w:color w:val="auto"/>
                <w:w w:val="95"/>
              </w:rPr>
              <w:t>William H. Neukom</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2018</w:t>
            </w:r>
          </w:p>
        </w:tc>
      </w:tr>
      <w:tr>
        <w:trPr>
          <w:trHeight w:val="27"/>
        </w:trPr>
        <w:tc>
          <w:tcPr>
            <w:tcW w:w="16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40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6"/>
              </w:rPr>
              <w:t>William H. Neukom</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94"/>
        </w:trPr>
        <w:tc>
          <w:tcPr>
            <w:tcW w:w="4000" w:type="dxa"/>
            <w:vAlign w:val="bottom"/>
            <w:gridSpan w:val="5"/>
          </w:tcPr>
          <w:p>
            <w:pPr>
              <w:jc w:val="center"/>
              <w:spacing w:after="0"/>
              <w:rPr>
                <w:sz w:val="20"/>
                <w:szCs w:val="20"/>
                <w:color w:val="auto"/>
              </w:rPr>
            </w:pPr>
            <w:r>
              <w:rPr>
                <w:rFonts w:ascii="Arial" w:cs="Arial" w:eastAsia="Arial" w:hAnsi="Arial"/>
                <w:sz w:val="18"/>
                <w:szCs w:val="18"/>
                <w:color w:val="auto"/>
                <w:w w:val="92"/>
              </w:rPr>
              <w:t>/s/  Christopher B. Paisley</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2018</w:t>
            </w:r>
          </w:p>
        </w:tc>
      </w:tr>
      <w:tr>
        <w:trPr>
          <w:trHeight w:val="27"/>
        </w:trPr>
        <w:tc>
          <w:tcPr>
            <w:tcW w:w="162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40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Christopher B. Paisley</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54"/>
        </w:trPr>
        <w:tc>
          <w:tcPr>
            <w:tcW w:w="1400" w:type="dxa"/>
            <w:vAlign w:val="bottom"/>
          </w:tcPr>
          <w:p>
            <w:pPr>
              <w:spacing w:after="0"/>
              <w:rPr>
                <w:sz w:val="24"/>
                <w:szCs w:val="24"/>
                <w:color w:val="auto"/>
              </w:rPr>
            </w:pPr>
          </w:p>
        </w:tc>
        <w:tc>
          <w:tcPr>
            <w:tcW w:w="2600" w:type="dxa"/>
            <w:vAlign w:val="bottom"/>
            <w:gridSpan w:val="4"/>
          </w:tcPr>
          <w:p>
            <w:pPr>
              <w:jc w:val="center"/>
              <w:ind w:right="1400"/>
              <w:spacing w:after="0"/>
              <w:rPr>
                <w:sz w:val="20"/>
                <w:szCs w:val="20"/>
                <w:color w:val="auto"/>
              </w:rPr>
            </w:pPr>
            <w:r>
              <w:rPr>
                <w:rFonts w:ascii="Arial" w:cs="Arial" w:eastAsia="Arial" w:hAnsi="Arial"/>
                <w:sz w:val="18"/>
                <w:szCs w:val="18"/>
                <w:color w:val="auto"/>
                <w:w w:val="92"/>
              </w:rPr>
              <w:t>/s/ Judith Sim</w:t>
            </w:r>
          </w:p>
        </w:tc>
        <w:tc>
          <w:tcPr>
            <w:tcW w:w="544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580"/>
              <w:spacing w:after="0"/>
              <w:rPr>
                <w:sz w:val="20"/>
                <w:szCs w:val="20"/>
                <w:color w:val="auto"/>
              </w:rPr>
            </w:pPr>
            <w:r>
              <w:rPr>
                <w:rFonts w:ascii="Arial" w:cs="Arial" w:eastAsia="Arial" w:hAnsi="Arial"/>
                <w:sz w:val="18"/>
                <w:szCs w:val="18"/>
                <w:color w:val="auto"/>
                <w:w w:val="88"/>
              </w:rPr>
              <w:t>February 26, 2018</w:t>
            </w:r>
          </w:p>
        </w:tc>
      </w:tr>
      <w:tr>
        <w:trPr>
          <w:trHeight w:val="27"/>
        </w:trPr>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1"/>
              </w:rPr>
              <w:t>Judith Sim</w:t>
            </w:r>
          </w:p>
        </w:tc>
        <w:tc>
          <w:tcPr>
            <w:tcW w:w="2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702"/>
        </w:trPr>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40" w:type="dxa"/>
            <w:vAlign w:val="bottom"/>
          </w:tcPr>
          <w:p>
            <w:pPr>
              <w:ind w:left="1580"/>
              <w:spacing w:after="0"/>
              <w:rPr>
                <w:sz w:val="20"/>
                <w:szCs w:val="20"/>
                <w:color w:val="auto"/>
              </w:rPr>
            </w:pPr>
            <w:r>
              <w:rPr>
                <w:rFonts w:ascii="Arial" w:cs="Arial" w:eastAsia="Arial" w:hAnsi="Arial"/>
                <w:sz w:val="18"/>
                <w:szCs w:val="18"/>
                <w:color w:val="auto"/>
              </w:rPr>
              <w:t>110</w:t>
            </w:r>
          </w:p>
        </w:tc>
        <w:tc>
          <w:tcPr>
            <w:tcW w:w="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898775"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extLst>
                    </a:blip>
                    <a:srcRect/>
                    <a:stretch>
                      <a:fillRect/>
                    </a:stretch>
                  </pic:blipFill>
                  <pic:spPr bwMode="auto">
                    <a:xfrm>
                      <a:off x="0" y="0"/>
                      <a:ext cx="289877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Fortinet,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1090 Kifer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Sunnyvale, CA 94086,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p>
      <w:pPr>
        <w:ind w:right="10280" w:firstLine="8"/>
        <w:spacing w:after="0" w:line="584" w:lineRule="auto"/>
        <w:tabs>
          <w:tab w:leader="none" w:pos="435" w:val="left"/>
        </w:tabs>
        <w:numPr>
          <w:ilvl w:val="0"/>
          <w:numId w:val="57"/>
        </w:numPr>
        <w:rPr>
          <w:rFonts w:ascii="Arial" w:cs="Arial" w:eastAsia="Arial" w:hAnsi="Arial"/>
          <w:sz w:val="16"/>
          <w:szCs w:val="16"/>
          <w:color w:val="auto"/>
        </w:rPr>
      </w:pPr>
      <w:r>
        <w:rPr>
          <w:rFonts w:ascii="Arial" w:cs="Arial" w:eastAsia="Arial" w:hAnsi="Arial"/>
          <w:sz w:val="16"/>
          <w:szCs w:val="16"/>
          <w:color w:val="auto"/>
        </w:rPr>
        <w:t>235-7700 April 02, 2014 Keith Jensen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Dear Keith,</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We are pleased to extend an offer to you for the position of </w:t>
      </w:r>
      <w:r>
        <w:rPr>
          <w:rFonts w:ascii="Arial" w:cs="Arial" w:eastAsia="Arial" w:hAnsi="Arial"/>
          <w:sz w:val="18"/>
          <w:szCs w:val="18"/>
          <w:b w:val="1"/>
          <w:bCs w:val="1"/>
          <w:color w:val="auto"/>
        </w:rPr>
        <w:t>VP, Worldwide Corporate Controller</w:t>
      </w:r>
      <w:r>
        <w:rPr>
          <w:rFonts w:ascii="Arial" w:cs="Arial" w:eastAsia="Arial" w:hAnsi="Arial"/>
          <w:sz w:val="18"/>
          <w:szCs w:val="18"/>
          <w:color w:val="auto"/>
        </w:rPr>
        <w:t xml:space="preserve"> for Fortinet, Inc. (“Company”) reporting to Andrew Del Matto, CFO. We believe that each employee contributes directly to Fortinet’s growth and success, and we hope you will take pride in being a member of our team.</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It is understood that your employment would commence with the Company on or before </w:t>
      </w:r>
      <w:r>
        <w:rPr>
          <w:rFonts w:ascii="Arial" w:cs="Arial" w:eastAsia="Arial" w:hAnsi="Arial"/>
          <w:sz w:val="18"/>
          <w:szCs w:val="18"/>
          <w:b w:val="1"/>
          <w:bCs w:val="1"/>
          <w:color w:val="auto"/>
        </w:rPr>
        <w:t>May 5, 2014</w:t>
      </w:r>
      <w:r>
        <w:rPr>
          <w:rFonts w:ascii="Arial" w:cs="Arial" w:eastAsia="Arial" w:hAnsi="Arial"/>
          <w:sz w:val="18"/>
          <w:szCs w:val="18"/>
          <w:color w:val="auto"/>
        </w:rPr>
        <w:t>. Your compensation package will include the following:</w:t>
      </w:r>
    </w:p>
    <w:p>
      <w:pPr>
        <w:spacing w:after="0" w:line="162"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Annual base salary of </w:t>
      </w:r>
      <w:r>
        <w:rPr>
          <w:rFonts w:ascii="Arial" w:cs="Arial" w:eastAsia="Arial" w:hAnsi="Arial"/>
          <w:sz w:val="18"/>
          <w:szCs w:val="18"/>
          <w:b w:val="1"/>
          <w:bCs w:val="1"/>
          <w:color w:val="auto"/>
        </w:rPr>
        <w:t>$270,000.00</w:t>
      </w:r>
      <w:r>
        <w:rPr>
          <w:rFonts w:ascii="Arial" w:cs="Arial" w:eastAsia="Arial" w:hAnsi="Arial"/>
          <w:sz w:val="18"/>
          <w:szCs w:val="18"/>
          <w:color w:val="auto"/>
        </w:rPr>
        <w:t xml:space="preserve"> payable semi-monthly </w:t>
      </w:r>
      <w:r>
        <w:rPr>
          <w:rFonts w:ascii="Arial" w:cs="Arial" w:eastAsia="Arial" w:hAnsi="Arial"/>
          <w:sz w:val="18"/>
          <w:szCs w:val="18"/>
          <w:b w:val="1"/>
          <w:bCs w:val="1"/>
          <w:color w:val="auto"/>
        </w:rPr>
        <w:t>($11,250.00)</w:t>
      </w:r>
      <w:r>
        <w:rPr>
          <w:rFonts w:ascii="Arial" w:cs="Arial" w:eastAsia="Arial" w:hAnsi="Arial"/>
          <w:sz w:val="18"/>
          <w:szCs w:val="18"/>
          <w:color w:val="auto"/>
        </w:rPr>
        <w:t xml:space="preserve"> in accordance with Company policy and procedures.</w:t>
      </w:r>
    </w:p>
    <w:p>
      <w:pPr>
        <w:spacing w:after="0" w:line="225"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You will be eligible for Fortinet’s Management by Objective Program (MBO). Your annual target MBO bonus amount is </w:t>
      </w:r>
      <w:r>
        <w:rPr>
          <w:rFonts w:ascii="Arial" w:cs="Arial" w:eastAsia="Arial" w:hAnsi="Arial"/>
          <w:sz w:val="18"/>
          <w:szCs w:val="18"/>
          <w:b w:val="1"/>
          <w:bCs w:val="1"/>
          <w:color w:val="auto"/>
        </w:rPr>
        <w:t>30%</w:t>
      </w:r>
      <w:r>
        <w:rPr>
          <w:rFonts w:ascii="Arial" w:cs="Arial" w:eastAsia="Arial" w:hAnsi="Arial"/>
          <w:sz w:val="18"/>
          <w:szCs w:val="18"/>
          <w:color w:val="auto"/>
        </w:rPr>
        <w:t xml:space="preserve"> of your base salary. Quarterly payouts are pro-rated based on achievement of the company goals and optional personal objectives set out for you by management. Performance targets may be updated on a quarterly basis under Manager's discretion. A bonus payout will only occur if you are actively employed at the time of the bonus payment. You are ineligible for any bonus payment should you resign or are terminated for cause or without cause prior to the bonus payment date.</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We’re glad you chose Fortinet as a place to share your knowledge and expertise, and to grow your career. We believe that it is important to a healthy working relationship for both parties to understand the terms and conditions of employment before commencing employment. In order to ensure that both you and the Company have a common understanding, we have set forth some fundamental premises.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is a full time position with the understanding that during your employment you will not engage in outside consulting activities, whether compensated or not, which materially interfere with the performance of your job duties with the Company or create a conflict of interest, nor will you establish a competing business during your employment with the Company. Accordingly, you are required to obtain approval in writing from the Company before engaging in any employment or consulting services outside the Company while employed by Fortinet, Inc. so that the Company may determine if any conflict exists. You also confirm that you are not bound by any other agreement with any prior or current employer, person or entity which would prevent you from fully performing your duties with Fortinet, Inc.</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offer of employment is not for any specific period of time; instead your employment is at all times “at-will.” This means that you may terminate your employment with or without cause or prior notice, and the Company has the same right. In addition, the Company may change your compensation, duties, assignments, responsibilities or location of your position at any time to adjust to the changing needs of our dynamic company. These provisions expressly supersede any previous representations, oral or written. Your at-will employment status cannot be modified unless it is written and signed by both you and the Chief Executive Officer of the Company.</w:t>
      </w:r>
    </w:p>
    <w:p>
      <w:pPr>
        <w:sectPr>
          <w:pgSz w:w="11900" w:h="16838" w:orient="portrait"/>
          <w:cols w:equalWidth="0" w:num="1">
            <w:col w:w="11420"/>
          </w:cols>
          <w:pgMar w:left="240" w:top="580" w:right="239" w:bottom="1440" w:gutter="0" w:footer="0" w:header="0"/>
        </w:sectPr>
      </w:pPr>
    </w:p>
    <w:bookmarkStart w:id="114" w:name="page115"/>
    <w:bookmarkEnd w:id="114"/>
    <w:p>
      <w:pPr>
        <w:ind w:right="80"/>
        <w:spacing w:after="0" w:line="273" w:lineRule="auto"/>
        <w:rPr>
          <w:sz w:val="20"/>
          <w:szCs w:val="20"/>
          <w:color w:val="auto"/>
        </w:rPr>
      </w:pPr>
      <w:r>
        <w:rPr>
          <w:rFonts w:ascii="Arial" w:cs="Arial" w:eastAsia="Arial" w:hAnsi="Arial"/>
          <w:sz w:val="17"/>
          <w:szCs w:val="17"/>
          <w:color w:val="auto"/>
        </w:rPr>
        <w:t>As a Company employee you are eligible to receive health insurance coverage, which begins on the official hire date, through the Company insurance plan, and to participate in the Company’s 401(k) plan, all of which may be modified or terminated from time to time. You are entitled to fifteen (15) accrued days of Paid Time Off (PTO) per year. Our comprehensive benefits and worker’s compensation information are enclosed for your reference with this letter. The Company shall also reimburse you for all agreed upon, reasonable business expenses incurred in the performance of your duties on behalf of the Company upon submission of expense reports as necessary to substantiate the Company’s federal income tax deductions for such expenses under the Internal Revenue Code (as amended) and procedures as may be established by the Board of Directors of the Company.</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This offer of employment is subject to your signing of “Fortinet Confidentiality Agreement” on your first day of employment at Fortinet, Inc., as well as your agreement to follow all other policies and procedures that the Company may announce from time to time. </w:t>
      </w:r>
      <w:r>
        <w:rPr>
          <w:rFonts w:ascii="Arial" w:cs="Arial" w:eastAsia="Arial" w:hAnsi="Arial"/>
          <w:sz w:val="18"/>
          <w:szCs w:val="18"/>
          <w:b w:val="1"/>
          <w:bCs w:val="1"/>
          <w:color w:val="auto"/>
        </w:rPr>
        <w:t>This offer is also contingent upon proof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identity and work eligibility. Under the Immigration and Reform Act of 1986, employers are required to verify the identity and employment eligibility of all new hires within three (3) business days of hire. To assist us in complying with this requirement </w:t>
      </w:r>
      <w:r>
        <w:rPr>
          <w:rFonts w:ascii="Arial" w:cs="Arial" w:eastAsia="Arial" w:hAnsi="Arial"/>
          <w:sz w:val="18"/>
          <w:szCs w:val="18"/>
          <w:b w:val="1"/>
          <w:bCs w:val="1"/>
          <w:u w:val="single" w:color="auto"/>
          <w:color w:val="auto"/>
        </w:rPr>
        <w:t>please bring appropriate documents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with you on your first day</w:t>
      </w:r>
      <w:r>
        <w:rPr>
          <w:rFonts w:ascii="Arial" w:cs="Arial" w:eastAsia="Arial" w:hAnsi="Arial"/>
          <w:sz w:val="18"/>
          <w:szCs w:val="18"/>
          <w:b w:val="1"/>
          <w:bCs w:val="1"/>
          <w:color w:val="auto"/>
        </w:rPr>
        <w:t>.</w:t>
      </w:r>
    </w:p>
    <w:p>
      <w:pPr>
        <w:spacing w:after="0" w:line="18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Additionally, in some instances, U.S. export control laws require that Fortinet obtain a U.S. government export license prior to releasing technologies to certain persons. This offer is contingent upon Fortinet's ability to satisfy these export control laws as related to your employment and anticipated job activities. The decision whether or not to submit and/or pursue an export license to satisfy this contingency, if applicable, shall be at Fortinet's sole election.</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reserves the right to conduct background investigations and/or reference checks on all of its potential employees. Your job offer, therefore, is contingent upon a clearance of such a background investigation and/or reference check, if any.</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Please sign and date this letter below and return to Human Resources to indicate your acceptance of the Company’s offer. This offer will stay open until Monday, April 7,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working with you at Fortinet, Inc.</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Sincerely,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Fortinet, Inc.</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Amanda Mallow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78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Amanda Mallow</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VP Global Human Resources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gridSpan w:val="2"/>
          </w:tcPr>
          <w:p>
            <w:pPr>
              <w:ind w:left="40"/>
              <w:spacing w:after="0"/>
              <w:rPr>
                <w:sz w:val="20"/>
                <w:szCs w:val="20"/>
                <w:color w:val="auto"/>
              </w:rPr>
            </w:pPr>
            <w:r>
              <w:rPr>
                <w:rFonts w:ascii="Arial" w:cs="Arial" w:eastAsia="Arial" w:hAnsi="Arial"/>
                <w:sz w:val="18"/>
                <w:szCs w:val="18"/>
                <w:b w:val="1"/>
                <w:bCs w:val="1"/>
                <w:color w:val="auto"/>
              </w:rPr>
              <w:t>ACCEPTED AND AGREED:</w:t>
            </w:r>
          </w:p>
        </w:tc>
        <w:tc>
          <w:tcPr>
            <w:tcW w:w="1880" w:type="dxa"/>
            <w:vAlign w:val="bottom"/>
          </w:tcPr>
          <w:p>
            <w:pPr>
              <w:spacing w:after="0"/>
              <w:rPr>
                <w:sz w:val="20"/>
                <w:szCs w:val="20"/>
                <w:color w:val="auto"/>
              </w:rPr>
            </w:pPr>
          </w:p>
        </w:tc>
      </w:tr>
      <w:tr>
        <w:trPr>
          <w:trHeight w:val="270"/>
        </w:trPr>
        <w:tc>
          <w:tcPr>
            <w:tcW w:w="3080" w:type="dxa"/>
            <w:vAlign w:val="bottom"/>
            <w:gridSpan w:val="2"/>
          </w:tcPr>
          <w:p>
            <w:pPr>
              <w:ind w:left="40"/>
              <w:spacing w:after="0"/>
              <w:rPr>
                <w:sz w:val="20"/>
                <w:szCs w:val="20"/>
                <w:color w:val="auto"/>
              </w:rPr>
            </w:pPr>
            <w:r>
              <w:rPr>
                <w:rFonts w:ascii="Arial" w:cs="Arial" w:eastAsia="Arial" w:hAnsi="Arial"/>
                <w:sz w:val="18"/>
                <w:szCs w:val="18"/>
                <w:color w:val="auto"/>
              </w:rPr>
              <w:t>/s/ Keith Jensen</w:t>
            </w:r>
          </w:p>
        </w:tc>
        <w:tc>
          <w:tcPr>
            <w:tcW w:w="1880" w:type="dxa"/>
            <w:vAlign w:val="bottom"/>
          </w:tcPr>
          <w:p>
            <w:pPr>
              <w:ind w:left="20"/>
              <w:spacing w:after="0"/>
              <w:rPr>
                <w:sz w:val="20"/>
                <w:szCs w:val="20"/>
                <w:color w:val="auto"/>
              </w:rPr>
            </w:pPr>
            <w:r>
              <w:rPr>
                <w:rFonts w:ascii="Arial" w:cs="Arial" w:eastAsia="Arial" w:hAnsi="Arial"/>
                <w:sz w:val="18"/>
                <w:szCs w:val="18"/>
                <w:color w:val="auto"/>
              </w:rPr>
              <w:t>April 3, 2014</w:t>
            </w:r>
          </w:p>
        </w:tc>
      </w:tr>
      <w:tr>
        <w:trPr>
          <w:trHeight w:val="27"/>
        </w:trPr>
        <w:tc>
          <w:tcPr>
            <w:tcW w:w="2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3080" w:type="dxa"/>
            <w:vAlign w:val="bottom"/>
            <w:gridSpan w:val="2"/>
          </w:tcPr>
          <w:p>
            <w:pPr>
              <w:ind w:left="40"/>
              <w:spacing w:after="0"/>
              <w:rPr>
                <w:sz w:val="20"/>
                <w:szCs w:val="20"/>
                <w:color w:val="auto"/>
              </w:rPr>
            </w:pPr>
            <w:r>
              <w:rPr>
                <w:rFonts w:ascii="Arial" w:cs="Arial" w:eastAsia="Arial" w:hAnsi="Arial"/>
                <w:sz w:val="18"/>
                <w:szCs w:val="18"/>
                <w:color w:val="auto"/>
              </w:rPr>
              <w:t>Signature</w:t>
            </w:r>
          </w:p>
        </w:tc>
        <w:tc>
          <w:tcPr>
            <w:tcW w:w="1880" w:type="dxa"/>
            <w:vAlign w:val="bottom"/>
          </w:tcPr>
          <w:p>
            <w:pPr>
              <w:ind w:left="2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360"/>
          </w:cols>
          <w:pgMar w:left="240" w:top="584" w:right="29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CONTROL SEVERANCE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Change of Control Severance Agreement (the “Agreement”) is made and entered into by and between Keith Jensen (“Executive”) and Fortinet, Inc. (the “Company”), effective as of February 4, 2016 (the “Effective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firstLine="656"/>
        <w:spacing w:after="0" w:line="257" w:lineRule="auto"/>
        <w:tabs>
          <w:tab w:leader="none" w:pos="977" w:val="left"/>
        </w:tabs>
        <w:numPr>
          <w:ilvl w:val="0"/>
          <w:numId w:val="59"/>
        </w:numPr>
        <w:rPr>
          <w:rFonts w:ascii="Arial" w:cs="Arial" w:eastAsia="Arial" w:hAnsi="Arial"/>
          <w:sz w:val="18"/>
          <w:szCs w:val="18"/>
          <w:color w:val="auto"/>
        </w:rPr>
      </w:pPr>
      <w:r>
        <w:rPr>
          <w:rFonts w:ascii="Arial" w:cs="Arial" w:eastAsia="Arial" w:hAnsi="Arial"/>
          <w:sz w:val="18"/>
          <w:szCs w:val="18"/>
          <w:color w:val="auto"/>
        </w:rPr>
        <w:t>It is expected that the Company from time to time will consider the possibility of an acquisition by another company or other change of control. The Board of Directors of the Company (the “Board”) recognizes that such consideration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a Change of Control (as defined herein) of the Company.</w:t>
      </w:r>
    </w:p>
    <w:p>
      <w:pPr>
        <w:spacing w:after="0" w:line="188" w:lineRule="exact"/>
        <w:rPr>
          <w:rFonts w:ascii="Arial" w:cs="Arial" w:eastAsia="Arial" w:hAnsi="Arial"/>
          <w:sz w:val="18"/>
          <w:szCs w:val="18"/>
          <w:color w:val="auto"/>
        </w:rPr>
      </w:pPr>
    </w:p>
    <w:p>
      <w:pPr>
        <w:ind w:firstLine="656"/>
        <w:spacing w:after="0" w:line="308" w:lineRule="auto"/>
        <w:tabs>
          <w:tab w:leader="none" w:pos="986"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Board believes that it is in the best interests of the Company and its stockholders to provide Executive with an incentive to continue his or her employment and to motivate Executive to maximize the value of the Company upon a Change of Control for the benefit of its stockholders.</w:t>
      </w:r>
    </w:p>
    <w:p>
      <w:pPr>
        <w:spacing w:after="0" w:line="146" w:lineRule="exact"/>
        <w:rPr>
          <w:rFonts w:ascii="Arial" w:cs="Arial" w:eastAsia="Arial" w:hAnsi="Arial"/>
          <w:sz w:val="17"/>
          <w:szCs w:val="17"/>
          <w:color w:val="auto"/>
        </w:rPr>
      </w:pPr>
    </w:p>
    <w:p>
      <w:pPr>
        <w:ind w:firstLine="656"/>
        <w:spacing w:after="0" w:line="342" w:lineRule="auto"/>
        <w:tabs>
          <w:tab w:leader="none" w:pos="1021"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Board believes that it is imperative to provide Executive with certain benefits upon termination of employment prior to and following a Change of Control. These benefits will provide Executive with enhanced financial security and incentive and encouragement to remain with the Company.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covenants contained herein, the parties hereto agree as follows:</w:t>
      </w:r>
    </w:p>
    <w:p>
      <w:pPr>
        <w:spacing w:after="0" w:line="252" w:lineRule="exact"/>
        <w:rPr>
          <w:sz w:val="20"/>
          <w:szCs w:val="20"/>
          <w:color w:val="auto"/>
        </w:rPr>
      </w:pPr>
    </w:p>
    <w:p>
      <w:pPr>
        <w:ind w:firstLine="656"/>
        <w:spacing w:after="0" w:line="324" w:lineRule="auto"/>
        <w:tabs>
          <w:tab w:leader="none" w:pos="14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Term of Agreement. This Agreement will terminate upon the earlier to occur of: (a) the Agreement’s termination date as provided in Section 8 below, and (b) the date that all of the obligations of the parties hereto with respect to this Agreement have been satisfied.</w:t>
      </w:r>
    </w:p>
    <w:p>
      <w:pPr>
        <w:spacing w:after="0" w:line="170" w:lineRule="exact"/>
        <w:rPr>
          <w:rFonts w:ascii="Arial" w:cs="Arial" w:eastAsia="Arial" w:hAnsi="Arial"/>
          <w:sz w:val="18"/>
          <w:szCs w:val="18"/>
          <w:color w:val="auto"/>
        </w:rPr>
      </w:pPr>
    </w:p>
    <w:p>
      <w:pPr>
        <w:ind w:firstLine="656"/>
        <w:spacing w:after="0" w:line="324" w:lineRule="auto"/>
        <w:tabs>
          <w:tab w:leader="none" w:pos="14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At-Will Employment. The Company and Executive acknowledge that Executive’s employment is and will continue to be at-will, as defined under applicable law.</w:t>
      </w:r>
    </w:p>
    <w:p>
      <w:pPr>
        <w:spacing w:after="0" w:line="170" w:lineRule="exact"/>
        <w:rPr>
          <w:rFonts w:ascii="Arial" w:cs="Arial" w:eastAsia="Arial" w:hAnsi="Arial"/>
          <w:sz w:val="18"/>
          <w:szCs w:val="18"/>
          <w:color w:val="auto"/>
        </w:rPr>
      </w:pPr>
    </w:p>
    <w:p>
      <w:pPr>
        <w:ind w:left="1440" w:hanging="784"/>
        <w:spacing w:after="0"/>
        <w:tabs>
          <w:tab w:leader="none" w:pos="1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Severance Benefits.</w:t>
      </w:r>
    </w:p>
    <w:p>
      <w:pPr>
        <w:spacing w:after="0" w:line="265" w:lineRule="exact"/>
        <w:rPr>
          <w:rFonts w:ascii="Arial" w:cs="Arial" w:eastAsia="Arial" w:hAnsi="Arial"/>
          <w:sz w:val="18"/>
          <w:szCs w:val="18"/>
          <w:color w:val="auto"/>
        </w:rPr>
      </w:pPr>
    </w:p>
    <w:p>
      <w:pPr>
        <w:jc w:val="both"/>
        <w:ind w:firstLine="1305"/>
        <w:spacing w:after="0" w:line="306" w:lineRule="auto"/>
        <w:tabs>
          <w:tab w:leader="none" w:pos="2144"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Involuntary Termination within 12 Months Following a Change of Control. If within twelve (12) months following a Change of Control, (i) the Company (or any parent or subsidiary of the Company) terminates Executive’s employment without Cause or (ii) Executive terminates Executive’s employment with the Company (or any parent or subsidiary of the Company) for Good Reason, then, subject to Section 3(b) and Section 3(c) below, Executive will receive the following severance from the Company:</w:t>
      </w:r>
    </w:p>
    <w:p>
      <w:pPr>
        <w:spacing w:after="0" w:line="186" w:lineRule="exact"/>
        <w:rPr>
          <w:rFonts w:ascii="Arial" w:cs="Arial" w:eastAsia="Arial" w:hAnsi="Arial"/>
          <w:sz w:val="18"/>
          <w:szCs w:val="18"/>
          <w:color w:val="auto"/>
        </w:rPr>
      </w:pPr>
    </w:p>
    <w:p>
      <w:pPr>
        <w:jc w:val="both"/>
        <w:ind w:firstLine="1953"/>
        <w:spacing w:after="0" w:line="311" w:lineRule="auto"/>
        <w:tabs>
          <w:tab w:leader="none" w:pos="2763" w:val="left"/>
        </w:tabs>
        <w:numPr>
          <w:ilvl w:val="2"/>
          <w:numId w:val="60"/>
        </w:numPr>
        <w:rPr>
          <w:rFonts w:ascii="Arial" w:cs="Arial" w:eastAsia="Arial" w:hAnsi="Arial"/>
          <w:sz w:val="18"/>
          <w:szCs w:val="18"/>
          <w:color w:val="auto"/>
        </w:rPr>
      </w:pPr>
      <w:r>
        <w:rPr>
          <w:rFonts w:ascii="Arial" w:cs="Arial" w:eastAsia="Arial" w:hAnsi="Arial"/>
          <w:sz w:val="18"/>
          <w:szCs w:val="18"/>
          <w:u w:val="single" w:color="auto"/>
          <w:color w:val="auto"/>
        </w:rPr>
        <w:t>Severance Payment</w:t>
      </w:r>
      <w:r>
        <w:rPr>
          <w:rFonts w:ascii="Arial" w:cs="Arial" w:eastAsia="Arial" w:hAnsi="Arial"/>
          <w:sz w:val="18"/>
          <w:szCs w:val="18"/>
          <w:color w:val="auto"/>
        </w:rPr>
        <w:t>. Executive will receive continuing payments of severance pay for a period of nine (9) months from the date of such termination equal to Executive’s base salary rate as in effect immediately prior to (A) the Change of Control, or (B) Executive’s termination, whichever is greater.</w:t>
      </w:r>
    </w:p>
    <w:p>
      <w:pPr>
        <w:spacing w:after="0" w:line="181" w:lineRule="exact"/>
        <w:rPr>
          <w:rFonts w:ascii="Arial" w:cs="Arial" w:eastAsia="Arial" w:hAnsi="Arial"/>
          <w:sz w:val="18"/>
          <w:szCs w:val="18"/>
          <w:color w:val="auto"/>
        </w:rPr>
      </w:pPr>
    </w:p>
    <w:p>
      <w:pPr>
        <w:jc w:val="both"/>
        <w:ind w:firstLine="1953"/>
        <w:spacing w:after="0" w:line="336" w:lineRule="auto"/>
        <w:tabs>
          <w:tab w:leader="none" w:pos="2813" w:val="left"/>
        </w:tabs>
        <w:numPr>
          <w:ilvl w:val="2"/>
          <w:numId w:val="60"/>
        </w:numPr>
        <w:rPr>
          <w:rFonts w:ascii="Arial" w:cs="Arial" w:eastAsia="Arial" w:hAnsi="Arial"/>
          <w:sz w:val="17"/>
          <w:szCs w:val="17"/>
          <w:color w:val="auto"/>
        </w:rPr>
      </w:pPr>
      <w:r>
        <w:rPr>
          <w:rFonts w:ascii="Arial" w:cs="Arial" w:eastAsia="Arial" w:hAnsi="Arial"/>
          <w:sz w:val="17"/>
          <w:szCs w:val="17"/>
          <w:u w:val="single" w:color="auto"/>
          <w:color w:val="auto"/>
        </w:rPr>
        <w:t>Equity Awards</w:t>
      </w:r>
      <w:r>
        <w:rPr>
          <w:rFonts w:ascii="Arial" w:cs="Arial" w:eastAsia="Arial" w:hAnsi="Arial"/>
          <w:sz w:val="17"/>
          <w:szCs w:val="17"/>
          <w:color w:val="auto"/>
        </w:rPr>
        <w:t>. If Executive holds unvested Awards at the time of Executive’s termination, then one hundred percent (100%) of the then-unvested shares subject to such Awards will immediately vest as of Executive’s termination date. The Awards will remain exercisable, to the extent applicable, following the termination for the period prescribed in the respective stock plan and agreement for each Award.</w:t>
      </w:r>
    </w:p>
    <w:p>
      <w:pPr>
        <w:spacing w:after="0" w:line="164" w:lineRule="exact"/>
        <w:rPr>
          <w:rFonts w:ascii="Arial" w:cs="Arial" w:eastAsia="Arial" w:hAnsi="Arial"/>
          <w:sz w:val="17"/>
          <w:szCs w:val="17"/>
          <w:color w:val="auto"/>
        </w:rPr>
      </w:pPr>
    </w:p>
    <w:p>
      <w:pPr>
        <w:ind w:firstLine="1953"/>
        <w:spacing w:after="0" w:line="324" w:lineRule="auto"/>
        <w:tabs>
          <w:tab w:leader="none" w:pos="2863" w:val="left"/>
        </w:tabs>
        <w:numPr>
          <w:ilvl w:val="2"/>
          <w:numId w:val="60"/>
        </w:numPr>
        <w:rPr>
          <w:rFonts w:ascii="Arial" w:cs="Arial" w:eastAsia="Arial" w:hAnsi="Arial"/>
          <w:sz w:val="18"/>
          <w:szCs w:val="18"/>
          <w:color w:val="auto"/>
        </w:rPr>
      </w:pPr>
      <w:r>
        <w:rPr>
          <w:rFonts w:ascii="Arial" w:cs="Arial" w:eastAsia="Arial" w:hAnsi="Arial"/>
          <w:sz w:val="18"/>
          <w:szCs w:val="18"/>
          <w:u w:val="single" w:color="auto"/>
          <w:color w:val="auto"/>
        </w:rPr>
        <w:t>Continued Employee Benefits</w:t>
      </w:r>
      <w:r>
        <w:rPr>
          <w:rFonts w:ascii="Arial" w:cs="Arial" w:eastAsia="Arial" w:hAnsi="Arial"/>
          <w:sz w:val="18"/>
          <w:szCs w:val="18"/>
          <w:color w:val="auto"/>
        </w:rPr>
        <w:t>. Executive will receive Company-paid coverage for a period of nine (9) months for Executive and Executive’s eligible dependents under the Company’s Benefit Plans (as defined herein).</w:t>
      </w:r>
    </w:p>
    <w:p>
      <w:pPr>
        <w:sectPr>
          <w:pgSz w:w="11900" w:h="16838" w:orient="portrait"/>
          <w:cols w:equalWidth="0" w:num="1">
            <w:col w:w="11420"/>
          </w:cols>
          <w:pgMar w:left="240" w:top="580" w:right="239" w:bottom="1440" w:gutter="0" w:footer="0" w:header="0"/>
        </w:sectPr>
      </w:pPr>
    </w:p>
    <w:bookmarkStart w:id="116" w:name="page117"/>
    <w:bookmarkEnd w:id="116"/>
    <w:p>
      <w:pPr>
        <w:jc w:val="both"/>
        <w:ind w:firstLine="1305"/>
        <w:spacing w:after="0" w:line="322" w:lineRule="auto"/>
        <w:tabs>
          <w:tab w:leader="none" w:pos="2155"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Release of Claims Agreement. The receipt of any severance pay or other benefits pursuant to Section 3(a) above will be subject to Executive signing and not revoking a release of claims agreement with the Company in a form reasonably acceptable to the Company (provided the Company will work in good faith with Executive to reach agreement on the form of release) that is effective and irrevocable no later than the later of (i) the fifteenth day of the third month after the end of the Company’s fiscal year in which such termination of employment occurs or (ii) March 15 of the calendar year following the calendar year in which such termination of employment occurs. No such severance pay or other benefits will be paid or provided until the release of claims agreement becomes effective, and any severance amounts or benefits otherwise payable between the date of Executive’s termination and the date of such release becomes effective and irrevocable shall be paid on the effective date of such release.</w:t>
      </w:r>
    </w:p>
    <w:p>
      <w:pPr>
        <w:spacing w:after="0" w:line="176" w:lineRule="exact"/>
        <w:rPr>
          <w:rFonts w:ascii="Arial" w:cs="Arial" w:eastAsia="Arial" w:hAnsi="Arial"/>
          <w:sz w:val="17"/>
          <w:szCs w:val="17"/>
          <w:color w:val="auto"/>
        </w:rPr>
      </w:pPr>
    </w:p>
    <w:p>
      <w:pPr>
        <w:jc w:val="both"/>
        <w:ind w:firstLine="1305"/>
        <w:spacing w:after="0" w:line="319" w:lineRule="auto"/>
        <w:tabs>
          <w:tab w:leader="none" w:pos="2144"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Non-solicitation and Non-competition</w:t>
      </w:r>
      <w:r>
        <w:rPr>
          <w:rFonts w:ascii="Arial" w:cs="Arial" w:eastAsia="Arial" w:hAnsi="Arial"/>
          <w:sz w:val="17"/>
          <w:szCs w:val="17"/>
          <w:color w:val="auto"/>
        </w:rPr>
        <w:t>. Executive agrees, to the extent permitted by applicable law, that in the event Executive receives severance pay or other benefits pursuant to Section 3(a) above, for the twelve (12) consecutive month period immediately following the date of Executive’s termination, Executive, as a condition to receipt of severance pay and benefits under Section 3(a), will not (i) either directly or indirectly, solicit, induce, recruit, encourage any employee of the Company to leave his employment either for Executive or for any other entity or person, or (ii) without the express written consent of the Company, directly or indirectly engage in, enter the employ, have any ownership interest in, or participate in any entity that as of the date of involuntary termination, engages in the design, development, manufacture, production, marketing, sale or servicing of any product or the provision of any service that competes with any service offered by the Company or any product sold by the Company or under development by the Company; provided, however, that ownership of less than one percent (1%) of the outstanding stock of any publicly traded corporation will not be deemed to be violative of the restrictive covenant set forth in this paragraph. The provisions of clause (ii) will not apply to Executive to the extent Executive is providing services or residing in the State of California.</w:t>
      </w:r>
    </w:p>
    <w:p>
      <w:pPr>
        <w:spacing w:after="0" w:line="15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The covenants contained in this Section 3(c) hereof shall be construed as a series of separate covenants, one for each country, province, state, city or other political subdivision in which the Company currently engages in its business or, during the term of this Agreement, becomes engaged in its business. Except for geographic coverage, each such separate covenant shall be deemed identical in terms to the covenant contained in this Section 3(c). If, in any judicial proceeding, a court refuses to enforce any of such separate covenants (or any part thereof), then such unenforceable covenant (or such part) shall be eliminated from this Agreement to the extent necessary to permit the remaining separate covenants (or portions thereof) to be enforced. In the event that the provisions of this Section 3(c) are deemed to exceed the time, geographic or scope limitations permitted by applicable law, then such provisions shall be reformed to the maximum time, geographic or scope limitations, as the case may be, permitted by applicable law.</w:t>
      </w:r>
    </w:p>
    <w:p>
      <w:pPr>
        <w:spacing w:after="0" w:line="194" w:lineRule="exact"/>
        <w:rPr>
          <w:sz w:val="20"/>
          <w:szCs w:val="20"/>
          <w:color w:val="auto"/>
        </w:rPr>
      </w:pPr>
    </w:p>
    <w:p>
      <w:pPr>
        <w:jc w:val="both"/>
        <w:ind w:firstLine="1305"/>
        <w:spacing w:after="0" w:line="304" w:lineRule="auto"/>
        <w:tabs>
          <w:tab w:leader="none" w:pos="215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Accelerated Vesting of Equity Awards</w:t>
      </w:r>
      <w:r>
        <w:rPr>
          <w:rFonts w:ascii="Arial" w:cs="Arial" w:eastAsia="Arial" w:hAnsi="Arial"/>
          <w:sz w:val="18"/>
          <w:szCs w:val="18"/>
          <w:color w:val="auto"/>
        </w:rPr>
        <w:t>. For the sake of clarity, with respect to the Awards vested pursuant to Sections 3(a)(ii), Executive will fully vest in and have the right to exercise stock options and/or stock appreciation rights as to all of the shares underlying such Awards, including those shares which would not otherwise be vested or exercisable, all restrictions on restricted stock and restricted stock units will lapse, and, with respect to performance stock units and performance shares, all performance goals or other vesting criteria will be deemed to have been achieved at one hundred percent (100%) of target levels and all other terms and conditions met.</w:t>
      </w:r>
    </w:p>
    <w:p>
      <w:pPr>
        <w:spacing w:after="0" w:line="188" w:lineRule="exact"/>
        <w:rPr>
          <w:rFonts w:ascii="Arial" w:cs="Arial" w:eastAsia="Arial" w:hAnsi="Arial"/>
          <w:sz w:val="18"/>
          <w:szCs w:val="18"/>
          <w:color w:val="auto"/>
        </w:rPr>
      </w:pPr>
    </w:p>
    <w:p>
      <w:pPr>
        <w:jc w:val="both"/>
        <w:ind w:firstLine="1305"/>
        <w:spacing w:after="0" w:line="306" w:lineRule="auto"/>
        <w:tabs>
          <w:tab w:leader="none" w:pos="214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Timing of Severance Payments</w:t>
      </w:r>
      <w:r>
        <w:rPr>
          <w:rFonts w:ascii="Arial" w:cs="Arial" w:eastAsia="Arial" w:hAnsi="Arial"/>
          <w:sz w:val="18"/>
          <w:szCs w:val="18"/>
          <w:color w:val="auto"/>
        </w:rPr>
        <w:t>. Subject to Section 3(b), the Company will pay the severance payments to which Executive is entitled as salary continuation with the same timing as in effect immediately prior to Executive’s termination of employment. If Executive should die before all amounts have been paid, such unpaid amounts will be paid in a lump-sum payment (less any withholding taxes) to Executive’s designated beneficiary, if living, or otherwise to the personal representative of Executive’s estate.</w:t>
      </w:r>
    </w:p>
    <w:p>
      <w:pPr>
        <w:spacing w:after="0" w:line="186" w:lineRule="exact"/>
        <w:rPr>
          <w:rFonts w:ascii="Arial" w:cs="Arial" w:eastAsia="Arial" w:hAnsi="Arial"/>
          <w:sz w:val="18"/>
          <w:szCs w:val="18"/>
          <w:color w:val="auto"/>
        </w:rPr>
      </w:pPr>
    </w:p>
    <w:p>
      <w:pPr>
        <w:jc w:val="both"/>
        <w:ind w:firstLine="1305"/>
        <w:spacing w:after="0" w:line="304" w:lineRule="auto"/>
        <w:tabs>
          <w:tab w:leader="none" w:pos="212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Voluntary Resignation; Termination For Cause</w:t>
      </w:r>
      <w:r>
        <w:rPr>
          <w:rFonts w:ascii="Arial" w:cs="Arial" w:eastAsia="Arial" w:hAnsi="Arial"/>
          <w:sz w:val="18"/>
          <w:szCs w:val="18"/>
          <w:color w:val="auto"/>
        </w:rPr>
        <w:t>. If Executive’s employment with the Company terminates (i) voluntarily by Executive (except upon a termination for Good Reason within twelve (12) months following a Change of Control) or (ii) for Cause by the Company (or any parent or subsidiary of the Company),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pacing w:after="0" w:line="188" w:lineRule="exact"/>
        <w:rPr>
          <w:rFonts w:ascii="Arial" w:cs="Arial" w:eastAsia="Arial" w:hAnsi="Arial"/>
          <w:sz w:val="18"/>
          <w:szCs w:val="18"/>
          <w:color w:val="auto"/>
        </w:rPr>
      </w:pPr>
    </w:p>
    <w:p>
      <w:pPr>
        <w:jc w:val="both"/>
        <w:ind w:firstLine="1305"/>
        <w:spacing w:after="0" w:line="306" w:lineRule="auto"/>
        <w:tabs>
          <w:tab w:leader="none" w:pos="215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Disability; Death</w:t>
      </w:r>
      <w:r>
        <w:rPr>
          <w:rFonts w:ascii="Arial" w:cs="Arial" w:eastAsia="Arial" w:hAnsi="Arial"/>
          <w:sz w:val="18"/>
          <w:szCs w:val="18"/>
          <w:color w:val="auto"/>
        </w:rPr>
        <w:t>. If the Company terminates Executive’s employment as a result of Executive’s Disability, or Executive’s employment terminates due to his or her death, then Executive will not be entitled to receive severance or other benefits except for those benefits (if any) which do not concern acceleration of Award vesting or severance pay based on termination of employment as may then be established under other Company policies or programs, if any.</w:t>
      </w:r>
    </w:p>
    <w:p>
      <w:pPr>
        <w:sectPr>
          <w:pgSz w:w="11900" w:h="16838" w:orient="portrait"/>
          <w:cols w:equalWidth="0" w:num="1">
            <w:col w:w="11420"/>
          </w:cols>
          <w:pgMar w:left="240" w:top="611" w:right="239" w:bottom="1440" w:gutter="0" w:footer="0" w:header="0"/>
        </w:sectPr>
      </w:pPr>
    </w:p>
    <w:bookmarkStart w:id="117" w:name="page118"/>
    <w:bookmarkEnd w:id="117"/>
    <w:p>
      <w:pPr>
        <w:jc w:val="both"/>
        <w:ind w:firstLine="1305"/>
        <w:spacing w:after="0" w:line="304" w:lineRule="auto"/>
        <w:tabs>
          <w:tab w:leader="none" w:pos="2155"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Exclusive Remedy</w:t>
      </w:r>
      <w:r>
        <w:rPr>
          <w:rFonts w:ascii="Arial" w:cs="Arial" w:eastAsia="Arial" w:hAnsi="Arial"/>
          <w:sz w:val="18"/>
          <w:szCs w:val="18"/>
          <w:color w:val="auto"/>
        </w:rPr>
        <w:t>. In the event of a termination of Executive’s employment with the Company (or any parent or subsidiary of the Company), the provisions of this Section 3 are intended to be and are exclusive and in lieu of any other rights or remedies to which Executive or the Company may otherwise be entitled, whether at law, tort or contract, in equity, or under this Agreement. Executive will be entitled to no severance or other benefits upon termination of employment with respect to acceleration of Award vesting or severance pay other than those benefits expressly set forth in this Section 3.</w:t>
      </w:r>
    </w:p>
    <w:p>
      <w:pPr>
        <w:spacing w:after="0" w:line="188" w:lineRule="exact"/>
        <w:rPr>
          <w:rFonts w:ascii="Arial" w:cs="Arial" w:eastAsia="Arial" w:hAnsi="Arial"/>
          <w:sz w:val="18"/>
          <w:szCs w:val="18"/>
          <w:color w:val="auto"/>
        </w:rPr>
      </w:pPr>
    </w:p>
    <w:p>
      <w:pPr>
        <w:jc w:val="both"/>
        <w:ind w:firstLine="1305"/>
        <w:spacing w:after="0" w:line="317" w:lineRule="auto"/>
        <w:tabs>
          <w:tab w:leader="none" w:pos="2115"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Notwithstanding anything to the contrary in this Agreement, no severance pay or benefits to be paid or provided to Executive, if any, pursuant to this Agreement, when considered together with any other severance payments or separation benefits that are considered deferred compensation under Section 409A of the Internal Revenue Code of 1986, as amended (the “Code”) and any final regulations and official guidance promulgated thereunder (“Section 409A”) (together, the “Deferred Compensation Separation Benefits”) will be paid or otherwise provided until Executive has a “separation from service” within the meaning of Section 409A. Similarly, no severance payments or separation benefits payable to Executive, if any, pursuant to this Agreement that otherwise would be exempt from Section 409A pursuant to Section 1.409A-1(b)(9) of the Treasury Regulations will be payable until Executive has a “separation from service” within the meaning of Section 409A. In addition, if Executive is a “specified employee” within the meaning of Section 409A at the time of Executive’s termination (other than due to death), then the Deferred Compensation Separation Benefits that are payable within the first six (6) months following Executive’s separation from service, will become payable in a lump sum (without interest) on the first payroll date that occurs on or after the date six (6) months and one (1) day following the date of Executive’s separation from service. All subsequent Deferred Compensation Separation Benefits,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(without interest) as soon as administratively practicable after the date of Executive’s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 To the extent any payment under this Agreement may be classified as a “short-term deferral” within the meaning of Section 409A, such payment shall be deemed a short-term deferral, even if it may also qualify for an exemption from Section 409A under another provision of Section 409A. 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Executive and the Company agree to work together in good faith to consider amendments to this Agreement and to take such reasonable actions which are necessary, appropriate or desirable to avoid imposition of any additional tax or income recognition prior to actual payment to Executive under Section 409A.</w:t>
      </w:r>
    </w:p>
    <w:p>
      <w:pPr>
        <w:spacing w:after="0" w:line="181" w:lineRule="exact"/>
        <w:rPr>
          <w:rFonts w:ascii="Arial" w:cs="Arial" w:eastAsia="Arial" w:hAnsi="Arial"/>
          <w:sz w:val="17"/>
          <w:szCs w:val="17"/>
          <w:color w:val="auto"/>
        </w:rPr>
      </w:pPr>
    </w:p>
    <w:p>
      <w:pPr>
        <w:jc w:val="both"/>
        <w:ind w:firstLine="656"/>
        <w:spacing w:after="0" w:line="311" w:lineRule="auto"/>
        <w:tabs>
          <w:tab w:leader="none" w:pos="1431"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Limitation on Payments</w:t>
      </w:r>
      <w:r>
        <w:rPr>
          <w:rFonts w:ascii="Arial" w:cs="Arial" w:eastAsia="Arial" w:hAnsi="Arial"/>
          <w:sz w:val="18"/>
          <w:szCs w:val="18"/>
          <w:color w:val="auto"/>
        </w:rPr>
        <w:t>. In the event that the severance and other benefits provided for in this Agreement or otherwise payable to Executive (i) constitute “parachute payments” within the meaning of Section 280G of the Code and (ii) but for this Section 4, would be subject to the excise tax imposed by Section 4999 of the Code, then Executive’s severance benefits under Section 4(a)(i) will be either:</w:t>
      </w:r>
    </w:p>
    <w:p>
      <w:pPr>
        <w:spacing w:after="0" w:line="181" w:lineRule="exact"/>
        <w:rPr>
          <w:rFonts w:ascii="Arial" w:cs="Arial" w:eastAsia="Arial" w:hAnsi="Arial"/>
          <w:sz w:val="18"/>
          <w:szCs w:val="18"/>
          <w:color w:val="auto"/>
        </w:rPr>
      </w:pPr>
    </w:p>
    <w:p>
      <w:pPr>
        <w:ind w:left="2160" w:hanging="855"/>
        <w:spacing w:after="0"/>
        <w:tabs>
          <w:tab w:leader="none" w:pos="2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delivered in full, or</w:t>
      </w:r>
    </w:p>
    <w:p>
      <w:pPr>
        <w:spacing w:after="0" w:line="265" w:lineRule="exact"/>
        <w:rPr>
          <w:rFonts w:ascii="Arial" w:cs="Arial" w:eastAsia="Arial" w:hAnsi="Arial"/>
          <w:sz w:val="18"/>
          <w:szCs w:val="18"/>
          <w:color w:val="auto"/>
        </w:rPr>
      </w:pPr>
    </w:p>
    <w:p>
      <w:pPr>
        <w:ind w:left="2160" w:hanging="855"/>
        <w:spacing w:after="0"/>
        <w:tabs>
          <w:tab w:leader="none" w:pos="2160" w:val="left"/>
        </w:tabs>
        <w:numPr>
          <w:ilvl w:val="1"/>
          <w:numId w:val="64"/>
        </w:numPr>
        <w:rPr>
          <w:rFonts w:ascii="Arial" w:cs="Arial" w:eastAsia="Arial" w:hAnsi="Arial"/>
          <w:sz w:val="16"/>
          <w:szCs w:val="16"/>
          <w:color w:val="auto"/>
        </w:rPr>
      </w:pPr>
      <w:r>
        <w:rPr>
          <w:rFonts w:ascii="Arial" w:cs="Arial" w:eastAsia="Arial" w:hAnsi="Arial"/>
          <w:sz w:val="16"/>
          <w:szCs w:val="16"/>
          <w:color w:val="auto"/>
        </w:rPr>
        <w:t>delivered as to such lesser extent which would result in no portion of such severance benefits being subject to excise tax under</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4999 of the Code,</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severance and other benefits constituting “parachute payments” is necessary so that benefits are delivered to a lesser extent, reduction shall occur in the following order: reduction of cash payments; cancellation of awards granted “contingent on a change in ownership or control” (within the meaning of Code Section 280G); cancellation of accelerated vesting of equity awards; reduction of employee benefits. Within any such category of “parachute payment”, a reduction shall occur first with respect to amounts that are not “deferred compensation” within the meaning of Section 409A and then with respect to amounts that are, and to the extent any such payment is to be made over time (e.g., in installments, etc.), then the payments shall be waived in reverse chronological order. Unless the Company and Executive otherwise agree in writing, any determination required under this Section 4 will be made in writing by an independent firm immediately prior to Change of Control (the “Firm”), whose determination will be conclusive and binding upon Executive and the Company for all purposes. For purposes of making the calculations required by this Section 4,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w:t>
      </w:r>
    </w:p>
    <w:p>
      <w:pPr>
        <w:sectPr>
          <w:pgSz w:w="11900" w:h="16838" w:orient="portrait"/>
          <w:cols w:equalWidth="0" w:num="1">
            <w:col w:w="11420"/>
          </w:cols>
          <w:pgMar w:left="240" w:top="611" w:right="239" w:bottom="1440" w:gutter="0" w:footer="0" w:header="0"/>
        </w:sectPr>
      </w:pPr>
    </w:p>
    <w:bookmarkStart w:id="118" w:name="page119"/>
    <w:bookmarkEnd w:id="118"/>
    <w:p>
      <w:pPr>
        <w:spacing w:after="0" w:line="277" w:lineRule="auto"/>
        <w:rPr>
          <w:sz w:val="20"/>
          <w:szCs w:val="20"/>
          <w:color w:val="auto"/>
        </w:rPr>
      </w:pPr>
      <w:r>
        <w:rPr>
          <w:rFonts w:ascii="Arial" w:cs="Arial" w:eastAsia="Arial" w:hAnsi="Arial"/>
          <w:sz w:val="18"/>
          <w:szCs w:val="18"/>
          <w:color w:val="auto"/>
        </w:rPr>
        <w:t>determination under this Section. The Company will bear all costs the Firm may reasonably incur in connection with any calculations contemplated by this Section 4.</w:t>
      </w:r>
    </w:p>
    <w:p>
      <w:pPr>
        <w:spacing w:after="0" w:line="197" w:lineRule="exact"/>
        <w:rPr>
          <w:sz w:val="20"/>
          <w:szCs w:val="20"/>
          <w:color w:val="auto"/>
        </w:rPr>
      </w:pPr>
    </w:p>
    <w:p>
      <w:pPr>
        <w:ind w:left="1440" w:hanging="784"/>
        <w:spacing w:after="0"/>
        <w:tabs>
          <w:tab w:leader="none" w:pos="14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Definition of Terms</w:t>
      </w:r>
      <w:r>
        <w:rPr>
          <w:rFonts w:ascii="Arial" w:cs="Arial" w:eastAsia="Arial" w:hAnsi="Arial"/>
          <w:sz w:val="18"/>
          <w:szCs w:val="18"/>
          <w:color w:val="auto"/>
        </w:rPr>
        <w:t>. The following terms referred to in this Agreement will have the following meanings:</w:t>
      </w:r>
    </w:p>
    <w:p>
      <w:pPr>
        <w:spacing w:after="0" w:line="265" w:lineRule="exact"/>
        <w:rPr>
          <w:rFonts w:ascii="Arial" w:cs="Arial" w:eastAsia="Arial" w:hAnsi="Arial"/>
          <w:sz w:val="18"/>
          <w:szCs w:val="18"/>
          <w:color w:val="auto"/>
        </w:rPr>
      </w:pPr>
    </w:p>
    <w:p>
      <w:pPr>
        <w:jc w:val="both"/>
        <w:ind w:firstLine="1305"/>
        <w:spacing w:after="0" w:line="340" w:lineRule="auto"/>
        <w:tabs>
          <w:tab w:leader="none" w:pos="2144"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Benefit Plans</w:t>
      </w:r>
      <w:r>
        <w:rPr>
          <w:rFonts w:ascii="Arial" w:cs="Arial" w:eastAsia="Arial" w:hAnsi="Arial"/>
          <w:sz w:val="16"/>
          <w:szCs w:val="16"/>
          <w:color w:val="auto"/>
        </w:rPr>
        <w:t>. For purposes of this Agreement, “Benefit Plans” means plans, policies or arrangements that the Company sponsors (or participates in) and that immediately prior to Executive’s termination of employment provide Executive and/or Executive’s eligible dependents with medical, dental, and/or vision benefits. Benefit Plans do not include any other type of benefit (including, but not by way of limitation, disability, life insurance or retirement benefits). A requirement that the Company provide Executive and Executive’s eligible dependents with coverage under the Benefit Plans will not be satisfied unless the coverage is no less favorable than that provided to senior executives of the Company at any applicable time during the period Executive is entitled to receive severance pursuant to Section 3. The Company may, at its option, satisfy any requirement that the Company provide coverage under any Benefit Plan by (i) reimbursing Executive’s premiums under Title X of the Consolidated Budget Reconciliation Act of 1985, as amended (“COBRA”) after Executive has properly elected continuation coverage under COBRA (in which case Executive will be solely responsible for electing such coverage for his eligible dependents), or (ii) providing coverage under a separate plan or plans providing coverage that is no less favorable or by paying Executive a lump-sum payment which is, on an after-tax basis, sufficient to provide Executive and Executive’s eligible dependents with equivalent coverage under a third party plan that is reasonably available to Executive and Executive’s eligible dependents.</w:t>
      </w:r>
    </w:p>
    <w:p>
      <w:pPr>
        <w:spacing w:after="0" w:line="171" w:lineRule="exact"/>
        <w:rPr>
          <w:rFonts w:ascii="Arial" w:cs="Arial" w:eastAsia="Arial" w:hAnsi="Arial"/>
          <w:sz w:val="16"/>
          <w:szCs w:val="16"/>
          <w:color w:val="auto"/>
        </w:rPr>
      </w:pPr>
    </w:p>
    <w:p>
      <w:pPr>
        <w:jc w:val="both"/>
        <w:ind w:firstLine="1305"/>
        <w:spacing w:after="0" w:line="302" w:lineRule="auto"/>
        <w:tabs>
          <w:tab w:leader="none" w:pos="2155"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“Cause” is defined as (i) an act of dishonesty made by Executive in connection with Executive’s responsibilities as an employee that materially adversely affects the Company, (ii) Executive’s conviction of, or plea of nolo contendere to, a felony or any crime involving fraud, embezzlement or any other act of moral turpitude, (iii) Executive’s gross misconduct that materially and adversely affects the Company’s reputation or business, or (iv) Executive’s continued intentional refusal to perform his employment duties in a material fashion that materially and adversely affects the Company’s reputation or business, after Executive has received a written demand of performance from the Company which specifically sets forth the factual basis for the Company’s belief that Executive has not substantially performed his duties and Executive continues to refuse to cure such non-performance within thirty (30) days after receiving such notice.</w:t>
      </w:r>
    </w:p>
    <w:p>
      <w:pPr>
        <w:spacing w:after="0" w:line="189" w:lineRule="exact"/>
        <w:rPr>
          <w:rFonts w:ascii="Arial" w:cs="Arial" w:eastAsia="Arial" w:hAnsi="Arial"/>
          <w:sz w:val="18"/>
          <w:szCs w:val="18"/>
          <w:color w:val="auto"/>
        </w:rPr>
      </w:pPr>
    </w:p>
    <w:p>
      <w:pPr>
        <w:ind w:left="2160" w:hanging="855"/>
        <w:spacing w:after="0"/>
        <w:tabs>
          <w:tab w:leader="none" w:pos="2160"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“Change of Control” of the Company is defined as:</w:t>
      </w:r>
    </w:p>
    <w:p>
      <w:pPr>
        <w:spacing w:after="0" w:line="265" w:lineRule="exact"/>
        <w:rPr>
          <w:rFonts w:ascii="Arial" w:cs="Arial" w:eastAsia="Arial" w:hAnsi="Arial"/>
          <w:sz w:val="18"/>
          <w:szCs w:val="18"/>
          <w:color w:val="auto"/>
        </w:rPr>
      </w:pPr>
    </w:p>
    <w:p>
      <w:pPr>
        <w:jc w:val="both"/>
        <w:ind w:firstLine="1953"/>
        <w:spacing w:after="0" w:line="323" w:lineRule="auto"/>
        <w:tabs>
          <w:tab w:leader="none" w:pos="2763" w:val="left"/>
        </w:tabs>
        <w:numPr>
          <w:ilvl w:val="2"/>
          <w:numId w:val="65"/>
        </w:numPr>
        <w:rPr>
          <w:rFonts w:ascii="Arial" w:cs="Arial" w:eastAsia="Arial" w:hAnsi="Arial"/>
          <w:sz w:val="17"/>
          <w:szCs w:val="17"/>
          <w:color w:val="auto"/>
        </w:rPr>
      </w:pPr>
      <w:r>
        <w:rPr>
          <w:rFonts w:ascii="Arial" w:cs="Arial" w:eastAsia="Arial" w:hAnsi="Arial"/>
          <w:sz w:val="17"/>
          <w:szCs w:val="17"/>
          <w:color w:val="auto"/>
        </w:rPr>
        <w:t>the acquisition by any one person, or more than one person acting as a group (for these purposes, persons will be considered to be acting as a group if they are owners of a corporation that enters into a merger, consolidation, purchase or acquisition of stock, or similar business transaction with the Company), (“Person”) that or is or becomes the owner, directly or indirectly, of securities of the Company representing fifty percent (50%) or more of the total voting power represented by the Company’s then outstanding securities (the “Voting Securities”); provided, however, that for purposes of this subsection (i), the acquisition of additional securities by any one Person, who is considered to own more than fifty percent (50%) of the total voting power of the securities of the Company shall not be considered a Change of Control;</w:t>
      </w:r>
    </w:p>
    <w:p>
      <w:pPr>
        <w:spacing w:after="0" w:line="177" w:lineRule="exact"/>
        <w:rPr>
          <w:rFonts w:ascii="Arial" w:cs="Arial" w:eastAsia="Arial" w:hAnsi="Arial"/>
          <w:sz w:val="17"/>
          <w:szCs w:val="17"/>
          <w:color w:val="auto"/>
        </w:rPr>
      </w:pPr>
    </w:p>
    <w:p>
      <w:pPr>
        <w:jc w:val="both"/>
        <w:ind w:firstLine="1953"/>
        <w:spacing w:after="0" w:line="304" w:lineRule="auto"/>
        <w:tabs>
          <w:tab w:leader="none" w:pos="2813" w:val="left"/>
        </w:tabs>
        <w:numPr>
          <w:ilvl w:val="2"/>
          <w:numId w:val="65"/>
        </w:numPr>
        <w:rPr>
          <w:rFonts w:ascii="Arial" w:cs="Arial" w:eastAsia="Arial" w:hAnsi="Arial"/>
          <w:sz w:val="18"/>
          <w:szCs w:val="18"/>
          <w:color w:val="auto"/>
        </w:rPr>
      </w:pPr>
      <w:r>
        <w:rPr>
          <w:rFonts w:ascii="Arial" w:cs="Arial" w:eastAsia="Arial" w:hAnsi="Arial"/>
          <w:sz w:val="18"/>
          <w:szCs w:val="18"/>
          <w:color w:val="auto"/>
        </w:rPr>
        <w:t>a change in the composition of the Board occurring within a twelve (12) month period, as a result of which fewer than a majority of the directors are Incumbent Directors. “Incumbent Directors” will mean directors who either (A) are directors of the Company as of the date hereof,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w:t>
      </w:r>
    </w:p>
    <w:p>
      <w:pPr>
        <w:spacing w:after="0" w:line="188" w:lineRule="exact"/>
        <w:rPr>
          <w:rFonts w:ascii="Arial" w:cs="Arial" w:eastAsia="Arial" w:hAnsi="Arial"/>
          <w:sz w:val="18"/>
          <w:szCs w:val="18"/>
          <w:color w:val="auto"/>
        </w:rPr>
      </w:pPr>
    </w:p>
    <w:p>
      <w:pPr>
        <w:jc w:val="both"/>
        <w:ind w:firstLine="1953"/>
        <w:spacing w:after="0" w:line="349" w:lineRule="auto"/>
        <w:tabs>
          <w:tab w:leader="none" w:pos="2863" w:val="left"/>
        </w:tabs>
        <w:numPr>
          <w:ilvl w:val="2"/>
          <w:numId w:val="65"/>
        </w:numPr>
        <w:rPr>
          <w:rFonts w:ascii="Arial" w:cs="Arial" w:eastAsia="Arial" w:hAnsi="Arial"/>
          <w:sz w:val="16"/>
          <w:szCs w:val="16"/>
          <w:color w:val="auto"/>
        </w:rPr>
      </w:pPr>
      <w:r>
        <w:rPr>
          <w:rFonts w:ascii="Arial" w:cs="Arial" w:eastAsia="Arial" w:hAnsi="Arial"/>
          <w:sz w:val="16"/>
          <w:szCs w:val="16"/>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fifty percent (50%) or more of the total voting power represented by the voting securities of the Company or such surviving entity outstanding immediately after such merger or consolidation, or the stockholders of the Company approve a plan of complete liquidation of the Company; or</w:t>
      </w:r>
    </w:p>
    <w:p>
      <w:pPr>
        <w:sectPr>
          <w:pgSz w:w="11900" w:h="16838" w:orient="portrait"/>
          <w:cols w:equalWidth="0" w:num="1">
            <w:col w:w="11420"/>
          </w:cols>
          <w:pgMar w:left="240" w:top="584" w:right="239" w:bottom="1440" w:gutter="0" w:footer="0" w:header="0"/>
        </w:sectPr>
      </w:pPr>
    </w:p>
    <w:bookmarkStart w:id="119" w:name="page120"/>
    <w:bookmarkEnd w:id="119"/>
    <w:p>
      <w:pPr>
        <w:jc w:val="both"/>
        <w:ind w:firstLine="1953"/>
        <w:spacing w:after="0" w:line="319" w:lineRule="auto"/>
        <w:tabs>
          <w:tab w:leader="none" w:pos="2853" w:val="left"/>
        </w:tabs>
        <w:numPr>
          <w:ilvl w:val="0"/>
          <w:numId w:val="66"/>
        </w:numPr>
        <w:rPr>
          <w:rFonts w:ascii="Arial" w:cs="Arial" w:eastAsia="Arial" w:hAnsi="Arial"/>
          <w:sz w:val="17"/>
          <w:szCs w:val="17"/>
          <w:color w:val="auto"/>
        </w:rPr>
      </w:pPr>
      <w:r>
        <w:rPr>
          <w:rFonts w:ascii="Arial" w:cs="Arial" w:eastAsia="Arial" w:hAnsi="Arial"/>
          <w:sz w:val="17"/>
          <w:szCs w:val="17"/>
          <w:color w:val="auto"/>
        </w:rPr>
        <w:t>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fifty percent (50%) of the total fair market value of all of the assets of the Company immediately prior to such acquisition or acquisitions; provided, however, that for purposes of this Section 5 (c)(iv), the following shall not constitute a change in the ownership of a substantial portion of the Company’s assets: (1) a transfer to an entity that is controlled by the Company’s shareholders immediately after the transfer; or (2) a transfer of assets by the Company to: (A) a shareholder of the Company (immediately before the asset transfer) in exchange for or with respect to the Company’s securities;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subsection (C). For purposes of this clause (2), gross fair market value means the value of the assets of the Company, or the value of the assets being disposed of, determined without regard to any liabilities associated with such assets.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the foregoing, a Company transaction that does not constitute a change of control event under Treasury Regulation 1.409A-3(i)(5)</w:t>
      </w:r>
    </w:p>
    <w:p>
      <w:pPr>
        <w:spacing w:after="0" w:line="46" w:lineRule="exact"/>
        <w:rPr>
          <w:sz w:val="20"/>
          <w:szCs w:val="20"/>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or (vii) shall be not be considered a Change of Control.</w:t>
      </w:r>
    </w:p>
    <w:p>
      <w:pPr>
        <w:spacing w:after="0" w:line="237" w:lineRule="exact"/>
        <w:rPr>
          <w:rFonts w:ascii="Arial" w:cs="Arial" w:eastAsia="Arial" w:hAnsi="Arial"/>
          <w:sz w:val="18"/>
          <w:szCs w:val="18"/>
          <w:color w:val="auto"/>
        </w:rPr>
      </w:pPr>
    </w:p>
    <w:p>
      <w:pPr>
        <w:jc w:val="both"/>
        <w:ind w:firstLine="1305"/>
        <w:spacing w:after="0" w:line="346" w:lineRule="auto"/>
        <w:tabs>
          <w:tab w:leader="none" w:pos="2155" w:val="left"/>
        </w:tabs>
        <w:numPr>
          <w:ilvl w:val="2"/>
          <w:numId w:val="67"/>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“Disability” will mean that Executive has been unable to perform his Company duties as the result of his incapacity due to physical or mental illness, and such inability, at least twenty-six (26) weeks after its commencement, is determined to be total and permanent by a physician selected by the Company or its insurers and acceptable to Executive or Executive’s legal representative (such Agreement as to acceptability not to be unreasonably withheld). Termination resulting from Disability may only be effected after at least thirty (30) days’ written notice by the Company of its intention to terminate Executive’s employment. In the event that Executive resumes the performance of substantially all of his duties hereunder before the termination of his employment becomes effective, the notice of intent to terminate will automatically be deemed to have been revoked.</w:t>
      </w:r>
    </w:p>
    <w:p>
      <w:pPr>
        <w:spacing w:after="0" w:line="164" w:lineRule="exact"/>
        <w:rPr>
          <w:rFonts w:ascii="Arial" w:cs="Arial" w:eastAsia="Arial" w:hAnsi="Arial"/>
          <w:sz w:val="16"/>
          <w:szCs w:val="16"/>
          <w:color w:val="auto"/>
        </w:rPr>
      </w:pPr>
    </w:p>
    <w:p>
      <w:pPr>
        <w:ind w:left="2160" w:hanging="855"/>
        <w:spacing w:after="0"/>
        <w:tabs>
          <w:tab w:leader="none" w:pos="2160" w:val="left"/>
        </w:tabs>
        <w:numPr>
          <w:ilvl w:val="2"/>
          <w:numId w:val="67"/>
        </w:numPr>
        <w:rPr>
          <w:rFonts w:ascii="Arial" w:cs="Arial" w:eastAsia="Arial" w:hAnsi="Arial"/>
          <w:sz w:val="16"/>
          <w:szCs w:val="16"/>
          <w:color w:val="auto"/>
        </w:rPr>
      </w:pPr>
      <w:r>
        <w:rPr>
          <w:rFonts w:ascii="Arial" w:cs="Arial" w:eastAsia="Arial" w:hAnsi="Arial"/>
          <w:sz w:val="16"/>
          <w:szCs w:val="16"/>
          <w:u w:val="single" w:color="auto"/>
          <w:color w:val="auto"/>
        </w:rPr>
        <w:t>Good Reason</w:t>
      </w:r>
      <w:r>
        <w:rPr>
          <w:rFonts w:ascii="Arial" w:cs="Arial" w:eastAsia="Arial" w:hAnsi="Arial"/>
          <w:sz w:val="16"/>
          <w:szCs w:val="16"/>
          <w:color w:val="auto"/>
        </w:rPr>
        <w:t>. “Good Reason” means the occurrence of one or more of the following events without Executive’s express written</w:t>
      </w:r>
    </w:p>
    <w:p>
      <w:pPr>
        <w:spacing w:after="0" w:line="72" w:lineRule="exact"/>
        <w:rPr>
          <w:rFonts w:ascii="Arial" w:cs="Arial" w:eastAsia="Arial" w:hAnsi="Arial"/>
          <w:sz w:val="16"/>
          <w:szCs w:val="16"/>
          <w:color w:val="auto"/>
        </w:rPr>
      </w:pPr>
    </w:p>
    <w:p>
      <w:pPr>
        <w:jc w:val="both"/>
        <w:spacing w:after="0" w:line="318" w:lineRule="auto"/>
        <w:rPr>
          <w:rFonts w:ascii="Arial" w:cs="Arial" w:eastAsia="Arial" w:hAnsi="Arial"/>
          <w:sz w:val="16"/>
          <w:szCs w:val="16"/>
          <w:color w:val="auto"/>
        </w:rPr>
      </w:pPr>
      <w:r>
        <w:rPr>
          <w:rFonts w:ascii="Arial" w:cs="Arial" w:eastAsia="Arial" w:hAnsi="Arial"/>
          <w:sz w:val="17"/>
          <w:szCs w:val="17"/>
          <w:color w:val="auto"/>
        </w:rPr>
        <w:t>consent: (i) the assignment to Executive of any duties or the reduction of Executive’s duties, either of which results in a material diminution in Executive’s position or responsibilities with the Company in effect immediately prior to such assignment, or the removal of Executive from such position and responsibilities; provided, however, it being understood that a new position with a larger combined company does not alone constitute “Good Reason” if it is in the same area of operations and involves substantially the same duties and scope of responsibilities and management responsibility notwithstanding that Executive may not retain as senior of a title within the larger combined company as Executive’s prior title; (ii) a material reduction by the Company in the base salary of Executive; provided that, it being understood that a reduction by the Company by five percent (5%) or more in the base salary or bonus opportunity of Executive as in effect immediately prior to such reduction shall be deemed Good Reason within the meaning of this clause (ii); (iii) a material change in the geographic location at which Executive must perform services (for purposes of this Agreement, the relocation of Executive to a facility or a location less than twenty-five (25) miles from Executive’s then-present location shall not be considered a material change in geographic location); (iv) any material breach by the Company of any material provision of this Agreement, or (vi) the failure of the Company to obtain the assumption of this Agreement by any successor. 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w:t>
      </w:r>
    </w:p>
    <w:p>
      <w:pPr>
        <w:spacing w:after="0" w:line="184" w:lineRule="exact"/>
        <w:rPr>
          <w:rFonts w:ascii="Arial" w:cs="Arial" w:eastAsia="Arial" w:hAnsi="Arial"/>
          <w:sz w:val="16"/>
          <w:szCs w:val="16"/>
          <w:color w:val="auto"/>
        </w:rPr>
      </w:pPr>
    </w:p>
    <w:p>
      <w:pPr>
        <w:ind w:left="1440" w:hanging="784"/>
        <w:spacing w:after="0"/>
        <w:tabs>
          <w:tab w:leader="none" w:pos="1440"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jc w:val="both"/>
        <w:ind w:firstLine="1305"/>
        <w:spacing w:after="0" w:line="302" w:lineRule="auto"/>
        <w:tabs>
          <w:tab w:leader="none" w:pos="2144" w:val="left"/>
        </w:tabs>
        <w:numPr>
          <w:ilvl w:val="2"/>
          <w:numId w:val="68"/>
        </w:numPr>
        <w:rPr>
          <w:rFonts w:ascii="Arial" w:cs="Arial" w:eastAsia="Arial" w:hAnsi="Arial"/>
          <w:sz w:val="18"/>
          <w:szCs w:val="18"/>
          <w:color w:val="auto"/>
        </w:rPr>
      </w:pPr>
      <w:r>
        <w:rPr>
          <w:rFonts w:ascii="Arial" w:cs="Arial" w:eastAsia="Arial" w:hAnsi="Arial"/>
          <w:sz w:val="18"/>
          <w:szCs w:val="18"/>
          <w:u w:val="single" w:color="auto"/>
          <w:color w:val="auto"/>
        </w:rPr>
        <w:t>The Company’s Successors</w:t>
      </w:r>
      <w:r>
        <w:rPr>
          <w:rFonts w:ascii="Arial" w:cs="Arial" w:eastAsia="Arial" w:hAnsi="Arial"/>
          <w:sz w:val="18"/>
          <w:szCs w:val="18"/>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6(a) or which becomes bound by the terms of this Agreement by operation of law.</w:t>
      </w:r>
    </w:p>
    <w:p>
      <w:pPr>
        <w:spacing w:after="0" w:line="192" w:lineRule="exact"/>
        <w:rPr>
          <w:rFonts w:ascii="Arial" w:cs="Arial" w:eastAsia="Arial" w:hAnsi="Arial"/>
          <w:sz w:val="18"/>
          <w:szCs w:val="18"/>
          <w:color w:val="auto"/>
        </w:rPr>
      </w:pPr>
    </w:p>
    <w:p>
      <w:pPr>
        <w:ind w:firstLine="1305"/>
        <w:spacing w:after="0" w:line="357" w:lineRule="auto"/>
        <w:tabs>
          <w:tab w:leader="none" w:pos="2155" w:val="left"/>
        </w:tabs>
        <w:numPr>
          <w:ilvl w:val="2"/>
          <w:numId w:val="68"/>
        </w:numPr>
        <w:rPr>
          <w:rFonts w:ascii="Arial" w:cs="Arial" w:eastAsia="Arial" w:hAnsi="Arial"/>
          <w:sz w:val="17"/>
          <w:szCs w:val="17"/>
          <w:color w:val="auto"/>
        </w:rPr>
      </w:pPr>
      <w:r>
        <w:rPr>
          <w:rFonts w:ascii="Arial" w:cs="Arial" w:eastAsia="Arial" w:hAnsi="Arial"/>
          <w:sz w:val="17"/>
          <w:szCs w:val="17"/>
          <w:u w:val="single" w:color="auto"/>
          <w:color w:val="auto"/>
        </w:rPr>
        <w:t>Executive’s Successors</w:t>
      </w:r>
      <w:r>
        <w:rPr>
          <w:rFonts w:ascii="Arial" w:cs="Arial" w:eastAsia="Arial" w:hAnsi="Arial"/>
          <w:sz w:val="17"/>
          <w:szCs w:val="17"/>
          <w:color w:val="auto"/>
        </w:rPr>
        <w:t>. The terms of this Agreement and all rights of Executive hereunder will inure to the benefit of, and be enforceable by, Executive’s personal or legal representatives, executors, administrators, successors, heirs, distributees, devisees and legatees.</w:t>
      </w:r>
    </w:p>
    <w:p>
      <w:pPr>
        <w:sectPr>
          <w:pgSz w:w="11900" w:h="16838" w:orient="portrait"/>
          <w:cols w:equalWidth="0" w:num="1">
            <w:col w:w="11420"/>
          </w:cols>
          <w:pgMar w:left="240" w:top="611" w:right="239" w:bottom="1440" w:gutter="0" w:footer="0" w:header="0"/>
        </w:sectPr>
      </w:pPr>
    </w:p>
    <w:bookmarkStart w:id="120" w:name="page121"/>
    <w:bookmarkEnd w:id="120"/>
    <w:p>
      <w:pPr>
        <w:ind w:left="784" w:hanging="784"/>
        <w:spacing w:after="0"/>
        <w:tabs>
          <w:tab w:leader="none" w:pos="78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jc w:val="both"/>
        <w:ind w:left="-656" w:firstLine="1305"/>
        <w:spacing w:after="0" w:line="354" w:lineRule="auto"/>
        <w:tabs>
          <w:tab w:leader="none" w:pos="1488"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Notices and all other communications contemplated by this Agreement will be in writing and will be deemed to have been duly given when personally delivered or when mailed by U.S. registered or certified mail, return receipt requested and postage prepaid. In the case of Executive, mailed notices will be addressed to him or her at the home address which he or she most recently communicated to the Company in writing. In the case of the Company, mailed notices will be addressed to its corporate headquarters, and all notices will be directed to the attention of its President.</w:t>
      </w:r>
    </w:p>
    <w:p>
      <w:pPr>
        <w:spacing w:after="0" w:line="156" w:lineRule="exact"/>
        <w:rPr>
          <w:rFonts w:ascii="Arial" w:cs="Arial" w:eastAsia="Arial" w:hAnsi="Arial"/>
          <w:sz w:val="16"/>
          <w:szCs w:val="16"/>
          <w:color w:val="auto"/>
        </w:rPr>
      </w:pPr>
    </w:p>
    <w:p>
      <w:pPr>
        <w:jc w:val="both"/>
        <w:ind w:left="-656" w:firstLine="1305"/>
        <w:spacing w:after="0" w:line="302" w:lineRule="auto"/>
        <w:tabs>
          <w:tab w:leader="none" w:pos="1498"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by the Company for Cause or by Executive for Good Reason or as a result of a voluntary resignation by Executive will be communicated by a notice of termination to the other party hereto given in accordance with Section 7(a)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The failure by Executive to include in the notice any fact or circumstance which contributes to a showing of Good Reason will not waive any right of Executive hereunder or preclude Executive from asserting such fact or circumstance in enforcing his or her rights hereunder.</w:t>
      </w:r>
    </w:p>
    <w:p>
      <w:pPr>
        <w:spacing w:after="0" w:line="189" w:lineRule="exact"/>
        <w:rPr>
          <w:rFonts w:ascii="Arial" w:cs="Arial" w:eastAsia="Arial" w:hAnsi="Arial"/>
          <w:sz w:val="18"/>
          <w:szCs w:val="18"/>
          <w:color w:val="auto"/>
        </w:rPr>
      </w:pPr>
    </w:p>
    <w:p>
      <w:pPr>
        <w:jc w:val="both"/>
        <w:ind w:left="-656" w:firstLine="656"/>
        <w:spacing w:after="0" w:line="311" w:lineRule="auto"/>
        <w:tabs>
          <w:tab w:leader="none" w:pos="77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will have a term of ten (10) years commencing on the Prior Effective Date, which shall not be subject to renewal, unless a Change of Control occurs during such ten (10) year period, in which case this Agreement will continue until all payments and benefits, if any, have been made to Executive.</w:t>
      </w:r>
    </w:p>
    <w:p>
      <w:pPr>
        <w:spacing w:after="0" w:line="181" w:lineRule="exact"/>
        <w:rPr>
          <w:rFonts w:ascii="Arial" w:cs="Arial" w:eastAsia="Arial" w:hAnsi="Arial"/>
          <w:sz w:val="18"/>
          <w:szCs w:val="18"/>
          <w:color w:val="auto"/>
        </w:rPr>
      </w:pPr>
    </w:p>
    <w:p>
      <w:pPr>
        <w:ind w:left="784" w:hanging="784"/>
        <w:spacing w:after="0"/>
        <w:tabs>
          <w:tab w:leader="none" w:pos="78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jc w:val="both"/>
        <w:ind w:left="-656" w:firstLine="1305"/>
        <w:spacing w:after="0" w:line="302" w:lineRule="auto"/>
        <w:tabs>
          <w:tab w:leader="none" w:pos="1488"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dispute or controversy arising out of, relating to, or in connection with this Agreement, or the interpretation, validity, construction, performance, breach, or termination thereof, shall be settled by binding arbitration to be held in Santa Clara County, California, in accordance with the National Rules for the Resolution of Employment Disputes then in effect of the American Arbitration Association (the “Rules”), except that each of Company and Executive may, at its, his or her option, seek injunctive relief in a court of competent jurisdiction related to the improper use, disclosure or misappropriation of a party’s private, proprietary, confidential or trade secret information. The arbitrator may grant injunctions or other relief in such dispute or controversy. The decision of the arbitrator shall be final, conclusive and binding on the parties to the arbitration. Judgment may be entered on the arbitrator’s decision in any court having jurisdiction.</w:t>
      </w:r>
    </w:p>
    <w:p>
      <w:pPr>
        <w:spacing w:after="0" w:line="189" w:lineRule="exact"/>
        <w:rPr>
          <w:rFonts w:ascii="Arial" w:cs="Arial" w:eastAsia="Arial" w:hAnsi="Arial"/>
          <w:sz w:val="18"/>
          <w:szCs w:val="18"/>
          <w:color w:val="auto"/>
        </w:rPr>
      </w:pPr>
    </w:p>
    <w:p>
      <w:pPr>
        <w:jc w:val="both"/>
        <w:ind w:left="-656" w:firstLine="1305"/>
        <w:spacing w:after="0" w:line="306" w:lineRule="auto"/>
        <w:tabs>
          <w:tab w:leader="none" w:pos="1498"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arbitrator(s) shall apply California law to the merits of any dispute or claim, without reference to conflicts of law rules. The arbitration proceedings shall be governed by federal arbitration law and by the Rules, without reference to state arbitration law. Executive hereby consents to the personal jurisdiction of the state and federal courts located in California for any action or proceeding arising from or relating to this Agreement or relating to any arbitration in which the parties are participants.</w:t>
      </w:r>
    </w:p>
    <w:p>
      <w:pPr>
        <w:spacing w:after="0" w:line="186" w:lineRule="exact"/>
        <w:rPr>
          <w:rFonts w:ascii="Arial" w:cs="Arial" w:eastAsia="Arial" w:hAnsi="Arial"/>
          <w:sz w:val="18"/>
          <w:szCs w:val="18"/>
          <w:color w:val="auto"/>
        </w:rPr>
      </w:pPr>
    </w:p>
    <w:p>
      <w:pPr>
        <w:ind w:left="-656" w:right="20" w:firstLine="1305"/>
        <w:spacing w:after="0" w:line="324" w:lineRule="auto"/>
        <w:tabs>
          <w:tab w:leader="none" w:pos="1488" w:val="left"/>
        </w:tabs>
        <w:numPr>
          <w:ilvl w:val="1"/>
          <w:numId w:val="69"/>
        </w:numPr>
        <w:rPr>
          <w:rFonts w:ascii="Arial" w:cs="Arial" w:eastAsia="Arial" w:hAnsi="Arial"/>
          <w:sz w:val="18"/>
          <w:szCs w:val="18"/>
          <w:color w:val="auto"/>
        </w:rPr>
      </w:pPr>
      <w:r>
        <w:rPr>
          <w:rFonts w:ascii="Arial" w:cs="Arial" w:eastAsia="Arial" w:hAnsi="Arial"/>
          <w:sz w:val="18"/>
          <w:szCs w:val="18"/>
          <w:color w:val="auto"/>
        </w:rPr>
        <w:t>Executive understands that nothing in this Section modifies Executive’s at-will employment status. Either Executive or the Company can terminate the employment relationship at any time, with or without Cause.</w:t>
      </w:r>
    </w:p>
    <w:p>
      <w:pPr>
        <w:spacing w:after="0" w:line="170" w:lineRule="exact"/>
        <w:rPr>
          <w:rFonts w:ascii="Arial" w:cs="Arial" w:eastAsia="Arial" w:hAnsi="Arial"/>
          <w:sz w:val="18"/>
          <w:szCs w:val="18"/>
          <w:color w:val="auto"/>
        </w:rPr>
      </w:pPr>
    </w:p>
    <w:p>
      <w:pPr>
        <w:jc w:val="both"/>
        <w:ind w:left="-656" w:firstLine="1305"/>
        <w:spacing w:after="0" w:line="325" w:lineRule="auto"/>
        <w:tabs>
          <w:tab w:leader="none" w:pos="1498" w:val="left"/>
        </w:tabs>
        <w:numPr>
          <w:ilvl w:val="1"/>
          <w:numId w:val="69"/>
        </w:numPr>
        <w:rPr>
          <w:rFonts w:ascii="Arial" w:cs="Arial" w:eastAsia="Arial" w:hAnsi="Arial"/>
          <w:sz w:val="17"/>
          <w:szCs w:val="17"/>
          <w:color w:val="auto"/>
        </w:rPr>
      </w:pPr>
      <w:r>
        <w:rPr>
          <w:rFonts w:ascii="Arial" w:cs="Arial" w:eastAsia="Arial" w:hAnsi="Arial"/>
          <w:sz w:val="17"/>
          <w:szCs w:val="17"/>
          <w:color w:val="auto"/>
        </w:rPr>
        <w:t>EXECUTIVE HAS READ AND UNDERSTANDS THIS SECTION, WHICH DISCUSSES ARBITRATION. EXECUTIVE UNDERSTANDS THAT SUBMITTING ANY CLAIMS ARISING OUT OF, RELATING TO, OR IN CONNECTION WITH THIS AGREEMENT, OR THE INTERPRETATION, VALIDITY, CONSTRUCTION, PERFORMANCE, BREACH OR TERMINATION THEREOF TO BINDING ARBITRATION, CONSTITUTES A WAIVER OF EXECUTIVE’S RIGHT TO A JURY TRIAL AND RELATES TO THE RESOLUTION OF ALL DISPUTES RELATING TO ALL ASPECTS OF THE EMPLOYER/EMPLOYEE RELATIONSHIP, INCLUDING BUT NOT LIMITED TO, THE FOLLOWING CLAIMS:</w:t>
      </w:r>
    </w:p>
    <w:p>
      <w:pPr>
        <w:spacing w:after="0" w:line="175" w:lineRule="exact"/>
        <w:rPr>
          <w:rFonts w:ascii="Arial" w:cs="Arial" w:eastAsia="Arial" w:hAnsi="Arial"/>
          <w:sz w:val="17"/>
          <w:szCs w:val="17"/>
          <w:color w:val="auto"/>
        </w:rPr>
      </w:pPr>
    </w:p>
    <w:p>
      <w:pPr>
        <w:jc w:val="both"/>
        <w:ind w:left="-656" w:firstLine="1953"/>
        <w:spacing w:after="0" w:line="306" w:lineRule="auto"/>
        <w:tabs>
          <w:tab w:leader="none" w:pos="2107"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ANY AND ALL CLAIMS FOR WRONGFUL DISCHARGE OF EMPLOYMENT; BREACH OF CONTRACT, BOTH EXPRESS AND IMPLIED; BREACH OF THE COVENANT OF GOOD FAITH AND FAIR DEALING, BOTH EXPRESS AND IMPLIED; NEGLIGENT OR INTENTIONAL INFLICTION OF EMOTIONAL DISTRESS; NEGLIGENT OR INTENTIONAL MISREPRESENTATION; NEGLIGENT OR INTENTIONAL INTERFERENCE WITH CONTRACT OR PROSPECTIVE ECONOMIC ADVANTAGE; AND DEFAMATION.</w:t>
      </w:r>
    </w:p>
    <w:p>
      <w:pPr>
        <w:sectPr>
          <w:pgSz w:w="11900" w:h="16838" w:orient="portrait"/>
          <w:cols w:equalWidth="0" w:num="1">
            <w:col w:w="10764"/>
          </w:cols>
          <w:pgMar w:left="896" w:top="611" w:right="239" w:bottom="1440" w:gutter="0" w:footer="0" w:header="0"/>
        </w:sectPr>
      </w:pPr>
    </w:p>
    <w:bookmarkStart w:id="121" w:name="page122"/>
    <w:bookmarkEnd w:id="121"/>
    <w:p>
      <w:pPr>
        <w:jc w:val="both"/>
        <w:ind w:firstLine="1953"/>
        <w:spacing w:after="0" w:line="306" w:lineRule="auto"/>
        <w:tabs>
          <w:tab w:leader="none" w:pos="2813" w:val="left"/>
        </w:tabs>
        <w:numPr>
          <w:ilvl w:val="2"/>
          <w:numId w:val="70"/>
        </w:numPr>
        <w:rPr>
          <w:rFonts w:ascii="Arial" w:cs="Arial" w:eastAsia="Arial" w:hAnsi="Arial"/>
          <w:sz w:val="18"/>
          <w:szCs w:val="18"/>
          <w:color w:val="auto"/>
        </w:rPr>
      </w:pPr>
      <w:r>
        <w:rPr>
          <w:rFonts w:ascii="Arial" w:cs="Arial" w:eastAsia="Arial" w:hAnsi="Arial"/>
          <w:sz w:val="18"/>
          <w:szCs w:val="18"/>
          <w:color w:val="auto"/>
        </w:rPr>
        <w:t xml:space="preserve">ANY AND ALL CLAIMS FOR VIOLATION OF ANY FEDERAL STATE OR MUNICIPAL STATUTE, INCLUDING, BUT NOT LIMITED TO, TITLE VII OF THE CIVIL RIGHTS ACT OF 1964, THE CIVIL RIGHTS ACT OF 1991, THE AGE DISCRIMINATION IN EMPLOYMENT ACT OF 1967, THE AMERICANS WITH DISABILITIES ACT OF 1990, THE FAIR LABOR STANDARDS ACT, THE CALIFORNIA FAIR EMPLOYMENT AND HOUSING ACT, AND LABOR CODE SECTION 201,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1953"/>
        <w:spacing w:after="0" w:line="324" w:lineRule="auto"/>
        <w:tabs>
          <w:tab w:leader="none" w:pos="2863" w:val="left"/>
        </w:tabs>
        <w:numPr>
          <w:ilvl w:val="2"/>
          <w:numId w:val="70"/>
        </w:numPr>
        <w:rPr>
          <w:rFonts w:ascii="Arial" w:cs="Arial" w:eastAsia="Arial" w:hAnsi="Arial"/>
          <w:sz w:val="18"/>
          <w:szCs w:val="18"/>
          <w:color w:val="auto"/>
        </w:rPr>
      </w:pPr>
      <w:r>
        <w:rPr>
          <w:rFonts w:ascii="Arial" w:cs="Arial" w:eastAsia="Arial" w:hAnsi="Arial"/>
          <w:sz w:val="18"/>
          <w:szCs w:val="18"/>
          <w:color w:val="auto"/>
        </w:rPr>
        <w:t>ANY AND ALL CLAIMS ARISING OUT OF ANY OTHER LAWS AND REGULATIONS RELATING TO EMPLOYMENT OR EMPLOYMENT DISCRIMINATION.</w:t>
      </w:r>
    </w:p>
    <w:p>
      <w:pPr>
        <w:spacing w:after="0" w:line="170" w:lineRule="exact"/>
        <w:rPr>
          <w:rFonts w:ascii="Arial" w:cs="Arial" w:eastAsia="Arial" w:hAnsi="Arial"/>
          <w:sz w:val="18"/>
          <w:szCs w:val="18"/>
          <w:color w:val="auto"/>
        </w:rPr>
      </w:pPr>
    </w:p>
    <w:p>
      <w:pPr>
        <w:ind w:left="1520" w:hanging="864"/>
        <w:spacing w:after="0"/>
        <w:tabs>
          <w:tab w:leader="none" w:pos="152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firstLine="1305"/>
        <w:spacing w:after="0" w:line="324" w:lineRule="auto"/>
        <w:tabs>
          <w:tab w:leader="none" w:pos="2144"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No Duty to Mitigate</w:t>
      </w:r>
      <w:r>
        <w:rPr>
          <w:rFonts w:ascii="Arial" w:cs="Arial" w:eastAsia="Arial" w:hAnsi="Arial"/>
          <w:sz w:val="18"/>
          <w:szCs w:val="18"/>
          <w:color w:val="auto"/>
        </w:rPr>
        <w:t>. Executive will not be required to mitigate the amount of any payment contemplated by this Agreement, nor will any such payment be reduced by any earnings that Executive may receive from any other source.</w:t>
      </w:r>
    </w:p>
    <w:p>
      <w:pPr>
        <w:spacing w:after="0" w:line="170" w:lineRule="exact"/>
        <w:rPr>
          <w:rFonts w:ascii="Arial" w:cs="Arial" w:eastAsia="Arial" w:hAnsi="Arial"/>
          <w:sz w:val="18"/>
          <w:szCs w:val="18"/>
          <w:color w:val="auto"/>
        </w:rPr>
      </w:pPr>
    </w:p>
    <w:p>
      <w:pPr>
        <w:jc w:val="both"/>
        <w:ind w:firstLine="1305"/>
        <w:spacing w:after="0" w:line="306" w:lineRule="auto"/>
        <w:tabs>
          <w:tab w:leader="none" w:pos="2155"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86" w:lineRule="exact"/>
        <w:rPr>
          <w:rFonts w:ascii="Arial" w:cs="Arial" w:eastAsia="Arial" w:hAnsi="Arial"/>
          <w:sz w:val="18"/>
          <w:szCs w:val="18"/>
          <w:color w:val="auto"/>
        </w:rPr>
      </w:pPr>
    </w:p>
    <w:p>
      <w:pPr>
        <w:ind w:left="2160" w:hanging="855"/>
        <w:spacing w:after="0"/>
        <w:tabs>
          <w:tab w:leader="none" w:pos="2160"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All captions and section headings used in this Agreement are for convenient reference only and do not form a part of</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Agreement.</w:t>
      </w:r>
    </w:p>
    <w:p>
      <w:pPr>
        <w:spacing w:after="0" w:line="265" w:lineRule="exact"/>
        <w:rPr>
          <w:rFonts w:ascii="Arial" w:cs="Arial" w:eastAsia="Arial" w:hAnsi="Arial"/>
          <w:sz w:val="16"/>
          <w:szCs w:val="16"/>
          <w:color w:val="auto"/>
        </w:rPr>
      </w:pPr>
    </w:p>
    <w:p>
      <w:pPr>
        <w:jc w:val="both"/>
        <w:ind w:firstLine="1305"/>
        <w:spacing w:after="0" w:line="304" w:lineRule="auto"/>
        <w:tabs>
          <w:tab w:leader="none" w:pos="2155"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of the parties hereto with respect to the subject matter described herein. Executive acknowledges and agrees that this Agreement encompasses all the rights of Executive to any acceleration of Award vesting or severance pay based on termination of employment, and Executive hereby agrees that he or she has no such rights except as stated herein, and Executive agrees that any such rights, whether in an employment agreement, offer letter, stock option agreement, stock option plan, equity award agreement or other agreement, are hereby waived.</w:t>
      </w:r>
    </w:p>
    <w:p>
      <w:pPr>
        <w:spacing w:after="0" w:line="188" w:lineRule="exact"/>
        <w:rPr>
          <w:rFonts w:ascii="Arial" w:cs="Arial" w:eastAsia="Arial" w:hAnsi="Arial"/>
          <w:sz w:val="18"/>
          <w:szCs w:val="18"/>
          <w:color w:val="auto"/>
        </w:rPr>
      </w:pPr>
    </w:p>
    <w:p>
      <w:pPr>
        <w:ind w:firstLine="1305"/>
        <w:spacing w:after="0" w:line="324" w:lineRule="auto"/>
        <w:tabs>
          <w:tab w:leader="none" w:pos="2144"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The validity, interpretation, construction and performance of this Agreement will be governed by the laws of the State of California (with the exception of its conflict of laws provisions).</w:t>
      </w:r>
    </w:p>
    <w:p>
      <w:pPr>
        <w:spacing w:after="0" w:line="170" w:lineRule="exact"/>
        <w:rPr>
          <w:rFonts w:ascii="Arial" w:cs="Arial" w:eastAsia="Arial" w:hAnsi="Arial"/>
          <w:sz w:val="18"/>
          <w:szCs w:val="18"/>
          <w:color w:val="auto"/>
        </w:rPr>
      </w:pPr>
    </w:p>
    <w:p>
      <w:pPr>
        <w:ind w:right="20" w:firstLine="1305"/>
        <w:spacing w:after="0" w:line="324" w:lineRule="auto"/>
        <w:tabs>
          <w:tab w:leader="none" w:pos="2125"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or provisions of this Agreement will not affect the validity or enforceability of any other provision hereof, which will remain in full force and effect.</w:t>
      </w:r>
    </w:p>
    <w:p>
      <w:pPr>
        <w:spacing w:after="0" w:line="170" w:lineRule="exact"/>
        <w:rPr>
          <w:rFonts w:ascii="Arial" w:cs="Arial" w:eastAsia="Arial" w:hAnsi="Arial"/>
          <w:sz w:val="18"/>
          <w:szCs w:val="18"/>
          <w:color w:val="auto"/>
        </w:rPr>
      </w:pPr>
    </w:p>
    <w:p>
      <w:pPr>
        <w:ind w:left="2160" w:hanging="855"/>
        <w:spacing w:after="0"/>
        <w:tabs>
          <w:tab w:leader="none" w:pos="2160"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made pursuant to this Agreement will be subject to withholding of applicable income and</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employment taxes.</w:t>
      </w:r>
    </w:p>
    <w:p>
      <w:pPr>
        <w:spacing w:after="0" w:line="265" w:lineRule="exact"/>
        <w:rPr>
          <w:rFonts w:ascii="Arial" w:cs="Arial" w:eastAsia="Arial" w:hAnsi="Arial"/>
          <w:sz w:val="18"/>
          <w:szCs w:val="18"/>
          <w:color w:val="auto"/>
        </w:rPr>
      </w:pPr>
    </w:p>
    <w:p>
      <w:pPr>
        <w:ind w:firstLine="1305"/>
        <w:spacing w:after="0" w:line="324" w:lineRule="auto"/>
        <w:tabs>
          <w:tab w:leader="none" w:pos="2155"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will be deemed an original, but all of which together will constitute one and the same instrument.</w:t>
      </w:r>
    </w:p>
    <w:p>
      <w:pPr>
        <w:sectPr>
          <w:pgSz w:w="11900" w:h="16838" w:orient="portrait"/>
          <w:cols w:equalWidth="0" w:num="1">
            <w:col w:w="11420"/>
          </w:cols>
          <w:pgMar w:left="240" w:top="611" w:right="239" w:bottom="1440" w:gutter="0" w:footer="0" w:header="0"/>
        </w:sectPr>
      </w:pPr>
    </w:p>
    <w:bookmarkStart w:id="122" w:name="page123"/>
    <w:bookmarkEnd w:id="122"/>
    <w:p>
      <w:pPr>
        <w:ind w:firstLine="648"/>
        <w:spacing w:after="0" w:line="277"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officer, as of the day and year set forth below.</w:t>
      </w:r>
    </w:p>
    <w:p>
      <w:pPr>
        <w:spacing w:after="0" w:line="333"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COMPANY</w:t>
            </w:r>
          </w:p>
        </w:tc>
        <w:tc>
          <w:tcPr>
            <w:tcW w:w="28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FORTINET, INC.</w:t>
            </w:r>
          </w:p>
        </w:tc>
      </w:tr>
      <w:tr>
        <w:trPr>
          <w:trHeight w:val="594"/>
        </w:trPr>
        <w:tc>
          <w:tcPr>
            <w:tcW w:w="3160" w:type="dxa"/>
            <w:vAlign w:val="bottom"/>
          </w:tcPr>
          <w:p>
            <w:pPr>
              <w:spacing w:after="0"/>
              <w:rPr>
                <w:sz w:val="24"/>
                <w:szCs w:val="24"/>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31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70"/>
        </w:trPr>
        <w:tc>
          <w:tcPr>
            <w:tcW w:w="3160" w:type="dxa"/>
            <w:vAlign w:val="bottom"/>
          </w:tcPr>
          <w:p>
            <w:pPr>
              <w:spacing w:after="0"/>
              <w:rPr>
                <w:sz w:val="23"/>
                <w:szCs w:val="23"/>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rPr>
              <w:t>Title:</w:t>
            </w:r>
          </w:p>
        </w:tc>
        <w:tc>
          <w:tcPr>
            <w:tcW w:w="466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500"/>
        </w:trPr>
        <w:tc>
          <w:tcPr>
            <w:tcW w:w="3160" w:type="dxa"/>
            <w:vAlign w:val="bottom"/>
          </w:tcPr>
          <w:p>
            <w:pPr>
              <w:spacing w:after="0"/>
              <w:rPr>
                <w:sz w:val="20"/>
                <w:szCs w:val="20"/>
                <w:color w:val="auto"/>
              </w:rPr>
            </w:pPr>
            <w:r>
              <w:rPr>
                <w:rFonts w:ascii="Arial" w:cs="Arial" w:eastAsia="Arial" w:hAnsi="Arial"/>
                <w:sz w:val="18"/>
                <w:szCs w:val="18"/>
                <w:color w:val="auto"/>
              </w:rPr>
              <w:t>EXECUTIVE</w:t>
            </w:r>
          </w:p>
        </w:tc>
        <w:tc>
          <w:tcPr>
            <w:tcW w:w="2820" w:type="dxa"/>
            <w:vAlign w:val="bottom"/>
          </w:tcPr>
          <w:p>
            <w:pPr>
              <w:ind w:left="2180"/>
              <w:spacing w:after="0"/>
              <w:rPr>
                <w:sz w:val="20"/>
                <w:szCs w:val="20"/>
                <w:color w:val="auto"/>
              </w:rPr>
            </w:pPr>
            <w:r>
              <w:rPr>
                <w:rFonts w:ascii="Arial" w:cs="Arial" w:eastAsia="Arial" w:hAnsi="Arial"/>
                <w:sz w:val="18"/>
                <w:szCs w:val="18"/>
                <w:color w:val="auto"/>
              </w:rPr>
              <w:t>By:</w:t>
            </w:r>
          </w:p>
        </w:tc>
        <w:tc>
          <w:tcPr>
            <w:tcW w:w="4660" w:type="dxa"/>
            <w:vAlign w:val="bottom"/>
          </w:tcPr>
          <w:p>
            <w:pPr>
              <w:ind w:left="40"/>
              <w:spacing w:after="0"/>
              <w:rPr>
                <w:sz w:val="20"/>
                <w:szCs w:val="20"/>
                <w:color w:val="auto"/>
              </w:rPr>
            </w:pPr>
            <w:r>
              <w:rPr>
                <w:rFonts w:ascii="Arial" w:cs="Arial" w:eastAsia="Arial" w:hAnsi="Arial"/>
                <w:sz w:val="18"/>
                <w:szCs w:val="18"/>
                <w:color w:val="auto"/>
              </w:rPr>
              <w:t>/s/ Keith Jensen</w:t>
            </w:r>
          </w:p>
        </w:tc>
      </w:tr>
      <w:tr>
        <w:trPr>
          <w:trHeight w:val="27"/>
        </w:trPr>
        <w:tc>
          <w:tcPr>
            <w:tcW w:w="31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Keith Jensen</w:t>
            </w:r>
          </w:p>
        </w:tc>
      </w:tr>
      <w:tr>
        <w:trPr>
          <w:trHeight w:val="270"/>
        </w:trPr>
        <w:tc>
          <w:tcPr>
            <w:tcW w:w="3160" w:type="dxa"/>
            <w:vAlign w:val="bottom"/>
          </w:tcPr>
          <w:p>
            <w:pPr>
              <w:spacing w:after="0"/>
              <w:rPr>
                <w:sz w:val="23"/>
                <w:szCs w:val="23"/>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rPr>
              <w:t>Title:</w:t>
            </w:r>
          </w:p>
        </w:tc>
        <w:tc>
          <w:tcPr>
            <w:tcW w:w="4660" w:type="dxa"/>
            <w:vAlign w:val="bottom"/>
          </w:tcPr>
          <w:p>
            <w:pPr>
              <w:ind w:left="40"/>
              <w:spacing w:after="0"/>
              <w:rPr>
                <w:sz w:val="20"/>
                <w:szCs w:val="20"/>
                <w:color w:val="auto"/>
              </w:rPr>
            </w:pPr>
            <w:r>
              <w:rPr>
                <w:rFonts w:ascii="Arial" w:cs="Arial" w:eastAsia="Arial" w:hAnsi="Arial"/>
                <w:sz w:val="18"/>
                <w:szCs w:val="18"/>
                <w:color w:val="auto"/>
              </w:rPr>
              <w:t>Chief Accounting Officer</w:t>
            </w:r>
          </w:p>
        </w:tc>
      </w:tr>
    </w:tbl>
    <w:p>
      <w:pPr>
        <w:sectPr>
          <w:pgSz w:w="11900" w:h="16838" w:orient="portrait"/>
          <w:cols w:equalWidth="0" w:num="1">
            <w:col w:w="11420"/>
          </w:cols>
          <w:pgMar w:left="240" w:top="584"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6620" w:type="dxa"/>
            <w:vAlign w:val="bottom"/>
            <w:gridSpan w:val="3"/>
          </w:tcPr>
          <w:p>
            <w:pPr>
              <w:ind w:left="40"/>
              <w:spacing w:after="0"/>
              <w:rPr>
                <w:sz w:val="20"/>
                <w:szCs w:val="20"/>
                <w:color w:val="auto"/>
              </w:rPr>
            </w:pPr>
            <w:r>
              <w:rPr>
                <w:rFonts w:ascii="Arial" w:cs="Arial" w:eastAsia="Arial" w:hAnsi="Arial"/>
                <w:sz w:val="18"/>
                <w:szCs w:val="18"/>
                <w:b w:val="1"/>
                <w:bCs w:val="1"/>
                <w:color w:val="auto"/>
              </w:rPr>
              <w:t>FORTINET, INC. SUBSIDIARIES</w:t>
            </w:r>
          </w:p>
        </w:tc>
      </w:tr>
      <w:tr>
        <w:trPr>
          <w:trHeight w:val="378"/>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Entity</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Jurisdiction of Incorporation</w:t>
            </w:r>
          </w:p>
        </w:tc>
      </w:tr>
      <w:tr>
        <w:trPr>
          <w:trHeight w:val="27"/>
        </w:trPr>
        <w:tc>
          <w:tcPr>
            <w:tcW w:w="3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156"/>
        </w:trPr>
        <w:tc>
          <w:tcPr>
            <w:tcW w:w="38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0" w:type="dxa"/>
            <w:vAlign w:val="bottom"/>
          </w:tcPr>
          <w:p>
            <w:pPr>
              <w:spacing w:after="0"/>
              <w:rPr>
                <w:sz w:val="13"/>
                <w:szCs w:val="13"/>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International, Inc.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Cayman Islands</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UK, Ltd.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Technologies (Canada), ULC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Japan K.K.</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Fortinet Information Technology (Beijing) Co., Ltd.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w w:val="95"/>
              </w:rPr>
              <w:t>Fortinet Information Technology (Tianjin) Co., Ltd.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Malaysia SDN. BHD.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Malaysia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Singapore Private Limited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Technologies India Private Limited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India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Innovation Centre India Limited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S.A.R.L.</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France</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GmbH</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Federal, Inc.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BV</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304"/>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Mexico, S. de R.L. de C.V.</w:t>
            </w:r>
          </w:p>
        </w:tc>
        <w:tc>
          <w:tcPr>
            <w:tcW w:w="1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Mexico</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Network Security Brazil Limitada</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Colombia S.A.S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Colombia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Security NZ Limited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New Zealand</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Security Israel Ltd.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Israel</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Security Korea Ltd.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Korea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Security LLC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Qatar</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Security Italy S.R.L.</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Networks Romania S.R.L.</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Romania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Meru Networks International, Inc.</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U.S.A.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Meru Networks BV</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Netherlands</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Holding LLC</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U.S.A.</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Accelops, Inc.</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Accelops HK</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Accelops China</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w w:val="94"/>
              </w:rPr>
              <w:t>Fortinet Turkey Güvenlik Sistemleri Limited Şirketi</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Turkey</w:t>
            </w:r>
          </w:p>
        </w:tc>
      </w:tr>
      <w:tr>
        <w:trPr>
          <w:trHeight w:val="27"/>
        </w:trPr>
        <w:tc>
          <w:tcPr>
            <w:tcW w:w="3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Fortinet Security Spain S.L</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Spain</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Fortinet Networks Mauritius Ltd</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Mauritius</w:t>
            </w:r>
          </w:p>
        </w:tc>
      </w:tr>
    </w:tbl>
    <w:p>
      <w:pPr>
        <w:sectPr>
          <w:pgSz w:w="11900" w:h="16838" w:orient="portrait"/>
          <w:cols w:equalWidth="0" w:num="1">
            <w:col w:w="10920"/>
          </w:cols>
          <w:pgMar w:left="740" w:top="837"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consent to the incorporation by reference in the Registration Statements Nos. 333-216362, 333-209783, 333-205958, 333-202402, 333-194281, 333-186921, 333-179751, 333-175985, 333-172459 and, 333-163367 on Form S-8 of our reports dated February 26, 2018, relating to the consolidated financial statements and consolidated financial statement schedule of Fortinet, Inc. and subsidiaries (the “Company”), and the effectiveness of the Company's internal control over financial reporting, appearing in the Annual Report on Form 10-K of the Company for the year ended December 31, 2017.</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ectPr>
          <w:pgSz w:w="11900" w:h="16838" w:orient="portrait"/>
          <w:cols w:equalWidth="0" w:num="1">
            <w:col w:w="11420"/>
          </w:cols>
          <w:pgMar w:left="240" w:top="580"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31750</wp:posOffset>
            </wp:positionV>
            <wp:extent cx="29673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Keith Jensen</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Interim Chief Financial Officer</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5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Annual Report on Form 10-K of Fortinet, Inc. for the fiscal year ended December 31, 2017 fully complies with the requirements of Section 13(a) or 15(d) of the Securities Exchange Act of 1934, as amended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5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500" w:type="dxa"/>
            <w:vAlign w:val="bottom"/>
          </w:tcPr>
          <w:p>
            <w:pPr>
              <w:ind w:left="140"/>
              <w:spacing w:after="0"/>
              <w:rPr>
                <w:sz w:val="20"/>
                <w:szCs w:val="20"/>
                <w:color w:val="auto"/>
              </w:rPr>
            </w:pPr>
            <w:r>
              <w:rPr>
                <w:rFonts w:ascii="Arial" w:cs="Arial" w:eastAsia="Arial" w:hAnsi="Arial"/>
                <w:sz w:val="18"/>
                <w:szCs w:val="18"/>
                <w:color w:val="auto"/>
              </w:rPr>
              <w:t>February 26, 2018</w:t>
            </w: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5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I, Keith Jensen, certify, pursuant to 18 U.S.C. Section 1350, as adopted pursuant to Section 906 of the Sarbanes-Oxley Act of 2002, that the Annual Report on Form 10-K of Fortinet, Inc. for the fiscal year ended December 31, 2017 fully complies with the requirements of Section 13(a) or 15(d) of the Exchange Act and that information contained in this Annual Report on Form 10-K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Keith Jensen</w:t>
            </w:r>
          </w:p>
        </w:tc>
      </w:tr>
      <w:tr>
        <w:trPr>
          <w:trHeight w:val="27"/>
        </w:trPr>
        <w:tc>
          <w:tcPr>
            <w:tcW w:w="5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500" w:type="dxa"/>
            <w:vAlign w:val="bottom"/>
          </w:tcPr>
          <w:p>
            <w:pPr>
              <w:ind w:left="140"/>
              <w:spacing w:after="0"/>
              <w:rPr>
                <w:sz w:val="20"/>
                <w:szCs w:val="20"/>
                <w:color w:val="auto"/>
              </w:rPr>
            </w:pPr>
            <w:r>
              <w:rPr>
                <w:rFonts w:ascii="Arial" w:cs="Arial" w:eastAsia="Arial" w:hAnsi="Arial"/>
                <w:sz w:val="18"/>
                <w:szCs w:val="18"/>
                <w:color w:val="auto"/>
              </w:rPr>
              <w:t>February 26, 2018</w:t>
            </w: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Keith Jensen</w:t>
            </w:r>
          </w:p>
        </w:tc>
      </w:tr>
      <w:tr>
        <w:trPr>
          <w:trHeight w:val="256"/>
        </w:trPr>
        <w:tc>
          <w:tcPr>
            <w:tcW w:w="5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w w:val="96"/>
              </w:rPr>
              <w:t>(Principal Financial Officer and Principal Accounting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x"/>
      <w:numFmt w:val="bullet"/>
      <w:start w:val="1"/>
    </w:lvl>
  </w:abstractNum>
  <w:abstractNum w:abstractNumId="1">
    <w:nsid w:val="7724C67E"/>
    <w:multiLevelType w:val="hybridMultilevel"/>
    <w:lvl w:ilvl="0">
      <w:lvlJc w:val="left"/>
      <w:lvlText w:val="o"/>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1)"/>
      <w:numFmt w:val="decimal"/>
      <w:start w:val="2"/>
    </w:lvl>
  </w:abstractNum>
  <w:abstractNum w:abstractNumId="31">
    <w:nsid w:val="12E685FB"/>
    <w:multiLevelType w:val="hybridMultilevel"/>
    <w:lvl w:ilvl="0">
      <w:lvlJc w:val="left"/>
      <w:lvlText w:val="(%1)"/>
      <w:numFmt w:val="decimal"/>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1."/>
      <w:numFmt w:val="decimal"/>
      <w:start w:val="2"/>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decimal"/>
      <w:start w:val="3"/>
    </w:lvl>
  </w:abstractNum>
  <w:abstractNum w:abstractNumId="39">
    <w:nsid w:val="39386575"/>
    <w:multiLevelType w:val="hybridMultilevel"/>
    <w:lvl w:ilvl="0">
      <w:lvlJc w:val="left"/>
      <w:lvlText w:val="%1."/>
      <w:numFmt w:val="decimal"/>
      <w:start w:val="4"/>
    </w:lvl>
  </w:abstractNum>
  <w:abstractNum w:abstractNumId="40">
    <w:nsid w:val="1CF10FD8"/>
    <w:multiLevelType w:val="hybridMultilevel"/>
    <w:lvl w:ilvl="0">
      <w:lvlJc w:val="left"/>
      <w:lvlText w:val="%1."/>
      <w:numFmt w:val="decimal"/>
      <w:start w:val="5"/>
    </w:lvl>
  </w:abstractNum>
  <w:abstractNum w:abstractNumId="41">
    <w:nsid w:val="180115BE"/>
    <w:multiLevelType w:val="hybridMultilevel"/>
    <w:lvl w:ilvl="0">
      <w:lvlJc w:val="left"/>
      <w:lvlText w:val="%1."/>
      <w:numFmt w:val="decimal"/>
      <w:start w:val="6"/>
    </w:lvl>
  </w:abstractNum>
  <w:abstractNum w:abstractNumId="42">
    <w:nsid w:val="235BA861"/>
    <w:multiLevelType w:val="hybridMultilevel"/>
    <w:lvl w:ilvl="0">
      <w:lvlJc w:val="left"/>
      <w:lvlText w:val="%1."/>
      <w:numFmt w:val="decimal"/>
      <w:start w:val="7"/>
    </w:lvl>
  </w:abstractNum>
  <w:abstractNum w:abstractNumId="43">
    <w:nsid w:val="47398C89"/>
    <w:multiLevelType w:val="hybridMultilevel"/>
    <w:lvl w:ilvl="0">
      <w:lvlJc w:val="left"/>
      <w:lvlText w:val="%1."/>
      <w:numFmt w:val="decimal"/>
      <w:start w:val="8"/>
    </w:lvl>
  </w:abstractNum>
  <w:abstractNum w:abstractNumId="44">
    <w:nsid w:val="354FE9F9"/>
    <w:multiLevelType w:val="hybridMultilevel"/>
    <w:lvl w:ilvl="0">
      <w:lvlJc w:val="left"/>
      <w:lvlText w:val="%1."/>
      <w:numFmt w:val="decimal"/>
      <w:start w:val="9"/>
    </w:lvl>
  </w:abstractNum>
  <w:abstractNum w:abstractNumId="45">
    <w:nsid w:val="15B5AF5C"/>
    <w:multiLevelType w:val="hybridMultilevel"/>
    <w:lvl w:ilvl="0">
      <w:lvlJc w:val="left"/>
      <w:lvlText w:val="%1."/>
      <w:numFmt w:val="decimal"/>
      <w:start w:val="10"/>
    </w:lvl>
  </w:abstractNum>
  <w:abstractNum w:abstractNumId="46">
    <w:nsid w:val="741226BB"/>
    <w:multiLevelType w:val="hybridMultilevel"/>
    <w:lvl w:ilvl="0">
      <w:lvlJc w:val="left"/>
      <w:lvlText w:val="%1."/>
      <w:numFmt w:val="decimal"/>
      <w:start w:val="11"/>
    </w:lvl>
  </w:abstractNum>
  <w:abstractNum w:abstractNumId="47">
    <w:nsid w:val="D34B6A8"/>
    <w:multiLevelType w:val="hybridMultilevel"/>
    <w:lvl w:ilvl="0">
      <w:lvlJc w:val="left"/>
      <w:lvlText w:val="%1."/>
      <w:numFmt w:val="decimal"/>
      <w:start w:val="12"/>
    </w:lvl>
  </w:abstractNum>
  <w:abstractNum w:abstractNumId="48">
    <w:nsid w:val="10233C99"/>
    <w:multiLevelType w:val="hybridMultilevel"/>
    <w:lvl w:ilvl="0">
      <w:lvlJc w:val="left"/>
      <w:lvlText w:val="%1."/>
      <w:numFmt w:val="decimal"/>
      <w:start w:val="13"/>
    </w:lvl>
  </w:abstractNum>
  <w:abstractNum w:abstractNumId="49">
    <w:nsid w:val="3F6AB60F"/>
    <w:multiLevelType w:val="hybridMultilevel"/>
    <w:lvl w:ilvl="0">
      <w:lvlJc w:val="left"/>
      <w:lvlText w:val="%1."/>
      <w:numFmt w:val="decimal"/>
      <w:start w:val="14"/>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1."/>
      <w:numFmt w:val="decimal"/>
      <w:start w:val="15"/>
    </w:lvl>
  </w:abstractNum>
  <w:abstractNum w:abstractNumId="52">
    <w:nsid w:val="77AE35EB"/>
    <w:multiLevelType w:val="hybridMultilevel"/>
    <w:lvl w:ilvl="0">
      <w:lvlJc w:val="left"/>
      <w:lvlText w:val="%1."/>
      <w:numFmt w:val="decimal"/>
      <w:start w:val="16"/>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1."/>
      <w:numFmt w:val="decimal"/>
      <w:start w:val="3"/>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1)"/>
      <w:numFmt w:val="decimal"/>
      <w:start w:val="408"/>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1."/>
      <w:numFmt w:val="decimal"/>
      <w:start w:val="1"/>
    </w:lvl>
  </w:abstractNum>
  <w:abstractNum w:abstractNumId="59">
    <w:nsid w:val="4AD084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0">
    <w:nsid w:val="1F48EAA1"/>
    <w:multiLevelType w:val="hybridMultilevel"/>
    <w:lvl w:ilvl="0">
      <w:lvlJc w:val="left"/>
      <w:lvlText w:val="(%1)"/>
      <w:numFmt w:val="lowerLetter"/>
      <w:start w:val="2"/>
    </w:lvl>
  </w:abstractNum>
  <w:abstractNum w:abstractNumId="61">
    <w:nsid w:val="1381823A"/>
    <w:multiLevelType w:val="hybridMultilevel"/>
    <w:lvl w:ilvl="0">
      <w:lvlJc w:val="left"/>
      <w:lvlText w:val="(%1)"/>
      <w:numFmt w:val="lowerLetter"/>
      <w:start w:val="4"/>
    </w:lvl>
  </w:abstractNum>
  <w:abstractNum w:abstractNumId="62">
    <w:nsid w:val="5DB70AE5"/>
    <w:multiLevelType w:val="hybridMultilevel"/>
    <w:lvl w:ilvl="0">
      <w:lvlJc w:val="left"/>
      <w:lvlText w:val="%1"/>
      <w:numFmt w:val="decimal"/>
      <w:start w:val="1"/>
    </w:lvl>
    <w:lvl w:ilvl="1">
      <w:lvlJc w:val="left"/>
      <w:lvlText w:val="(%2)"/>
      <w:numFmt w:val="lowerLetter"/>
      <w:start w:val="8"/>
    </w:lvl>
  </w:abstractNum>
  <w:abstractNum w:abstractNumId="63">
    <w:nsid w:val="100F8FCA"/>
    <w:multiLevelType w:val="hybridMultilevel"/>
    <w:lvl w:ilvl="0">
      <w:lvlJc w:val="left"/>
      <w:lvlText w:val="%1."/>
      <w:numFmt w:val="decimal"/>
      <w:start w:val="4"/>
    </w:lvl>
    <w:lvl w:ilvl="1">
      <w:lvlJc w:val="left"/>
      <w:lvlText w:val="(%2)"/>
      <w:numFmt w:val="lowerLetter"/>
      <w:start w:val="1"/>
    </w:lvl>
  </w:abstractNum>
  <w:abstractNum w:abstractNumId="64">
    <w:nsid w:val="6590700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5">
    <w:nsid w:val="15014ACB"/>
    <w:multiLevelType w:val="hybridMultilevel"/>
    <w:lvl w:ilvl="0">
      <w:lvlJc w:val="left"/>
      <w:lvlText w:val="(%1)"/>
      <w:numFmt w:val="lowerRoman"/>
      <w:start w:val="4"/>
    </w:lvl>
  </w:abstractNum>
  <w:abstractNum w:abstractNumId="66">
    <w:nsid w:val="5F5E7FD0"/>
    <w:multiLevelType w:val="hybridMultilevel"/>
    <w:lvl w:ilvl="0">
      <w:lvlJc w:val="left"/>
      <w:lvlText w:val="(%1)"/>
      <w:numFmt w:val="lowerLetter"/>
      <w:start w:val="22"/>
    </w:lvl>
    <w:lvl w:ilvl="1">
      <w:lvlJc w:val="left"/>
      <w:lvlText w:val="%2."/>
      <w:numFmt w:val="decimal"/>
      <w:start w:val="5"/>
    </w:lvl>
    <w:lvl w:ilvl="2">
      <w:lvlJc w:val="left"/>
      <w:lvlText w:val="(%3)"/>
      <w:numFmt w:val="lowerLetter"/>
      <w:start w:val="4"/>
    </w:lvl>
  </w:abstractNum>
  <w:abstractNum w:abstractNumId="67">
    <w:nsid w:val="98A314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8">
    <w:nsid w:val="799D0247"/>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69">
    <w:nsid w:val="6B947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0">
    <w:nsid w:val="42C296BD"/>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45" Type="http://schemas.openxmlformats.org/officeDocument/2006/relationships/image" Target="media/image14.png"/><Relationship Id="rId46" Type="http://schemas.openxmlformats.org/officeDocument/2006/relationships/image" Target="media/image15.png"/><Relationship Id="rId47" Type="http://schemas.openxmlformats.org/officeDocument/2006/relationships/image" Target="media/image16.jpeg"/><Relationship Id="rId48" Type="http://schemas.openxmlformats.org/officeDocument/2006/relationships/image" Target="media/image17.png"/><Relationship Id="rId49" Type="http://schemas.openxmlformats.org/officeDocument/2006/relationships/image" Target="media/image18.png"/><Relationship Id="rId50" Type="http://schemas.openxmlformats.org/officeDocument/2006/relationships/image" Target="media/image19.png"/><Relationship Id="rId21" Type="http://schemas.openxmlformats.org/officeDocument/2006/relationships/hyperlink" Target="http://www.sec.gov/Archives/edgar/data/1262039/000119312509169817/dex32.htm" TargetMode="External"/><Relationship Id="rId22" Type="http://schemas.openxmlformats.org/officeDocument/2006/relationships/hyperlink" Target="http://www.sec.gov/Archives/edgar/data/1262039/000126203914000018/form8-k_exhibit31.htm" TargetMode="External"/><Relationship Id="rId23" Type="http://schemas.openxmlformats.org/officeDocument/2006/relationships/hyperlink" Target="http://www.sec.gov/Archives/edgar/data/1262039/000119312509220527/dex41.htm" TargetMode="External"/><Relationship Id="rId24" Type="http://schemas.openxmlformats.org/officeDocument/2006/relationships/hyperlink" Target="http://www.sec.gov/Archives/edgar/data/1262039/000119312509169817/dex101.htm" TargetMode="External"/><Relationship Id="rId25" Type="http://schemas.openxmlformats.org/officeDocument/2006/relationships/hyperlink" Target="http://www.sec.gov/Archives/edgar/data/1262039/000119312509169817/dex102.htm" TargetMode="External"/><Relationship Id="rId26" Type="http://schemas.openxmlformats.org/officeDocument/2006/relationships/hyperlink" Target="http://www.sec.gov/Archives/edgar/data/1262039/000119312509169817/dex103.htm" TargetMode="External"/><Relationship Id="rId27" Type="http://schemas.openxmlformats.org/officeDocument/2006/relationships/hyperlink" Target="http://www.sec.gov/Archives/edgar/data/1262039/000119312509169817/dex104.htm" TargetMode="External"/><Relationship Id="rId28" Type="http://schemas.openxmlformats.org/officeDocument/2006/relationships/hyperlink" Target="http://www.sec.gov/Archives/edgar/data/1262039/000126203912000013/ftnt-ex105_20111231xk.htm" TargetMode="External"/><Relationship Id="rId29" Type="http://schemas.openxmlformats.org/officeDocument/2006/relationships/hyperlink" Target="http://www.sec.gov/Archives/edgar/data/1262039/000126203913000044/fortinet_20130630x10-qex991.htm" TargetMode="External"/><Relationship Id="rId30" Type="http://schemas.openxmlformats.org/officeDocument/2006/relationships/hyperlink" Target="http://www.sec.gov/Archives/edgar/data/1262039/000126203915000009/ftnt-ex107_20141231xk.htm" TargetMode="External"/><Relationship Id="rId31" Type="http://schemas.openxmlformats.org/officeDocument/2006/relationships/hyperlink" Target="http://www.sec.gov/Archives/edgar/data/1262039/000119312511174474/dex101.htm" TargetMode="External"/><Relationship Id="rId32" Type="http://schemas.openxmlformats.org/officeDocument/2006/relationships/hyperlink" Target="http://www.sec.gov/Archives/edgar/data/1262039/000119312515270905/d28523dex991.htm" TargetMode="External"/><Relationship Id="rId33" Type="http://schemas.openxmlformats.org/officeDocument/2006/relationships/hyperlink" Target="http://www.sec.gov/Archives/edgar/data/1262039/000119312515270905/d28523dex992.htm" TargetMode="External"/><Relationship Id="rId34" Type="http://schemas.openxmlformats.org/officeDocument/2006/relationships/hyperlink" Target="http://www.sec.gov/Archives/edgar/data/1262039/000119312515270905/d28523dex993.htm" TargetMode="External"/><Relationship Id="rId35" Type="http://schemas.openxmlformats.org/officeDocument/2006/relationships/hyperlink" Target="http://www.sec.gov/Archives/edgar/data/1262039/000119312510013031/dex101.htm" TargetMode="External"/><Relationship Id="rId36" Type="http://schemas.openxmlformats.org/officeDocument/2006/relationships/hyperlink" Target="http://www.sec.gov/Archives/edgar/data/1262039/000126203913000055/fortinet_20130930x10-qex101.htm" TargetMode="External"/><Relationship Id="rId37" Type="http://schemas.openxmlformats.org/officeDocument/2006/relationships/hyperlink" Target="http://www.sec.gov/Archives/edgar/data/1262039/000126203915000024/ftnt-ex101_20150630xqxcoca.htm" TargetMode="External"/><Relationship Id="rId38" Type="http://schemas.openxmlformats.org/officeDocument/2006/relationships/hyperlink" Target="http://www.sec.gov/Archives/edgar/data/1262039/000126203916000053/ftnt-ex1015_20151231xk.htm" TargetMode="External"/><Relationship Id="rId39" Type="http://schemas.openxmlformats.org/officeDocument/2006/relationships/hyperlink" Target="http://www.sec.gov/Archives/edgar/data/1262039/000126203916000053/ftnt-ex1016_20151231xk.htm" TargetMode="External"/><Relationship Id="rId40" Type="http://schemas.openxmlformats.org/officeDocument/2006/relationships/hyperlink" Target="http://www.sec.gov/Archives/edgar/data/1262039/000126203916000053/ftnt-ex1017_20151231xk.htm" TargetMode="External"/><Relationship Id="rId41" Type="http://schemas.openxmlformats.org/officeDocument/2006/relationships/hyperlink" Target="http://www.sec.gov/Archives/edgar/data/1262039/000126203916000053/ftnt-ex1018_20151231xk.htm" TargetMode="External"/><Relationship Id="rId42" Type="http://schemas.openxmlformats.org/officeDocument/2006/relationships/hyperlink" Target="http://www.sec.gov/Archives/edgar/data/1262039/000119312509169817/dex1010.htm" TargetMode="External"/><Relationship Id="rId43" Type="http://schemas.openxmlformats.org/officeDocument/2006/relationships/hyperlink" Target="http://www.sec.gov/Archives/edgar/data/1262039/000126203913000061/ex991offerletter.htm" TargetMode="External"/><Relationship Id="rId44" Type="http://schemas.openxmlformats.org/officeDocument/2006/relationships/hyperlink" Target="http://www.sec.gov/Archives/edgar/data/1262039/000126203913000061/ex992stocklett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2019-12-29T00:35:20Z</dcterms:created>
  <dcterms:modified xsi:type="dcterms:W3CDTF">2019-12-29T00:35:20Z</dcterms:modified>
</cp:coreProperties>
</file>