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418465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332105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1"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4"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72" w:lineRule="exact"/>
        <w:rPr>
          <w:sz w:val="24"/>
          <w:szCs w:val="24"/>
          <w:color w:val="auto"/>
        </w:rPr>
      </w:pPr>
    </w:p>
    <w:p>
      <w:pPr>
        <w:ind w:left="4020" w:right="1120" w:hanging="3985"/>
        <w:spacing w:after="0" w:line="461" w:lineRule="auto"/>
        <w:tabs>
          <w:tab w:leader="none" w:pos="39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2013</w:t>
      </w:r>
    </w:p>
    <w:p>
      <w:pPr>
        <w:spacing w:after="0" w:line="2"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7"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598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380"/>
        </w:trPr>
        <w:tc>
          <w:tcPr>
            <w:tcW w:w="8620" w:type="dxa"/>
            <w:vAlign w:val="bottom"/>
            <w:gridSpan w:val="5"/>
          </w:tcPr>
          <w:p>
            <w:pPr>
              <w:jc w:val="center"/>
              <w:ind w:left="2171"/>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001-34511</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5"/>
        </w:trPr>
        <w:tc>
          <w:tcPr>
            <w:tcW w:w="7300" w:type="dxa"/>
            <w:vAlign w:val="bottom"/>
            <w:gridSpan w:val="4"/>
          </w:tcPr>
          <w:p>
            <w:pPr>
              <w:jc w:val="center"/>
              <w:ind w:left="3471"/>
              <w:spacing w:after="0" w:line="206" w:lineRule="exact"/>
              <w:rPr>
                <w:sz w:val="20"/>
                <w:szCs w:val="20"/>
                <w:color w:val="auto"/>
              </w:rPr>
            </w:pPr>
            <w:r>
              <w:rPr>
                <w:rFonts w:ascii="Times New Roman" w:cs="Times New Roman" w:eastAsia="Times New Roman" w:hAnsi="Times New Roman"/>
                <w:sz w:val="18"/>
                <w:szCs w:val="18"/>
                <w:color w:val="auto"/>
                <w:w w:val="99"/>
              </w:rPr>
              <w:t>______________________________________</w:t>
            </w: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335"/>
        </w:trPr>
        <w:tc>
          <w:tcPr>
            <w:tcW w:w="6520" w:type="dxa"/>
            <w:vAlign w:val="bottom"/>
            <w:gridSpan w:val="2"/>
          </w:tcPr>
          <w:p>
            <w:pPr>
              <w:jc w:val="center"/>
              <w:ind w:left="4291"/>
              <w:spacing w:after="0"/>
              <w:rPr>
                <w:sz w:val="20"/>
                <w:szCs w:val="20"/>
                <w:color w:val="auto"/>
              </w:rPr>
            </w:pPr>
            <w:r>
              <w:rPr>
                <w:rFonts w:ascii="Times New Roman" w:cs="Times New Roman" w:eastAsia="Times New Roman" w:hAnsi="Times New Roman"/>
                <w:sz w:val="25"/>
                <w:szCs w:val="25"/>
                <w:b w:val="1"/>
                <w:bCs w:val="1"/>
                <w:color w:val="auto"/>
                <w:w w:val="99"/>
              </w:rPr>
              <w:t>FORTINET, INC.</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4"/>
        </w:trPr>
        <w:tc>
          <w:tcPr>
            <w:tcW w:w="8620" w:type="dxa"/>
            <w:vAlign w:val="bottom"/>
            <w:gridSpan w:val="5"/>
          </w:tcPr>
          <w:p>
            <w:pPr>
              <w:jc w:val="center"/>
              <w:ind w:left="2151"/>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0"/>
        </w:trPr>
        <w:tc>
          <w:tcPr>
            <w:tcW w:w="7300" w:type="dxa"/>
            <w:vAlign w:val="bottom"/>
            <w:gridSpan w:val="4"/>
          </w:tcPr>
          <w:p>
            <w:pPr>
              <w:jc w:val="center"/>
              <w:ind w:left="3491"/>
              <w:spacing w:after="0"/>
              <w:rPr>
                <w:sz w:val="20"/>
                <w:szCs w:val="20"/>
                <w:color w:val="auto"/>
              </w:rPr>
            </w:pPr>
            <w:r>
              <w:rPr>
                <w:rFonts w:ascii="Times New Roman" w:cs="Times New Roman" w:eastAsia="Times New Roman" w:hAnsi="Times New Roman"/>
                <w:sz w:val="16"/>
                <w:szCs w:val="16"/>
                <w:color w:val="auto"/>
              </w:rPr>
              <w:t>______________________________________</w:t>
            </w: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587"/>
        </w:trPr>
        <w:tc>
          <w:tcPr>
            <w:tcW w:w="652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77-0560389</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41"/>
        </w:trPr>
        <w:tc>
          <w:tcPr>
            <w:tcW w:w="6520" w:type="dxa"/>
            <w:vAlign w:val="bottom"/>
            <w:gridSpan w:val="2"/>
          </w:tcPr>
          <w:p>
            <w:pPr>
              <w:jc w:val="center"/>
              <w:ind w:right="134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0" w:type="dxa"/>
            <w:vAlign w:val="bottom"/>
            <w:gridSpan w:val="2"/>
          </w:tcPr>
          <w:p>
            <w:pPr>
              <w:jc w:val="center"/>
              <w:ind w:left="97"/>
              <w:spacing w:after="0"/>
              <w:rPr>
                <w:sz w:val="20"/>
                <w:szCs w:val="20"/>
                <w:color w:val="auto"/>
              </w:rPr>
            </w:pPr>
            <w:r>
              <w:rPr>
                <w:rFonts w:ascii="Times New Roman" w:cs="Times New Roman" w:eastAsia="Times New Roman" w:hAnsi="Times New Roman"/>
                <w:sz w:val="16"/>
                <w:szCs w:val="16"/>
                <w:b w:val="1"/>
                <w:bCs w:val="1"/>
                <w:color w:val="auto"/>
              </w:rPr>
              <w:t>(I.R.S. Employer</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2"/>
        </w:trPr>
        <w:tc>
          <w:tcPr>
            <w:tcW w:w="6520" w:type="dxa"/>
            <w:vAlign w:val="bottom"/>
            <w:gridSpan w:val="2"/>
          </w:tcPr>
          <w:p>
            <w:pPr>
              <w:jc w:val="center"/>
              <w:ind w:right="136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gridSpan w:val="2"/>
          </w:tcPr>
          <w:p>
            <w:pPr>
              <w:jc w:val="center"/>
              <w:ind w:left="97"/>
              <w:spacing w:after="0"/>
              <w:rPr>
                <w:sz w:val="20"/>
                <w:szCs w:val="20"/>
                <w:color w:val="auto"/>
              </w:rPr>
            </w:pPr>
            <w:r>
              <w:rPr>
                <w:rFonts w:ascii="Times New Roman" w:cs="Times New Roman" w:eastAsia="Times New Roman" w:hAnsi="Times New Roman"/>
                <w:sz w:val="16"/>
                <w:szCs w:val="16"/>
                <w:b w:val="1"/>
                <w:bCs w:val="1"/>
                <w:color w:val="auto"/>
              </w:rPr>
              <w:t>Identification No.)</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89"/>
        </w:trPr>
        <w:tc>
          <w:tcPr>
            <w:tcW w:w="652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1090 Kifer Road</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8"/>
        </w:trPr>
        <w:tc>
          <w:tcPr>
            <w:tcW w:w="652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Sunnyvale, California</w:t>
            </w:r>
          </w:p>
        </w:tc>
        <w:tc>
          <w:tcPr>
            <w:tcW w:w="2100" w:type="dxa"/>
            <w:vAlign w:val="bottom"/>
            <w:gridSpan w:val="3"/>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94086</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1"/>
        </w:trPr>
        <w:tc>
          <w:tcPr>
            <w:tcW w:w="6520" w:type="dxa"/>
            <w:vAlign w:val="bottom"/>
            <w:gridSpan w:val="2"/>
          </w:tcPr>
          <w:p>
            <w:pPr>
              <w:jc w:val="center"/>
              <w:ind w:right="136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gridSpan w:val="2"/>
          </w:tcPr>
          <w:p>
            <w:pPr>
              <w:jc w:val="center"/>
              <w:ind w:left="97"/>
              <w:spacing w:after="0"/>
              <w:rPr>
                <w:sz w:val="20"/>
                <w:szCs w:val="20"/>
                <w:color w:val="auto"/>
              </w:rPr>
            </w:pPr>
            <w:r>
              <w:rPr>
                <w:rFonts w:ascii="Times New Roman" w:cs="Times New Roman" w:eastAsia="Times New Roman" w:hAnsi="Times New Roman"/>
                <w:sz w:val="16"/>
                <w:szCs w:val="16"/>
                <w:b w:val="1"/>
                <w:bCs w:val="1"/>
                <w:color w:val="auto"/>
                <w:w w:val="99"/>
              </w:rPr>
              <w:t>(Zip Code)</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3"/>
        </w:trPr>
        <w:tc>
          <w:tcPr>
            <w:tcW w:w="6520" w:type="dxa"/>
            <w:vAlign w:val="bottom"/>
            <w:gridSpan w:val="2"/>
          </w:tcPr>
          <w:p>
            <w:pPr>
              <w:jc w:val="center"/>
              <w:ind w:left="4271"/>
              <w:spacing w:after="0"/>
              <w:rPr>
                <w:sz w:val="20"/>
                <w:szCs w:val="20"/>
                <w:color w:val="auto"/>
              </w:rPr>
            </w:pPr>
            <w:r>
              <w:rPr>
                <w:rFonts w:ascii="Times New Roman" w:cs="Times New Roman" w:eastAsia="Times New Roman" w:hAnsi="Times New Roman"/>
                <w:sz w:val="18"/>
                <w:szCs w:val="18"/>
                <w:b w:val="1"/>
                <w:bCs w:val="1"/>
                <w:color w:val="auto"/>
                <w:w w:val="99"/>
              </w:rPr>
              <w:t>(408) 235-7700</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2"/>
        </w:trPr>
        <w:tc>
          <w:tcPr>
            <w:tcW w:w="8620" w:type="dxa"/>
            <w:vAlign w:val="bottom"/>
            <w:gridSpan w:val="5"/>
          </w:tcPr>
          <w:p>
            <w:pPr>
              <w:jc w:val="center"/>
              <w:ind w:left="2151"/>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98"/>
        </w:trPr>
        <w:tc>
          <w:tcPr>
            <w:tcW w:w="8620" w:type="dxa"/>
            <w:vAlign w:val="bottom"/>
            <w:gridSpan w:val="5"/>
          </w:tcPr>
          <w:p>
            <w:pPr>
              <w:jc w:val="center"/>
              <w:ind w:left="2171"/>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8"/>
        </w:trPr>
        <w:tc>
          <w:tcPr>
            <w:tcW w:w="652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8"/>
              </w:rPr>
              <w:t>Common Stock, $0.001 Par Value</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534"/>
        </w:trPr>
        <w:tc>
          <w:tcPr>
            <w:tcW w:w="652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40" w:type="dxa"/>
            <w:vAlign w:val="bottom"/>
          </w:tcPr>
          <w:p>
            <w:pPr>
              <w:spacing w:after="0"/>
              <w:rPr>
                <w:sz w:val="24"/>
                <w:szCs w:val="24"/>
                <w:color w:val="auto"/>
              </w:rPr>
            </w:pPr>
          </w:p>
        </w:tc>
        <w:tc>
          <w:tcPr>
            <w:tcW w:w="3260" w:type="dxa"/>
            <w:vAlign w:val="bottom"/>
            <w:gridSpan w:val="5"/>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411"/>
        </w:trPr>
        <w:tc>
          <w:tcPr>
            <w:tcW w:w="8620" w:type="dxa"/>
            <w:vAlign w:val="bottom"/>
            <w:gridSpan w:val="5"/>
          </w:tcPr>
          <w:p>
            <w:pPr>
              <w:jc w:val="center"/>
              <w:ind w:left="2171"/>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8"/>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Yes x</w:t>
            </w: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t>
            </w:r>
          </w:p>
        </w:tc>
      </w:tr>
      <w:tr>
        <w:trPr>
          <w:trHeight w:val="378"/>
        </w:trPr>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Yes</w:t>
            </w: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 No</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w:t>
            </w:r>
          </w:p>
        </w:tc>
      </w:tr>
    </w:tbl>
    <w:p>
      <w:pPr>
        <w:sectPr>
          <w:pgSz w:w="11900" w:h="16838" w:orient="portrait"/>
          <w:cols w:equalWidth="0" w:num="1">
            <w:col w:w="10300"/>
          </w:cols>
          <w:pgMar w:left="240" w:top="225" w:right="1359" w:bottom="1440" w:gutter="0" w:footer="0" w:header="0"/>
        </w:sectPr>
      </w:pPr>
    </w:p>
    <w:bookmarkStart w:id="1" w:name="page2"/>
    <w:bookmarkEnd w:id="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100" w:firstLine="27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22" w:lineRule="exact"/>
        <w:rPr>
          <w:sz w:val="20"/>
          <w:szCs w:val="20"/>
          <w:color w:val="auto"/>
        </w:rPr>
      </w:pPr>
    </w:p>
    <w:p>
      <w:pPr>
        <w:ind w:right="240" w:firstLine="27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2" w:lineRule="exact"/>
        <w:rPr>
          <w:sz w:val="20"/>
          <w:szCs w:val="20"/>
          <w:color w:val="auto"/>
        </w:rPr>
      </w:pPr>
    </w:p>
    <w:p>
      <w:pPr>
        <w:ind w:firstLine="270"/>
        <w:spacing w:after="0" w:line="266"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o</w:t>
      </w:r>
    </w:p>
    <w:p>
      <w:pPr>
        <w:spacing w:after="0" w:line="122" w:lineRule="exact"/>
        <w:rPr>
          <w:sz w:val="20"/>
          <w:szCs w:val="20"/>
          <w:color w:val="auto"/>
        </w:rPr>
      </w:pPr>
    </w:p>
    <w:p>
      <w:pPr>
        <w:ind w:right="100" w:firstLine="27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118" w:right="259" w:bottom="1440" w:gutter="0" w:footer="0" w:header="0"/>
        </w:sectPr>
      </w:pPr>
    </w:p>
    <w:p>
      <w:pPr>
        <w:spacing w:after="0" w:line="1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85" w:lineRule="exact"/>
        <w:rPr>
          <w:sz w:val="20"/>
          <w:szCs w:val="20"/>
          <w:color w:val="auto"/>
        </w:rPr>
      </w:pPr>
    </w:p>
    <w:p>
      <w:pPr>
        <w:sectPr>
          <w:pgSz w:w="11900" w:h="16838" w:orient="portrait"/>
          <w:cols w:equalWidth="0" w:num="4">
            <w:col w:w="2000" w:space="720"/>
            <w:col w:w="4780" w:space="720"/>
            <w:col w:w="1960" w:space="720"/>
            <w:col w:w="500"/>
          </w:cols>
          <w:pgMar w:left="240" w:top="118" w:right="259" w:bottom="1440" w:gutter="0" w:footer="0" w:header="0"/>
          <w:type w:val="continuous"/>
        </w:sect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Times New Roman" w:cs="Times New Roman" w:eastAsia="Times New Roman" w:hAnsi="Times New Roman"/>
          <w:sz w:val="18"/>
          <w:szCs w:val="18"/>
          <w:color w:val="auto"/>
        </w:rPr>
        <w:t>(Do not check if smaller reporting</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o</w:t>
        <w:tab/>
        <w:t>company)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21" w:lineRule="exact"/>
        <w:rPr>
          <w:sz w:val="20"/>
          <w:szCs w:val="20"/>
          <w:color w:val="auto"/>
        </w:rPr>
      </w:pPr>
    </w:p>
    <w:p>
      <w:pPr>
        <w:sectPr>
          <w:pgSz w:w="11900" w:h="16838" w:orient="portrait"/>
          <w:cols w:equalWidth="0" w:num="4">
            <w:col w:w="2000" w:space="720"/>
            <w:col w:w="4780" w:space="720"/>
            <w:col w:w="1960" w:space="720"/>
            <w:col w:w="500"/>
          </w:cols>
          <w:pgMar w:left="240" w:top="118" w:right="25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Yes 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 x</w:t>
      </w:r>
    </w:p>
    <w:p>
      <w:pPr>
        <w:spacing w:after="0" w:line="171" w:lineRule="exact"/>
        <w:rPr>
          <w:sz w:val="20"/>
          <w:szCs w:val="20"/>
          <w:color w:val="auto"/>
        </w:rPr>
      </w:pPr>
    </w:p>
    <w:p>
      <w:pPr>
        <w:sectPr>
          <w:pgSz w:w="11900" w:h="16838" w:orient="portrait"/>
          <w:cols w:equalWidth="0" w:num="3">
            <w:col w:w="7700" w:space="180"/>
            <w:col w:w="440" w:space="220"/>
            <w:col w:w="2860"/>
          </w:cols>
          <w:pgMar w:left="240" w:top="118" w:right="259" w:bottom="1440" w:gutter="0" w:footer="0" w:header="0"/>
          <w:type w:val="continuous"/>
        </w:sectPr>
      </w:pPr>
    </w:p>
    <w:p>
      <w:pPr>
        <w:ind w:right="60" w:firstLine="270"/>
        <w:spacing w:after="0" w:line="258" w:lineRule="auto"/>
        <w:rPr>
          <w:sz w:val="20"/>
          <w:szCs w:val="20"/>
          <w:color w:val="auto"/>
        </w:rPr>
      </w:pPr>
      <w:r>
        <w:rPr>
          <w:rFonts w:ascii="Times New Roman" w:cs="Times New Roman" w:eastAsia="Times New Roman" w:hAnsi="Times New Roman"/>
          <w:sz w:val="18"/>
          <w:szCs w:val="18"/>
          <w:color w:val="auto"/>
        </w:rPr>
        <w:t>The aggregate market value of voting stock held by non-affiliates of the registrant, as of June 28, 2013, the last business day of the registrant’s most recently completed second quarter, was $2,122,539,878 (based on the closing price for shares of the registrant’s common stock as reported by The NASDAQ Global Select Market on that date). Shares of common stock held by each executive officer, director, and holder of 5% or more of the registrant’s outstanding common stock have been excluded in that such persons may be deemed to be affiliates. This determination of affiliate status is not necessarily a conclusive determination for other purposes.</w:t>
      </w:r>
    </w:p>
    <w:p>
      <w:pPr>
        <w:spacing w:after="0" w:line="130" w:lineRule="exact"/>
        <w:rPr>
          <w:sz w:val="20"/>
          <w:szCs w:val="20"/>
          <w:color w:val="auto"/>
        </w:rPr>
      </w:pPr>
    </w:p>
    <w:p>
      <w:pPr>
        <w:jc w:val="right"/>
        <w:ind w:left="280" w:right="3740"/>
        <w:spacing w:after="0" w:line="438" w:lineRule="auto"/>
        <w:rPr>
          <w:sz w:val="20"/>
          <w:szCs w:val="20"/>
          <w:color w:val="auto"/>
        </w:rPr>
      </w:pPr>
      <w:r>
        <w:rPr>
          <w:rFonts w:ascii="Times New Roman" w:cs="Times New Roman" w:eastAsia="Times New Roman" w:hAnsi="Times New Roman"/>
          <w:sz w:val="18"/>
          <w:szCs w:val="18"/>
          <w:color w:val="auto"/>
        </w:rPr>
        <w:t>As of February 18, 2014, there were 162,853,313 shares of the registrant’s common stock outstanding. DOCUMENTS INCORPORATED BY REFERENCE</w:t>
      </w:r>
    </w:p>
    <w:p>
      <w:pPr>
        <w:spacing w:after="0" w:line="1" w:lineRule="exact"/>
        <w:rPr>
          <w:sz w:val="20"/>
          <w:szCs w:val="20"/>
          <w:color w:val="auto"/>
        </w:rPr>
      </w:pPr>
    </w:p>
    <w:p>
      <w:pPr>
        <w:ind w:right="80" w:firstLine="270"/>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2014 Annual Meeting of Stockholders are incorporated by reference into Part III of this Annual Report on Form 10-K where indicated. Such Proxy Statement will be filed with the United States Securities and Exchange Commission (“SEC”) within 120 days after the end of the fiscal year to which this report relates.</w:t>
      </w:r>
    </w:p>
    <w:p>
      <w:pPr>
        <w:sectPr>
          <w:pgSz w:w="11900" w:h="16838" w:orient="portrait"/>
          <w:cols w:equalWidth="0" w:num="1">
            <w:col w:w="11400"/>
          </w:cols>
          <w:pgMar w:left="240" w:top="118" w:right="2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60" w:type="dxa"/>
            <w:vAlign w:val="bottom"/>
            <w:gridSpan w:val="8"/>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8"/>
              </w:rPr>
              <w:t>FORTINET, INC.</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80" w:type="dxa"/>
            <w:vAlign w:val="bottom"/>
            <w:gridSpan w:val="9"/>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80" w:type="dxa"/>
            <w:vAlign w:val="bottom"/>
            <w:gridSpan w:val="9"/>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2013</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60" w:type="dxa"/>
            <w:vAlign w:val="bottom"/>
            <w:gridSpan w:val="8"/>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2"/>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80" w:type="dxa"/>
            <w:vAlign w:val="bottom"/>
            <w:gridSpan w:val="6"/>
            <w:vMerge w:val="restart"/>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9140" w:type="dxa"/>
            <w:vAlign w:val="bottom"/>
            <w:gridSpan w:val="18"/>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10">
              <w:r>
                <w:rPr>
                  <w:rFonts w:ascii="Times New Roman" w:cs="Times New Roman" w:eastAsia="Times New Roman" w:hAnsi="Times New Roman"/>
                  <w:sz w:val="18"/>
                  <w:szCs w:val="18"/>
                  <w:color w:val="0000EE"/>
                  <w:w w:val="97"/>
                </w:rPr>
                <w:t>Risk Factors</w:t>
              </w:r>
            </w:hyperlink>
          </w:p>
        </w:tc>
        <w:tc>
          <w:tcPr>
            <w:tcW w:w="8880" w:type="dxa"/>
            <w:vAlign w:val="bottom"/>
            <w:gridSpan w:val="16"/>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10">
              <w:r>
                <w:rPr>
                  <w:rFonts w:ascii="Times New Roman" w:cs="Times New Roman" w:eastAsia="Times New Roman" w:hAnsi="Times New Roman"/>
                  <w:sz w:val="18"/>
                  <w:szCs w:val="18"/>
                  <w:color w:val="0000EE"/>
                  <w:w w:val="88"/>
                </w:rPr>
                <w:t>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gridSpan w:val="8"/>
          </w:tcPr>
          <w:p>
            <w:pPr>
              <w:spacing w:after="0"/>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Unresolved Staff Comments</w:t>
              </w:r>
            </w:hyperlink>
          </w:p>
        </w:tc>
        <w:tc>
          <w:tcPr>
            <w:tcW w:w="774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28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2040" w:type="dxa"/>
            <w:vAlign w:val="bottom"/>
            <w:gridSpan w:val="8"/>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Properties</w:t>
              </w:r>
            </w:hyperlink>
          </w:p>
        </w:tc>
        <w:tc>
          <w:tcPr>
            <w:tcW w:w="774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28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780" w:type="dxa"/>
            <w:vAlign w:val="bottom"/>
            <w:gridSpan w:val="19"/>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Legal Proceedings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29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780" w:type="dxa"/>
            <w:vAlign w:val="bottom"/>
            <w:gridSpan w:val="19"/>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Mine Safety Disclosures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29</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8"/>
              </w:rPr>
              <w:t>Part 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780" w:type="dxa"/>
            <w:vAlign w:val="bottom"/>
            <w:gridSpan w:val="19"/>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29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18"/>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Selected Financial Data</w:t>
              </w:r>
            </w:hyperlink>
          </w:p>
        </w:tc>
        <w:tc>
          <w:tcPr>
            <w:tcW w:w="1720" w:type="dxa"/>
            <w:vAlign w:val="bottom"/>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gridSpan w:val="15"/>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32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gridSpan w:val="15"/>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Quantitative and Qualitative Disclosures about Market Risk</w:t>
              </w:r>
            </w:hyperlink>
          </w:p>
        </w:tc>
        <w:tc>
          <w:tcPr>
            <w:tcW w:w="332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57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gridSpan w:val="13"/>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Financial Statements and Supplementary Data</w:t>
              </w:r>
            </w:hyperlink>
          </w:p>
        </w:tc>
        <w:tc>
          <w:tcPr>
            <w:tcW w:w="548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58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780" w:type="dxa"/>
            <w:vAlign w:val="bottom"/>
            <w:gridSpan w:val="19"/>
          </w:tcPr>
          <w:p>
            <w:pPr>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Changes in and Disagreements With Accountants on Accounting and Financial Disclosure</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92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6500" w:type="dxa"/>
            <w:vAlign w:val="bottom"/>
            <w:gridSpan w:val="16"/>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Controls and Procedures</w:t>
              </w:r>
            </w:hyperlink>
          </w:p>
        </w:tc>
        <w:tc>
          <w:tcPr>
            <w:tcW w:w="328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92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6"/>
          </w:tcPr>
          <w:p>
            <w:pPr>
              <w:spacing w:after="0"/>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Other Information</w:t>
              </w:r>
            </w:hyperlink>
          </w:p>
        </w:tc>
        <w:tc>
          <w:tcPr>
            <w:tcW w:w="802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94</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780" w:type="dxa"/>
            <w:vAlign w:val="bottom"/>
            <w:gridSpan w:val="19"/>
          </w:tcPr>
          <w:p>
            <w:pPr>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Directors, Executive Officers and Corporate Governance</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94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gridSpan w:val="7"/>
          </w:tcPr>
          <w:p>
            <w:pPr>
              <w:spacing w:after="0"/>
              <w:rPr>
                <w:rFonts w:ascii="Times New Roman" w:cs="Times New Roman" w:eastAsia="Times New Roman" w:hAnsi="Times New Roman"/>
                <w:sz w:val="18"/>
                <w:szCs w:val="18"/>
                <w:color w:val="0000EE"/>
                <w:w w:val="98"/>
              </w:rPr>
            </w:pPr>
            <w:hyperlink w:anchor="page97">
              <w:r>
                <w:rPr>
                  <w:rFonts w:ascii="Times New Roman" w:cs="Times New Roman" w:eastAsia="Times New Roman" w:hAnsi="Times New Roman"/>
                  <w:sz w:val="18"/>
                  <w:szCs w:val="18"/>
                  <w:color w:val="0000EE"/>
                  <w:w w:val="98"/>
                </w:rPr>
                <w:t>Executive Compensation</w:t>
              </w:r>
            </w:hyperlink>
          </w:p>
        </w:tc>
        <w:tc>
          <w:tcPr>
            <w:tcW w:w="2280" w:type="dxa"/>
            <w:vAlign w:val="bottom"/>
            <w:gridSpan w:val="5"/>
          </w:tcPr>
          <w:p>
            <w:pPr>
              <w:spacing w:after="0"/>
              <w:rPr>
                <w:sz w:val="21"/>
                <w:szCs w:val="21"/>
                <w:color w:val="auto"/>
              </w:rPr>
            </w:pPr>
          </w:p>
        </w:tc>
        <w:tc>
          <w:tcPr>
            <w:tcW w:w="570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94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780" w:type="dxa"/>
            <w:vAlign w:val="bottom"/>
            <w:gridSpan w:val="19"/>
          </w:tcPr>
          <w:p>
            <w:pPr>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94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140" w:type="dxa"/>
            <w:vAlign w:val="bottom"/>
            <w:tcBorders>
              <w:left w:val="single" w:sz="8" w:color="0000EE"/>
            </w:tcBorders>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gridSpan w:val="17"/>
          </w:tcPr>
          <w:p>
            <w:pPr>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Certain Relationships and Related Transactions, and Director Independence</w:t>
              </w:r>
            </w:hyperlink>
          </w:p>
        </w:tc>
        <w:tc>
          <w:tcPr>
            <w:tcW w:w="250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94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140" w:type="dxa"/>
            <w:vAlign w:val="bottom"/>
            <w:tcBorders>
              <w:left w:val="single" w:sz="8" w:color="0000EE"/>
            </w:tcBorders>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gridSpan w:val="14"/>
          </w:tcPr>
          <w:p>
            <w:pPr>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Principal Accounting Fees and Services</w:t>
              </w:r>
            </w:hyperlink>
          </w:p>
        </w:tc>
        <w:tc>
          <w:tcPr>
            <w:tcW w:w="434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94</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9"/>
              </w:rPr>
              <w:t>Part IV</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gridSpan w:val="10"/>
          </w:tcPr>
          <w:p>
            <w:pPr>
              <w:spacing w:after="0"/>
              <w:rPr>
                <w:rFonts w:ascii="Times New Roman" w:cs="Times New Roman" w:eastAsia="Times New Roman" w:hAnsi="Times New Roman"/>
                <w:sz w:val="18"/>
                <w:szCs w:val="18"/>
                <w:color w:val="0000EE"/>
                <w:w w:val="99"/>
              </w:rPr>
            </w:pPr>
            <w:hyperlink w:anchor="page98">
              <w:r>
                <w:rPr>
                  <w:rFonts w:ascii="Times New Roman" w:cs="Times New Roman" w:eastAsia="Times New Roman" w:hAnsi="Times New Roman"/>
                  <w:sz w:val="18"/>
                  <w:szCs w:val="18"/>
                  <w:color w:val="0000EE"/>
                  <w:w w:val="99"/>
                </w:rPr>
                <w:t>Exhibits, Financial Statement Schedules</w:t>
              </w:r>
            </w:hyperlink>
          </w:p>
        </w:tc>
        <w:tc>
          <w:tcPr>
            <w:tcW w:w="6880" w:type="dxa"/>
            <w:vAlign w:val="bottom"/>
            <w:gridSpan w:val="9"/>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95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180" w:type="dxa"/>
            <w:vAlign w:val="bottom"/>
            <w:tcBorders>
              <w:left w:val="single" w:sz="8" w:color="0000EE"/>
            </w:tcBorders>
            <w:gridSpan w:val="8"/>
            <w:shd w:val="clear" w:color="auto" w:fill="0000EE"/>
          </w:tcPr>
          <w:p>
            <w:pPr>
              <w:spacing w:after="0" w:line="20" w:lineRule="exact"/>
              <w:rPr>
                <w:sz w:val="1"/>
                <w:szCs w:val="1"/>
                <w:color w:val="auto"/>
              </w:rPr>
            </w:pPr>
          </w:p>
        </w:tc>
        <w:tc>
          <w:tcPr>
            <w:tcW w:w="68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20" w:type="dxa"/>
            <w:vAlign w:val="bottom"/>
            <w:gridSpan w:val="2"/>
          </w:tcPr>
          <w:p>
            <w:pPr>
              <w:spacing w:after="0"/>
              <w:rPr>
                <w:rFonts w:ascii="Times New Roman" w:cs="Times New Roman" w:eastAsia="Times New Roman" w:hAnsi="Times New Roman"/>
                <w:sz w:val="18"/>
                <w:szCs w:val="18"/>
                <w:color w:val="0000EE"/>
                <w:w w:val="89"/>
              </w:rPr>
            </w:pPr>
            <w:hyperlink w:anchor="page99">
              <w:r>
                <w:rPr>
                  <w:rFonts w:ascii="Times New Roman" w:cs="Times New Roman" w:eastAsia="Times New Roman" w:hAnsi="Times New Roman"/>
                  <w:sz w:val="18"/>
                  <w:szCs w:val="18"/>
                  <w:color w:val="0000EE"/>
                  <w:w w:val="89"/>
                </w:rPr>
                <w:t>Signatures</w:t>
              </w:r>
            </w:hyperlink>
          </w:p>
        </w:tc>
        <w:tc>
          <w:tcPr>
            <w:tcW w:w="2180" w:type="dxa"/>
            <w:vAlign w:val="bottom"/>
            <w:gridSpan w:val="8"/>
          </w:tcPr>
          <w:p>
            <w:pPr>
              <w:spacing w:after="0"/>
              <w:rPr>
                <w:sz w:val="21"/>
                <w:szCs w:val="21"/>
                <w:color w:val="auto"/>
              </w:rPr>
            </w:pPr>
          </w:p>
        </w:tc>
        <w:tc>
          <w:tcPr>
            <w:tcW w:w="6880" w:type="dxa"/>
            <w:vAlign w:val="bottom"/>
            <w:gridSpan w:val="9"/>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96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360"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provide high performance network security solutions that are designed to address the fundamental problems of an increasingly bandwidth-intensive network environment and a more sophisticated information technology (“IT”) threat landscape. Through our products and subscription services, we provide broad and integrated protection against dynamic security threats while simplifying the IT security infrastructure for enterprises, service providers and governmental entities worldwide. Our flagship integrated network security solution consists of our FortiGate physical and virtual appliance products that provide a broad array of security and networking functions to protect data, applications, and users from network- and content-level security threats. These functions provide Data Center Firewall (“DCFW”)/Unified Threat Management (“UTM”)/Next Generation Firewall (“NGFW”) technologies, including firewall, virtual private network ("VPN"), application control, anti-malware, intrusion prevention, Web filtering, vulnerability management, anti-spam, wireless controller, and wide area network ("WAN") acceleration. Our FortiGate appliances, from the FortiGate-20 for small businesses and branch offices to the FortiGate-5000 series for large enterprises and service providers, are based on our proprietary technology platform. This platform includes our FortiASICs, which are specifically designed for accelerated processing of security and networking functions, and our FortiOS operating system, which provides the foundation for all of our security functions. Our FortiGuard security subscription services provide end-customers with access to dynamic updates to our application control, anti-malware, intrusion prevention, Web filtering and anti-spam functionality based on intelligence gathered by our dedicated FortiGuard Labs team. By combining multiple proprietary security and networking functions with our purpose-built FortiASIC and FortiOS, our FortiGate DCFW/UTM/NGFW solution delivers broad protection against dynamic security threats while reducing the operational burden and costs associated with managing multiple point products.</w:t>
      </w:r>
    </w:p>
    <w:p>
      <w:pPr>
        <w:spacing w:after="0" w:line="197"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We complement our FortiGate product line with the FortiManager product family, which enables end-customers to manage the system configuration and security functions of multiple FortiGate devices from a centralized console, as well as the FortiAnalyzer product family, which enables collection, analysis and archiving of content and log data generated by our products. We also offer other product lines that provide additional protection, such as:</w:t>
      </w:r>
    </w:p>
    <w:p>
      <w:pPr>
        <w:spacing w:after="0" w:line="2" w:lineRule="exact"/>
        <w:rPr>
          <w:sz w:val="20"/>
          <w:szCs w:val="20"/>
          <w:color w:val="auto"/>
        </w:rPr>
      </w:pPr>
    </w:p>
    <w:p>
      <w:pPr>
        <w:ind w:right="120" w:firstLine="8"/>
        <w:spacing w:after="0" w:line="265" w:lineRule="auto"/>
        <w:tabs>
          <w:tab w:leader="none" w:pos="2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FortiAP, secure wireless access points, (ii) FortiWeb, security for Web-based applications, (iii) FortiMail, multi-featured, high performance messaging security, (iv) FortiDB, centrally managed database-specific security, (v) FortiClient, endpoint security for desktops, laptops and mobile devices and that is primarily used in conjunction with our FortiGate appliances, (vi) FortiScan, endpoint vulnerability assessment and remediation, (vii) FortiSwitch, Ethernet switches, (viii) FortiBridge, bypass appliances to help ensure network availability, (ix) FortiAuthenticator, scalable secure authentication for enterprise networks, (x) FortiADC, Application Delivery Controller ("ADC")optimizing the availability and performance of mobile, cloud, and enterprise applications,</w:t>
      </w:r>
    </w:p>
    <w:p>
      <w:pPr>
        <w:spacing w:after="0" w:line="1" w:lineRule="exact"/>
        <w:rPr>
          <w:rFonts w:ascii="Times New Roman" w:cs="Times New Roman" w:eastAsia="Times New Roman" w:hAnsi="Times New Roman"/>
          <w:sz w:val="17"/>
          <w:szCs w:val="17"/>
          <w:color w:val="auto"/>
        </w:rPr>
      </w:pPr>
    </w:p>
    <w:p>
      <w:pPr>
        <w:ind w:right="500" w:firstLine="8"/>
        <w:spacing w:after="0" w:line="255" w:lineRule="auto"/>
        <w:tabs>
          <w:tab w:leader="none" w:pos="3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FortiSandbox, detecting and mitigating Advanced Persistent Threats (“APTs”), (xii) FortiCache, reducing the cost of and impact of cached internet content, (xiii) FortiDNS, providing secure Domain Name System ("DNS") caching, (xiv) FortiDDoS, protection against Distributed Denial of Service ("DDOS") attack, and (xv) FortiVoice, business telephone communication.</w:t>
      </w:r>
    </w:p>
    <w:p>
      <w:pPr>
        <w:spacing w:after="0" w:line="18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Additionally, we offer virtual appliances for the FortiGate, FortiManager, FortiAnalyzer, FortiWeb, FortiMail, FortiCache, and FortiADC product lines. These virtual appliances help secure network infrastructures with the same functionality as the traditional physical appliances in their respective product lines. They can be used in conjunction with traditional Fortinet appliances (such as FortiGate, FortiManager, and FortiAnalyzer) to help ensure the visibility, management, and protection of physical and virtual environments.</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Since our inception through December 31, 2013, we have shipped over 1,400,000 appliances via more than 20,000 channel partners to more than 184,000 end-customers worldwide, including a majority of the 2013 Fortune Global 100. During our fiscal year ended December 31, 2013, we generated total revenue of $615.3 million and net income of $44.3 million. See Part II Item 8 of this Annual Report on Form 10-K for more information on our consolidated balance sheets as of December 31, 2013 and 2012 and our consolidated statements of operations, consolidated statements of comprehensive income, consolidated statements of cash flows, and consolidated statements of stockholders' equity for each of the three years ended December 31, 2013, 2012, and 2011.</w:t>
      </w:r>
    </w:p>
    <w:p>
      <w:pPr>
        <w:spacing w:after="0" w:line="18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in November 2000. Our principal executive office is located at 1090 Kifer Road, Sunnyvale, California 94086 and our telephone number at that location is (408) 235-7700. In March 2014, we expect to move to our new corporate headquarters located at 899 Kifer Road, Sunnyvale, California 94086.</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118" w:right="25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Architecture</w:t>
      </w:r>
    </w:p>
    <w:p>
      <w:pPr>
        <w:spacing w:after="0" w:line="22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Our proprietary FortiASIC hardware architecture, FortiOS operating system and associated security and networking functions combine to form a platform that integrates security features and enables our products to perform sophisticated security processing for networks with high throughput requirements.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FortiASIC</w:t>
      </w:r>
    </w:p>
    <w:p>
      <w:pPr>
        <w:spacing w:after="0" w:line="22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FortiASIC family of Application-Specific Integrated Circuits (“ASICs”) is comprised of three lines of processors: the FortiASIC content processor (“CP”), the FortiASIC network processor (“NP”), and the FortiASIC system-on-a-chip (“SOC”). These custom ASICs are designed to enhance the sophisticated security processing capabilities implemented in software by accelerating the computation-intensive tasks such as firewall policy enforcement or intrusion prevention system ("IPS") anomaly detection. This architecture provides the flexibility of implementing accelerated processing of new threat detection without requiring a new ASIC release. The FortiASIC CP is currently included in most of our entry-level and all of our mid-range and high-end FortiGate appliances. The FortiASIC NP is currently included in some of our mid-range and high-end FortiGate appliances, delivering further accelerated firewall and VPN performance. During fiscal 2013, we introduced the latest version of our NP, the NP6 through our FGT 1500D and 3700D product lines providing enhanced firewall performance. The FortiASIC SOC2 is our second-generation processor that combines general purpose processing power with Fortinet's custom technology to provide hardware-accelerated network security performance for our smaller FortiGate appliances. It is currently included in our entry-level FortiGate-20, -30, -40, -60, and -90 product families.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FortiOS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FortiOS operating system provides the foundation for the operation of all FortiGate appliances, from the core kernel functions to the security processing feature sets. FortiOS provides multiple layers of security including a hardened kernel layer providing protection for the FortiGate system, a network security layer providing security for end-customers’ network infrastructures, and application content protection providing security for end-customers’ workstations and applications. FortiOS directs the operations of processors and ASICs and provides system management functions such as command-line and graphical user interfaces.</w:t>
      </w:r>
    </w:p>
    <w:p>
      <w:pPr>
        <w:spacing w:after="0" w:line="18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 the first quarter of fiscal 2013, we released an update to our FortiOS operating system, which offers advanced security, control, and intelligence designed to help protect organizations of all sizes from today’s sophisticated threats. These enhancements to FortiOS include:</w:t>
      </w:r>
    </w:p>
    <w:p>
      <w:pPr>
        <w:spacing w:after="0" w:line="162"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modern anti-malware detection system for identifying and mitigating APTs.</w:t>
      </w:r>
    </w:p>
    <w:p>
      <w:pPr>
        <w:spacing w:after="0" w:line="225"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Simplification of configurations and deployments by enabling enterprises to quickly and easily configure their FortiGate appliances based on their unique business and security requirements.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Contextual visibility for enhanced security reporting and management by providing detailed analytics for deeper insight into historic or real-time network activities.</w:t>
      </w:r>
    </w:p>
    <w:p>
      <w:pPr>
        <w:spacing w:after="0" w:line="162"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make available updates to FortiOS through our FortiCare support services. FortiOS also enables advanced, integrated routing and switching, allowing end-customers to deploy FortiGate devices within a wide variety of networks, as well as providing a direct replacement solution option for legacy switching and routing equipment. FortiOS implements a suite of commonly used routing protocols as well as address translation technologies, allowing the FortiGate appliance to integrate and operate in a wide variety of network environments. Additional features include Virtual Domain (“VDOM”), capabilities and traffic queuing and shaping, enabling administrators to set the appropriate configurations and policies that meet their infrastructure needs. FortiOS also provides capabilities for logging of traffic for forensic analysis purposes which are particularly important for regulatory compliance initiatives like payment card industry data security standard ("PCI DSS"). FortiOS is designed to help control network traffic in order to optimize performance by including functionality such as packet classification, queue disciplines, policy enforcement and congestion management.</w:t>
      </w:r>
    </w:p>
    <w:p>
      <w:pPr>
        <w:spacing w:after="0" w:line="185"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Our FortiOS incorporates the following core security and networking technologies, including firewall, VPN, application control, anti-malware, intrusion prevention, Web filtering, vulnerability management, anti-spam, wireless controller, and WAN acceleration.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also incorporate additional technologies within FortiGate appliances that differentiate our DCFW/UTM/NGFW solution, including data leakage protection (DLP), traffic optimization, SSL inspection, threat vulnerability management, and wireless controller technology.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Our core product offerings consist of our FortiGate product family, along with our FortiManager central management and FortiAnalyzer central logging and reporting product families, both of which are typically purchased to complement a large FortiGate deployment.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FortiGate</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flagship FortiGate physical and virtual appliances offer a broad set of security and networking functions, including firewall, VPN, application control, antivirus, intrusion prevention, Web filtering, anti-spam and WAN acceleration. All FortiGate models are based on our proprietary operating system, FortiOS, and substantially all FortiGate physical appliances include our proprietary FortiASICs to accelerate content and network security features implemented within FortiOS. FortiGate platforms can be centrally managed through both embedded Web-based and command line interfaces, as well as through FortiManager which provides central management architecture for thousands of FortiGate physical and virtual appliances.</w:t>
      </w:r>
    </w:p>
    <w:p>
      <w:pPr>
        <w:spacing w:after="0" w:line="18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By combining multiple network security functions in our purpose-built security platform, the FortiGate provides high quality protection capabilities and deployment flexibility while reducing the operational burden and costs associated with managing multiple point products. With over 30 models in the FortiGate product line, FortiGate is designed to address security requirements for small- to mid-sized businesses, remote offices, large enterprises, and service providers.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Each FortiGate model runs our FortiOS operating system, and substantially all FortiGate physical appliances include our FortiASICs. The significant differences between each model are the performance and scalability targets each model is designed to meet, while the security features and associated services offered are common throughout all models. The FortiGate-20 through -100 series models are designed for perimeter protection for small- to mid-sized businesses. The FortiGate-200 through -800 series models are designed for perimeter deployment in mid-sized to large enterprise networks. And, the FortiGate-1000 through -5000 series models deliver high performance and scalable network security functionality for perimeter, data center and core deployment in large enterprise and service provider networks.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Fortinet Management and Analysis Products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FortiManager and FortiAnalyzer physical and virtual products are typically sold in conjunction with a large FortiGate deployment.</w:t>
      </w:r>
    </w:p>
    <w:p>
      <w:pPr>
        <w:spacing w:after="0" w:line="223"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FortiManager. </w:t>
      </w:r>
      <w:r>
        <w:rPr>
          <w:rFonts w:ascii="Times New Roman" w:cs="Times New Roman" w:eastAsia="Times New Roman" w:hAnsi="Times New Roman"/>
          <w:sz w:val="18"/>
          <w:szCs w:val="18"/>
          <w:color w:val="auto"/>
        </w:rPr>
        <w:t>Our FortiManager family of products provides a central management solution for our FortiGate products, including the wide variety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network and security features offered within FortiOS. One FortiManager product is capable of effectively managing thousands of FortiGate units, and also provides central management for FortiClient software. FortiManager facilitates the coordination of policy-based provisioning, device configuration and operating system revision management, as well as network security monitoring and device control.</w:t>
      </w:r>
    </w:p>
    <w:p>
      <w:pPr>
        <w:spacing w:after="0" w:line="180"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FortiAnalyzer. </w:t>
      </w:r>
      <w:r>
        <w:rPr>
          <w:rFonts w:ascii="Times New Roman" w:cs="Times New Roman" w:eastAsia="Times New Roman" w:hAnsi="Times New Roman"/>
          <w:sz w:val="18"/>
          <w:szCs w:val="18"/>
          <w:color w:val="auto"/>
        </w:rPr>
        <w:t>Our FortiAnalyzer family provides network logging, analyzing, and reporting products that securely aggregate content and log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our FortiGate devices and other Fortinet products as well as third-party devices to enable network logging, analysis and reporting.</w:t>
      </w:r>
    </w:p>
    <w:p>
      <w:pPr>
        <w:spacing w:after="0" w:line="160"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We also offer other physical and virtual appliances and software that protect our end-customers from security threats to other critical areas in the enterprise, such as messaging, Web-based applications and databases, and employees’ computers or mobile devices as discussed above in the business overview.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FortiGuard Security Subscription Services</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Security requirements are dynamic due to the constantly changing nature of threats. Our FortiGuard Labs global threat research team uses automated processes to identify emerging threats, collects threat samples, and replicates, reviews and characterizes attacks. Based on this research, we develop updates for virus signatures, attack definitions, scanning engines, and other security solution components to distribute to end-customers through our FortiGuard global distribution network. Our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FortiGuard security subscription services are designed to allow us to quickly deliver new threat detection capabilities to end-customers worldwide as new threats evolve. End-customers purchase FortiGuard security subscription services in advance, typically for a one-year term, to obtain coverage and access to regular updates for application control, antivirus, intrusion prevention, Web filtering, and anti-spam functions for our FortiGate products; antivirus, Web filtering and anti-spam functions for our FortiClient software; antivirus and anti-spam functions for our FortiMail products; vulnerability management for our FortiGate, FortiAnalyzer and FortiScan products, database functions for our FortiDB appliance, web functions for our FortiWeb appliances, and advanced threat protection for our FortiSandbox products. We provide FortiGuard services 24 hours a day, seven days a week.</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FortiCare Technical Support Services</w:t>
      </w:r>
    </w:p>
    <w:p>
      <w:pPr>
        <w:spacing w:after="0" w:line="22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Our FortiCare services are our technical support services for the software, firmware and hardware in our products. In addition to our standard support service offering, we offer a premium service that offers faster response times and dedicated support oriented towards major accounts.</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For our standard technical support offering for our products, channel partners often provide first level support to the end-customer, especially for small and mid-sized end-customers, and we typically provide second and third level support to our end-customers. We also provide knowledge management tools and customer self-help portals to help augment our support capabilities in an efficient and scalable manner. We provide technical support to partners and end-customers 24 hours a day, seven days a week through regional technical support managers located worldwide.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Training Services</w:t>
      </w:r>
    </w:p>
    <w:p>
      <w:pPr>
        <w:spacing w:after="0" w:line="22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offer training services to our end-customers and channel partners through our training department and authorized training partners. We have also implemented a training certification program to ensure an understanding of our products and services.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offer professional services to end-customers primarily for large implementations where expert technical resources are required. Our professional services consultants help in the design of deployments of our products and work closely with end-customer engineers, managers and other project team members to implement our products according to design, utilizing network analysis tools, attack simulation software and scripts.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29"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We sell our security solutions through channel partners to end-customers of various sizes—from small businesses to large enterprises and service providers—and across a variety of industries including telecommunications, government, financial services, retail, education, technology, healthcare and manufacturing. An end-customer deployment may involve one of our appliances or thousands, depending on our end-customers’ size and security requirements. Since our inception through December 31, 2013, we have shipped over 1,400,000 appliances via more than 20,000 channel partners to more than 184,000 end-customers worldwide, including a majority of the 2013 Fortune Global 100. For additional information regarding our sales by customer location, see Note 14 to our consolidated financial statements in Part II, Item 8 of this Annual Report on Form 10-K.</w:t>
      </w:r>
    </w:p>
    <w:p>
      <w:pPr>
        <w:spacing w:after="0" w:line="18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fiscal 2011, no single customer or distributor accounted for 10% or more of total revenue. During fiscal 2012 and fiscal 2013, one distributor, Exclusive Networks Group, accounted for 11% and 12% of total revenue,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We primarily sell our products and services directly to distributors that sell to resellers and service providers, which, in turn, sell to our end-customers. In certain cases, we sell directly to government-focused resellers, very large service providers and major systems integrator partners who have large purchasing power and unique customer deployment demands. As of December 31, 2013, our distribution channel program had more than 20,000 channel partners worldwide. We work with many of the world’s leading technology distributors, including Arrow Electronics, Inc., Ingram Micro Inc. and Tech Data Corporation.</w:t>
      </w:r>
    </w:p>
    <w:p>
      <w:pPr>
        <w:spacing w:after="0" w:line="184"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support our channel partners that include distributors and resellers with a team of experienced channel account managers, sales professionals and sales engineers who provide business planning, joint marketing strategy, and pre-sales and operational sales support. Additionally, our sales team often helps drive and support large enterprise and service provider sales through a direct touch model. Our sales professionals and engineers typically work alongside our channel partners and directly</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118" w:right="25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engage with end-customers to address their unique security and deployment requirements. Our sales cycle for an initial end-customer purchase typically ranges from three to six months but can be longer especially for large enterprises, service providers and government customers. To support our broadly dispersed global channel and end-customer base, we have sales offices in over 30 countries around the world.</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marketing strategy is focused on building our brand and driving end-customer demand for our security solutions. We execute this strategy by leveraging a combination of internal marketing professionals and a network of regional and global channel partners. Our internal marketing organization is responsible for branding, product marketing, channel marketing and sales support programs. We focus our resources on programs, tools and activities that can be leveraged by partners worldwide to extend our marketing reach, such as sales tools and collateral, product awards and technical certifications, training, regional seminars and conferences, webinars and various other demand-generation 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Suppliers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outsource the manufacturing of our security appliance products to a variety of contract manufacturers and original design manufacturers. Our current manufacturing partners include Flextronics International Ltd., Micro-Star International Co., Ltd., Adlink Technology, Inc., Senao Networks, Inc., and a number of Taiwan-based manufacturers. We submit purchase orders to our contract manufacturers that describe the type and quantities of our products to be manufactured, the delivery date and other delivery terms. Once our products are manufactured, they are sent to either our headquarters in Sunnyvale, California, or to our logistics partner in Taoyuan City, Taiwan, where accessory packaging and quality-control testing are performed. We believe that outsourcing our manufacturing and a substantial portion of our logistics enables us to conserve capital, better adjust manufacturing volumes to meet changes in demand and more quickly deliver products, while allowing us to focus resources on our core competencies. Our proprietary FortiASICs, which are the key to the performance of our appliances, are fabricated by contract manufacturers in foundries operated by United Microelectronics Corporation (“UMC”) and Taiwan Semiconductor Manufacturing Company Limited (“TSMC”). Faraday Technology Corporation (using UMC’s foundry), Kawasaki Microelectronics America, Inc. (“K-Micro”) (using TSMC’s foundry) and Renesas Electronics Corporation (“Renesas”) (using UMC’s foundry) manufacture our ASICs on a purchase order basis. Accordingly, they are not obligated to continue to fulfill our supply requirements, and the prices we are charged for the fabrication of our ASICs could be increased on short notice.</w:t>
      </w:r>
    </w:p>
    <w:p>
      <w:pPr>
        <w:spacing w:after="0" w:line="191"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components included in our products are sourced from various suppliers by us or more frequently by our contract manufacturers. Some of the components important to our business, including specific types of central processing units from Intel Corporation (“Intel”), network chips from Broadcom Corporation (“Broadcom”), Marvell Technology Group Ltd. (“Marvell”) and Intel, and solid-state drives (silicon-based storage device) from OCZ Technology Group, Inc. and Samsung Electronics Co., Ltd., are available from a limited or sole source of supply.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 long-term contracts related to the manufacturing of our ASICs or other components that guarantee any capacity or pricing terms.</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For information regarding the geographical disbursement of our long-lived assets, see Note 14 to our consolidated financial statements in Part II, Item 8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focus our research and development efforts on developing new products and systems, and adding new features to existing products and systems. Our development strategy is to identify features, products and systems for both software and hardware that are, or are expected to be, needed by our end-customers. Our success in designing, developing, manufacturing and selling new or enhanced products will depend on a variety of factors, including the identification of market demand for new products, product selection, timely implementation of product design and development, product performance, effective manufacturing and assembly processes and sales and marketing.</w:t>
      </w:r>
    </w:p>
    <w:p>
      <w:pPr>
        <w:spacing w:after="0" w:line="184" w:lineRule="exact"/>
        <w:rPr>
          <w:sz w:val="20"/>
          <w:szCs w:val="20"/>
          <w:color w:val="auto"/>
        </w:rPr>
      </w:pPr>
    </w:p>
    <w:p>
      <w:pPr>
        <w:ind w:right="160" w:firstLine="648"/>
        <w:spacing w:after="0" w:line="313" w:lineRule="auto"/>
        <w:rPr>
          <w:sz w:val="20"/>
          <w:szCs w:val="20"/>
          <w:color w:val="auto"/>
        </w:rPr>
      </w:pPr>
      <w:r>
        <w:rPr>
          <w:rFonts w:ascii="Times New Roman" w:cs="Times New Roman" w:eastAsia="Times New Roman" w:hAnsi="Times New Roman"/>
          <w:sz w:val="17"/>
          <w:szCs w:val="17"/>
          <w:color w:val="auto"/>
        </w:rPr>
        <w:t>As of December 31, 2013, our research and development organization had headcount of 702 people predominantly in Canada, the United States (“U.S.”) and China. Our research and development expense was $102.7 million in fiscal 2013, $81.1 million in fiscal 2012 and $63.6 million in fiscal 2011.</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rely primarily on patent, trademark, copyright and trade secrets laws, confidentiality procedures and contractual provisions to protect our technology. As of December 31, 2013, we had 130 issued U.S. patents, 21 issued Chinese patents, 4 issued Taiwanese patents and 1 issued Japanese patent, which expire at various dates between 2019 and 2031, and 105 patent</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118" w:right="27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applications pending for examination in the United States, and 7 patent applications pending for examination in China. We also license software from third parties for inclusion in our products, including open source software and other software available on commercially reasonable terms.</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may attempt to copy aspects of our products or obtain and use information that we regard as proprietary. We generally enter into confidentiality agreements with our employees, consultants, vendors and customers, and generally limit access to and distribution of our proprietary information. However, we cannot provide assurance that the steps we take will prevent misappropriation of our technology. In addition, the laws of some foreign countries do not protect our proprietary rights to as great an extent as the laws of the United States, and many foreign countries do not enforce these laws as diligently as government agencies and private parties in the United States.</w:t>
      </w:r>
    </w:p>
    <w:p>
      <w:pPr>
        <w:spacing w:after="0" w:line="184"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industry is characterized by the existence of a large number of patents and frequent claims and related litigation regarding patent and other intellectual property rights. Third parties have in the past asserted, and may in the future assert patent, copyright, trademark and other intellectual property rights against us, our channel partners or our end-customers. Successful claims of infringement by a third party could prevent us from distributing certain products or performing certain services or require us to pay substantial damages (including treble damages if we are found to have willfully infringed patents or copyrights), royalties or other fees. Even if third parties may offer a license to their technology, the terms of any offered license may not be acceptable and the failure to obtain a license or the costs associated with any license could cause our business, operating results or financial condition to be materially and adversely affected. We typically indemnify our end-customers, distributors and certain resellers against claims that our products infringe the intellectual property of third parties.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right="420" w:firstLine="1040"/>
        <w:spacing w:after="0" w:line="282" w:lineRule="auto"/>
        <w:rPr>
          <w:sz w:val="20"/>
          <w:szCs w:val="20"/>
          <w:color w:val="auto"/>
        </w:rPr>
      </w:pPr>
      <w:r>
        <w:rPr>
          <w:rFonts w:ascii="Times New Roman" w:cs="Times New Roman" w:eastAsia="Times New Roman" w:hAnsi="Times New Roman"/>
          <w:sz w:val="18"/>
          <w:szCs w:val="18"/>
          <w:color w:val="auto"/>
        </w:rPr>
        <w:t>For information regarding seasonality, see the section entitled “—Quarterly Results of Operations—Seasonality, Cyclicality and Quarterly Revenue Trends” in Part II, Item 7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markets for our products are extremely competitive and are characterized by rapid technological change. The principal competitive factors in our markets include the following:</w:t>
      </w:r>
    </w:p>
    <w:p>
      <w:pPr>
        <w:spacing w:after="0" w:line="189" w:lineRule="exact"/>
        <w:rPr>
          <w:sz w:val="20"/>
          <w:szCs w:val="20"/>
          <w:color w:val="auto"/>
        </w:rPr>
      </w:pPr>
    </w:p>
    <w:p>
      <w:pPr>
        <w:ind w:left="1360" w:hanging="704"/>
        <w:spacing w:after="0"/>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features, effectiveness, interoperability and reliability;</w:t>
      </w:r>
    </w:p>
    <w:p>
      <w:pPr>
        <w:spacing w:after="0" w:line="26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expertise;</w:t>
      </w:r>
    </w:p>
    <w:p>
      <w:pPr>
        <w:spacing w:after="0" w:line="26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of products and services and total cost of ownership;</w:t>
      </w:r>
    </w:p>
    <w:p>
      <w:pPr>
        <w:spacing w:after="0" w:line="26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26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 support;</w:t>
      </w:r>
    </w:p>
    <w:p>
      <w:pPr>
        <w:spacing w:after="0" w:line="26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distribution capabilities;</w:t>
      </w:r>
    </w:p>
    <w:p>
      <w:pPr>
        <w:spacing w:after="0" w:line="26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industry standards and certifications;</w:t>
      </w:r>
    </w:p>
    <w:p>
      <w:pPr>
        <w:spacing w:after="0" w:line="26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financial stability of operations; and</w:t>
      </w:r>
    </w:p>
    <w:p>
      <w:pPr>
        <w:spacing w:after="0" w:line="26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product line.</w:t>
      </w:r>
    </w:p>
    <w:p>
      <w:pPr>
        <w:spacing w:after="0" w:line="23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competitors include networking companies such as Cisco Systems, Inc. (“Cisco”) and Juniper Networks, Inc. (“Juniper”), security vendors such as Check Point Software Technologies Ltd. (“Check Point”), McAfee, Inc. (“McAfee”) (acquired by Intel), Sourcefire, Inc. (“Sourcefire”) (acquired by Cisco), Stonesoft Corporation (“Stonesoft”) (acquired by McAfee), SonicWALL, Inc. (“SonicWALL”) (acquired by Dell Inc. (“Dell”)), BlueCoat Systems, Inc. ("BlueCoat"), FireEye, Inc. and Palo Alto Networks, Inc. (“Palo Alto Networks”), and other point solution security vendors.</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believe we compete favorably based on our products’ performance, reliability and breadth, our ability to add and integrate new networking and security features and our technological expertise. Several competitors are significantly larger, have greater financial, technical, marketing, distribution, customer support and other resources, are more established than we are, and have significantly better brand recognition. Some of these larger competitors have substantially broader product offerings and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leverage their relationships based on other products or incorporate functionality into existing products in a manner that discourages users from purchasing our products. Based in part on these competitive pressures, we may lower prices or attempt to add incremental features and functionality.</w:t>
      </w:r>
    </w:p>
    <w:p>
      <w:pPr>
        <w:spacing w:after="0" w:line="16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Conditions in our markets could change rapidly and significantly as a result of technological advancements or continuing market consolidation. The development and market acceptance of alternative technologies could decrease the demand for our products or render them obsolete. Our competitors may introduce products that are less costly, provide superior performance or achieve greater market acceptance than our products. In addition, our larger competitors often have broader product lines and market focus, are in a better position to withstand any significant reduction in capital spending by end-customers in these markets, and will therefore not be as susceptible to downturns in a particular market. The above competitive pressures are likely to continue to impact our business. We may not be able to compete successfully in the future, and competition may harm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w:t>
      </w:r>
    </w:p>
    <w:p>
      <w:pPr>
        <w:spacing w:after="0" w:line="310"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17"/>
          <w:szCs w:val="17"/>
          <w:color w:val="auto"/>
        </w:rPr>
        <w:t>Our business and operations are subject to environmental laws and regulations in various jurisdictions around the world including the Waste Electrical and Electronic Equipment and Restriction of the Use of Certain Hazardous Substances in Electrical and Electronic Equipment regulations adopted by the European Union. Many of these laws and regulations are still evolving and being tested in courts, and could be interpreted in ways that could harm our business. We seek to operate our business in compliance with such laws. We are currently subject to laws relating to the materials and content of our products and certain requirements relating to product take back and recycling. Environmental regulation is increasing, particularly outside of the United States, and we expect that our international operations will be subject to additional environmental compliance requirements, which may expose us to additional costs. To date, our compliance costs relating to environmental regulations have not had a material impact on our business, results of operations or financial condition.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2013, our total headcount was 2,308 people including contractors. We had 702 in research and development, 870 in sales and marketing, 540 in services and support, 49 in manufacturing operations, and 147 in a general and administrative capacity. As of December 31, 2013, our headcount was 595 people in the United States, 726 in Canada, 208 in China, 119 in France, and 660 in other countries.</w:t>
      </w:r>
    </w:p>
    <w:p>
      <w:pPr>
        <w:spacing w:after="0" w:line="176"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None of our U.S. employees are represented by a labor union with respect to his or her employment with us; however, our employees in France, Spain and Italy are represented by collective bargaining agreements. We have not experienced any work stoppages, and we consider our relations with our employees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web site is located at www.fortinet.com, and our investor relations web site is located at http://investor.fortinet.com. The information posted on our website is not incorporated by reference into this Annual Report on Form 10-K. Our Annual Report on Form 10-K, Quarterly Reports on Form 10-Q, Current Reports on Form 8-K and amendments to reports filed or furnished pursuant to Sections 13(a) and 15(d) of the Securities Act, are available free of charge on our investor relations web site as soon as reasonably practicable after we electronically file such material with, or furnish it to, the SEC. You may also access all of our public filings through the SEC’s website at www.sec.gov. Further, a copy of this Annual Report on Form 10-K is located at the SEC’s Public Reference Room at 100 F Street, NE, Washington, D.C. 20549. Information on the operation of the Public Reference Room can be obtained by calling the SEC at 1-800-SEC-0330.</w:t>
      </w:r>
    </w:p>
    <w:p>
      <w:pPr>
        <w:spacing w:after="0" w:line="189"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We webcast our earnings calls and certain events we participate in or host with members of the investment community on our investor relations web site. Additionally, we provide notifications of news or announcements regarding our financial performance, including SEC filings, investor events, press and earnings releases, as part of our investor relations web site. The contents of these web sites are not intended to be incorporated by reference into this report or in any other report or document we file.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118" w:right="27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7"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Investors should carefully consider the following risks and all other information contained in this Annual Report on Form 10-K, including our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and investors may lose some or all of their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are likely to vary significantly and be unpredictable.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operating results have historically varied from period to period, and we expect that they will continue to do so as a result of a number of factors, many of which are outside of our control and may be difficult to predict, including:</w:t>
      </w:r>
    </w:p>
    <w:p>
      <w:pPr>
        <w:spacing w:after="0" w:line="162"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and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channel partner and end-customer orders and our reliance on a concentration of shipments at the end of each quarter;</w:t>
      </w:r>
    </w:p>
    <w:p>
      <w:pPr>
        <w:spacing w:after="0" w:line="225"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shipments, which may depend on many factors such as inventory levels and logistics, our ability to ship new products on schedule and to accurately forecast inventory requirements, and potential delays in the manufacturing process;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imbalances, such as those related to new products and the end of life of existing products;</w:t>
      </w:r>
    </w:p>
    <w:p>
      <w:pPr>
        <w:spacing w:after="0" w:line="225"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sold, the mix of revenue between products and services and the degree to which products and services are bundled and sold together for a package price;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budgeting cycles and purchasing practices of our channel partners and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buying patterns of our end-customers;</w:t>
      </w:r>
    </w:p>
    <w:p>
      <w:pPr>
        <w:spacing w:after="0" w:line="225"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revenue recognition for our sales, which may be affected by both the mix of sales by our “sell-in” versus our “sell-through” channel partners, and by the extent to which we bring on new distributors;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timing of point of sale reporting by our sell-through distributors, which impacts our ability to recognize revenue;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perceived threats to network security, which may fluctuate from period to period;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end-customer, distributor or reseller requirements or market needs and buying practices and patterns;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growth rate of the network security or UTM markets;</w:t>
      </w:r>
    </w:p>
    <w:p>
      <w:pPr>
        <w:spacing w:after="0" w:line="225"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and service introductions by us or our competitors or any other change in the competitive landscape of our industry, including consolidation among our competitors or end-customers;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 of orders from end-customers in anticipation of new products or product enhancements announced by us or our competitors;</w:t>
      </w:r>
    </w:p>
    <w:p>
      <w:pPr>
        <w:spacing w:after="0" w:line="225"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our expenses caused by fluctuations in foreign currency exchange rates, as a significant portion of our expenses are incurred and paid in currencies other than the U.S. dollar;</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40"/>
          </w:cols>
          <w:pgMar w:left="240" w:top="118" w:right="31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1300" w:right="20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potential end-customers to purchase network security solutions from larger, more established security vendors or from their primary network equipment vendors;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competition, and increased competitiveness in general in our market;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renewal rates for our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payment terms of services contracts or the length of services contracts sold;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unforeseen liabilities or write-downs and any impact on results of operations from any acquisition consummated;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or credit difficulties confronting our customers, affecting their ability to purchase or pay for our products and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channel or termination of our relationship with important channel partners;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or credit difficulties confronting our key suppliers, which could disrupt our supply chain;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in our domestic and foreign markets;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and based on forecasted revenue trends. Accordingly, in the event of revenue shortfalls, we are generally unable to mitigate the negative impact on margins in the short term.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economic conditions or reduced information technology spending may adversely impact our business.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channel partners, reduced unit sales and slower or little to no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billings and revenue growth may slow or may not continue.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Billings and revenue growth may slow, or we may experience a decrease in billings and revenue, for a number of reasons, including a slowdown in demand for our products or services, an increase in competition, a decrease in the growth of our overall market, softness in demand in certain geographies, or if we fail for any reason to continue to capitalize on growth opportunities. For example, we experienced lower than expected billings during the first quarter of 2013 due to a number of factors, including decreased sales in the service provider market and slower sales in Latin America, and Europe, Middle East and Africa (“EMEA”). Our expenses as a percentage of total revenue may be higher than expected if our revenue is lower than expectations, and we may not be able to sustain profitability in future periods if we fail to increase billings, revenue or deferred revenue, do not appropriately manage our cost structure, or encounter unanticipated liabilities. Any failure by us to maintain profitability and continue our billings and revenue growth could cause the price of our common stock to materially decline.</w:t>
      </w:r>
    </w:p>
    <w:p>
      <w:pPr>
        <w:spacing w:after="0" w:line="181"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revenue from subscription and support services which may decline, and because we recognize revenue from subscription and support services over the term of the relevant service period, downturns or upturns in sales of subscription and support services are not immediately reflected in full in our operating results.</w:t>
      </w:r>
    </w:p>
    <w:p>
      <w:pPr>
        <w:spacing w:after="0" w:line="17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subscription and support services revenue has historically accounted for a significant percentage of our total revenue. Sales of new or renewal subscription and support services contracts may decline and fluctuate as a result of a number</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40"/>
          </w:cols>
          <w:pgMar w:left="240" w:top="118" w:right="31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of factors, including end-customers’ level of satisfaction with our products and services, the prices of our products and services, the prices of products and services offered by our competitors or reductions in our customers’ spending levels. If our sales of new or renewal subscription and support services contracts decline, our revenue and revenue growth may decline and our business will suffer. In addition, in the event significant customers require payment terms for subscription or support services in arrears or for shorter periods of time than annually, such as monthly or quarterly, this may negatively impact subscription and support revenue. Furthermore, we recognize subscription and support services revenue monthly over the term of the relevant service period, which is typically from one to three years, but in some instances has been as long as five years. As a result, much of the subscription and support services revenue we report each quarter is the recognition of deferred revenue from subscription and support services contracts entered into during previous quarters. Consequently, a decline in new or renewed subscription or support services contracts in any one quarter will not be fully reflected in revenue in that quarter but will negatively affect our revenue in future quarters. Accordingly, the effect of significant downturns in new or renewed sales of our subscriptions or support services is not reflected in full in our statements of operations until future periods. Our subscription and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8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5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spacing w:after="0" w:line="176"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in foreign markets;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accounts receivable collection and longer collection periods;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foreign operations;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foreign policies, laws and regulations and the risks and costs of non-compliance with such policies, laws and regulations;</w:t>
      </w:r>
    </w:p>
    <w:p>
      <w:pPr>
        <w:spacing w:after="0" w:line="161"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complying with U.S. laws and regulations for foreign operations, including the Foreign Corrupt Practices Act, import and export control laws, tariffs, trade barriers, and economic sanctions;</w:t>
      </w:r>
    </w:p>
    <w:p>
      <w:pPr>
        <w:spacing w:after="0" w:line="161"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regulatory or contractual limitations on our ability to sell our products in certain foreign markets, and the risks and costs of non-compliance;</w:t>
      </w:r>
    </w:p>
    <w:p>
      <w:pPr>
        <w:spacing w:after="0" w:line="161"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risks of unfair or corrupt business practices in certain geographies and of improper or fraudulent sales and sales-related arrangements that may result in disruption in the sales team through terminations of employment or otherwise, and may adversely impact financial results as compared to those already reported or the forecasted results and result in restatements of financial statements and irregularities in financial statements;</w:t>
      </w:r>
    </w:p>
    <w:p>
      <w:pPr>
        <w:spacing w:after="0" w:line="18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implement and maintain adequate internal controls to properly manage our international sales and operations;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political unrest, terrorism, hostilities, war, or natural disasters;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differences and geographic dispersion;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and possibly overlapping tax structures.</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Product and service sales may be subject to foreign governmental regulations, which vary substantially from country to country. Further, we may be unable to keep up-to-date with changes in government requirements as they change from time to</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118" w:right="27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products and services and could have a material adverse effect on our business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successful in continuing to execute our strategy to increase our sales to larger end-customers, our results of operations may suffer.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our products to large enterprises, service providers and governmental entities. Sales to enterprises, service providers and governmental entities involve risks that may not be present (or that are present to a lesser extent) with sales to small-to-mid-sized entities. These risks include:</w:t>
      </w:r>
    </w:p>
    <w:p>
      <w:pPr>
        <w:spacing w:after="0" w:line="176" w:lineRule="exact"/>
        <w:rPr>
          <w:sz w:val="20"/>
          <w:szCs w:val="20"/>
          <w:color w:val="auto"/>
        </w:rPr>
      </w:pPr>
    </w:p>
    <w:p>
      <w:pPr>
        <w:ind w:left="1300" w:right="80" w:hanging="644"/>
        <w:spacing w:after="0" w:line="277" w:lineRule="auto"/>
        <w:tabs>
          <w:tab w:leader="none" w:pos="1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from competitors, such as Cisco Systems, Inc. (“Cisco”), Sourcefire, Inc. (“Sourcefire”) (acquired by Cisco), Check Point Software Technologies Ltd. (“Check Point”), McAfee, Inc. (“McAfee”) (acquired by Intel Corporation (“Intel”)), Blue Coat Systems, Inc. ("Blue Coat"), FireEye, Inc., Palo Alto Networks, Inc. (“Palo Alto Networks”), SonicWALL, Inc. (“SonicWALL”) (acquired by Dell Inc. (“Dell”)), Juniper Networks, Inc. (“Juniper”), and Stonesoft Corporation (“Stonesoft”) (acquired by McAfee) that traditionally target enterprises, service providers and governmental entities and that may already have purchase commitments from those end-customers;</w:t>
      </w:r>
    </w:p>
    <w:p>
      <w:pPr>
        <w:spacing w:after="0" w:line="168" w:lineRule="exact"/>
        <w:rPr>
          <w:rFonts w:ascii="Times New Roman" w:cs="Times New Roman" w:eastAsia="Times New Roman" w:hAnsi="Times New Roman"/>
          <w:sz w:val="17"/>
          <w:szCs w:val="17"/>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purchasing power and leverage held by large end-customers in negotiating contractual arrangements;</w:t>
      </w:r>
    </w:p>
    <w:p>
      <w:pPr>
        <w:spacing w:after="0" w:line="225" w:lineRule="exact"/>
        <w:rPr>
          <w:rFonts w:ascii="Times New Roman" w:cs="Times New Roman" w:eastAsia="Times New Roman" w:hAnsi="Times New Roman"/>
          <w:sz w:val="18"/>
          <w:szCs w:val="18"/>
          <w:color w:val="auto"/>
        </w:rPr>
      </w:pPr>
    </w:p>
    <w:p>
      <w:pPr>
        <w:ind w:left="1300" w:right="50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the capital resources of or purchasing behavior of large end-customers, including changes in the volume and frequency of their purchases;</w:t>
      </w:r>
    </w:p>
    <w:p>
      <w:pPr>
        <w:spacing w:after="0" w:line="161"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support requirements in our support service contracts, including stricter support response times, more complex customer requirements, and increased penalties for any failure to meet support requirements; and</w:t>
      </w:r>
    </w:p>
    <w:p>
      <w:pPr>
        <w:spacing w:after="0" w:line="161"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 and the associated risk that substantial time and resources may be spent on a potential end-customer that elects not to purchase our products and services.</w:t>
      </w:r>
    </w:p>
    <w:p>
      <w:pPr>
        <w:spacing w:after="0" w:line="16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Large enterprises, service providers and governmental entities often undertake a significant evaluation process that results in a lengthy sales cycle, in some cases over 12 months. Although we have a channel sales model, our sales representatives typically engage in direct interaction with our distributors and resellers in connection with sales to larger end-customers. Due to the lengthy nature, the size and scope, and stringent requirements of these evaluations, we typically provide evaluation products to these customers. We may spend substantial time, effort and money in our sales efforts without being successful in producing any sales. If we are unsuccessful in converting these evaluations into sales, we may experience an increased inventory of used products and potentially increased write-offs. In addition, product purchases by enterprises, service providers and governmental entities are frequently subject to budget constraints, multiple approvals, and unplanned administrative, processing and other delays. Furthermore, service providers represent our largest industry vertical and consolidation or changes in buying behavior by larger customers within this industry could negatively impact our business. Finally, enterprises, service providers and governmental entities typically have longer implementation cycles, require greater product functionality and scalability and a broader range of services, including design services, demand that vendors take on a larger share of risks, sometimes require acceptance provisions that can lead to a delay in revenue recognition, and expect greater payment flexibility from vendors. All these factors can add further risk to business conducted with these customers. If sales expected from a large end-customer for a particular quarter are not realized in that quarter or at all, our business, operating results and financial condition could be materially and adversely affected.</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5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Managing our inventory is complex. Our channel partners may increase orders during periods of product shortages, cancel orders if their inventory is too high, return products or take advantage of price protection (if any is available to the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particular partner),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certain products or ship products increases for any reason, this could result in inventory shortfalls. Management of our inventory is further complicated by the significant number of different products and models that we sell.</w:t>
      </w:r>
    </w:p>
    <w:p>
      <w:pPr>
        <w:spacing w:after="0" w:line="18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experienced inventory shortages in the first quarter of 2013 due to more demand for certain products than we had forecasted. If we are unable to effectively manage our inventory and that of our channel partners, our results of operations could be adversely affected.</w:t>
      </w:r>
    </w:p>
    <w:p>
      <w:pPr>
        <w:spacing w:after="0" w:line="18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5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and Chief Executive Officer and Michael Xie, our Co-founder, President and Chief Technology Officer, and any of our senior sales leaders or functional area leaders, could significantly delay or prevent the achievement of our development and strategic objectives. For example, our prior Chief Financial Officer and Chief Operating Officer departed in December 2013. In addition, key personnel may be distracted by activities unrelated to our business. The loss of the services, or distraction, of our senior management for any reason could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retain and motivate qualified personnel, our business will suffer.</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highly-skilled personnel is frequently intense, especially in the locations where we have a substantial presence and need for highly-skilled personnel: the San Francisco Bay Area, Vancouver, Canada and Beijing, China.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sales prices of our products may decrease, which may reduce our gross profits and adversely impact our financial results and the trading price of our common stock.</w:t>
      </w:r>
    </w:p>
    <w:p>
      <w:pPr>
        <w:spacing w:after="0" w:line="15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average sales prices for our products may decline for a variety of reasons, including competitive pricing pressures, discounts we offer, a change in our mix of products, anticipation of the introduction of new products or promotional programs. Competition continues to increase in the market segments in which we participate, and we expect competition to further increase in the future, thereby leading to increased pricing pressures. Larger competitors with more diverse product offerings may reduce the price of products that compete with ours in order to promote the sale of other products or may bundle them with other products. Additionally, although we price our products and services worldwide in U.S. dollars, currency fluctuations in certain countries and regions may negatively impact actual prices that partners and customers are willing to pay in those countries and regions. Furthermore, we anticipate that the average sales prices and gross profits for our products will decrease over product life cycles. We cannot assure you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118" w:right="27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a concentration of shipments at the end of the quarter could cause our billings and revenue to fall below expected levels.</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For example, on average over the past eight quarters, our shipments during the last two weeks of each quarter accounted for approximately 36% of aggregate billings for each quarter.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manage inventory to meet demand, our inability to release new products on schedule, any failure of our systems related to order review and processing, or any delays in shipments based on trade compliance requirements, our billings and revenue for that quarter could fall below our expectations or those of securities analysts and investors, resulting in a decline in our stock price.</w:t>
      </w:r>
    </w:p>
    <w:p>
      <w:pPr>
        <w:spacing w:after="0" w:line="18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5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significant channel partner may adversely impact our sales and operating results.</w:t>
      </w:r>
    </w:p>
    <w:p>
      <w:pPr>
        <w:spacing w:after="0" w:line="18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provide sales channel partners with specific programs to assist them in selling our products, but there can be no assurance that these programs will be effective. In addition, our channel partners may be unsuccessful in marketing, selling and supporting our products and services. Our channel partners generally do not have minimum purchase requirements. They may also market, sell and support products and services that are competitive with ours, and may devote more resources to the marketing, sales and support of such products. They may also have incentives to promote our competitors’ products to the detriment of our own. They may cease selling our products altogether. We cannot assure you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 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If we fail to optimize our channel partner model or fail to manage existing sales channels, our business will be seriously harmed.</w:t>
      </w:r>
    </w:p>
    <w:p>
      <w:pPr>
        <w:spacing w:after="0" w:line="189" w:lineRule="exact"/>
        <w:rPr>
          <w:sz w:val="20"/>
          <w:szCs w:val="20"/>
          <w:color w:val="auto"/>
        </w:rPr>
      </w:pPr>
    </w:p>
    <w:p>
      <w:pPr>
        <w:ind w:right="320" w:firstLine="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possible or perceived defects or vulnerabilities in our products or services, the failure of our products or services to prevent a virus or security breach, or misuse of our products could harm our reputation and divert resources.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Because our products and services are complex, they have contained and may contain defects or errors that are not detected until after their commercial release and deployment by our customers. Defects or vulnerabilities may impede or block network traffic or cause our products or services to be vulnerable to electronic break-ins or cause them to fail to help secure networks. Because the techniques used by computer hackers to access or sabotage networks change frequently and generally are not recognized until launched against a target, we may be unable to anticipate these techniques. In addition, defects or errors in our FortiGuard subscription updates or our FortiGate appliances could result in a failure of our FortiGuard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a growing customer base. Any such technical failure, downtime, or failures in general may temporarily or permanently expose our end-customers’ networks, leaving their networks unprotected against the latest security threats.</w:t>
      </w:r>
    </w:p>
    <w:p>
      <w:pPr>
        <w:spacing w:after="0" w:line="19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We may not be able to correct any security flaws or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actual, possible, or perceived defects, errors or vulnerabilities in our products, or misuse of our products, could result in:</w:t>
      </w:r>
    </w:p>
    <w:p>
      <w:pPr>
        <w:spacing w:after="0" w:line="184" w:lineRule="exact"/>
        <w:rPr>
          <w:sz w:val="20"/>
          <w:szCs w:val="20"/>
          <w:color w:val="auto"/>
        </w:rPr>
      </w:pPr>
    </w:p>
    <w:p>
      <w:pPr>
        <w:ind w:left="1300" w:right="32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 of significant financial and product development resources in efforts to analyze, correct, eliminate or work-around errors or defects or to address and eliminate vulnerabilities;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existing or potential end-customers or channel partners;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revenue;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attain market acceptance;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which will harm our reputation;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regulatory inquiries or investigations that may be costly and harm our reputation.</w:t>
      </w:r>
    </w:p>
    <w:p>
      <w:pPr>
        <w:spacing w:after="0" w:line="22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have experienced growth, and if we do not appropriately manage any future growth, or are unable to improve our systems and processes, our operating results will be negatively affected.</w:t>
      </w:r>
    </w:p>
    <w:p>
      <w:pPr>
        <w:spacing w:after="0" w:line="15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Our business has grown over the last several years. We rely heavily on information technology systems to help manage critical functions such as order processing, revenue recognition, financial forecasts, inventory and supply chain management and trade compliance reviews. However, we have been slow to adopt and implement certain automated functions, which could have a negative impact on our business. For example, a large part of our order processing relies on the manual processing of emails internally and from our customers. Combined with the fact that we may receive a majority of our orders in the last few weeks of any given quarter, a significant interruption in our email service or other systems could result in delayed order fulfillment and decreased revenue for that quarter. To manage any future growth effectively, we must continue to improve and expand our information technology and financial infrastructure, operating and administrative systems and controls, and continue to manage headcount, capital and processes in an efficient manner. We may not be able to successfully implement requisite improvements to these systems, controls and processes, such as system access and change management controls, in a timely or efficient manner. We are moving our U.S. headquarters at the end of February, which move could cause system and other disruption. We are also in the planning stages for a new enterprise resource planning system and when the new system is implemented, such change may cause disruption and additional cost. In addition, our systems and processes may not prevent or detect all errors, omissions or fraud. Our failure to improve our systems and processes, or their failure to operate in the intended manner, may result in our inability to manage the growth of our business and to accurately forecast our revenue, expenses and earnings, or to prevent certain losses. Our productivity and the quality of our products and services may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9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Annual Report on Form 10-K,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stock-based compensation expense, valuation of inventory, warranty liabilities, goodwill and other long-lived assets, investments, and accounting for income taxes.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18" w:right="25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outsource the manufacturing of our security appliance products to a variety of contract manufacturing partners and original design manufacturing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w:t>
      </w:r>
    </w:p>
    <w:p>
      <w:pPr>
        <w:spacing w:after="0" w:line="207"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Our reliance on our third-party manufacturers reduces our control over the manufacturing process, exposing us to risks, including reduced control over quality assurance, product costs and product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68"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interruptions for any reason, such as a natural disaster, epidemic, capacity shortages, or quality problems, at one of our manufacturing partners would severely affect sales of our product lines manufactured by that manufacturing partner. Furthermore manufacturing cost increases for any reason could result in lower gross margins.</w:t>
      </w:r>
    </w:p>
    <w:p>
      <w:pPr>
        <w:spacing w:after="0" w:line="17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proprietary FortiASIC, which is the key to the performance of our appliances, is fabricated by contract manufacturers in foundries operated by UMC and TSMC. Faraday (using UMC’s foundry), “K-Micro (using TSMC’s foundry) and Renesas (using UMC’s foundry) manufacture our ASICs on a purchase order basis, and UMC and TSMC do not guarantee any capacity and could reject orders from Faraday, K-Micro or Renesas or could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of products. If any of these suppliers materially delays its supply of ASICs or specific product models to us, or requires us to find an alternate supplier and we are not able to do so on a timely and reasonable basis, or if these foundries materially increase their prices for fabrication of our ASICs or specific product models, our business would be harmed.</w:t>
      </w:r>
    </w:p>
    <w:p>
      <w:pPr>
        <w:spacing w:after="0" w:line="185"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 addition, our reliance on third-party manufacturers and foundries limits our control over environmental regulatory requirements such as the hazardous substance content of our products and therefore our ability to ensure compliance with the European Union’s (“EU”) Restriction of Hazardous Substances Directive (“RoHS”) and other similar laws. It also exposes us to the risk that certain minerals and metals that originated in the Democratic Republic of Congo or an adjoining country, known as “conflict minerals,” are contained within our products. Under the Dodd-Frank Wall Street Reform and Consumer Protection Act of 2010, the SEC adopted new disclosure requirements for public companies using conflict minerals in their products. Under these rules, we are required to perform due diligence, disclose and report our efforts to prevent the sourcing of such conflict minerals. Our first conflict minerals report is due by May 31, 2014. As a result of these new rules, we have incurred and expect to incur additional costs to comply with the disclosure requirements, including costs related to determining the source of any of the conflict minerals that may be used in our products. Moreover, the implementation of these new requirements could adversely affect the sourcing, availability, and pricing of materials used in the manufacture of our products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the extent that there may be only a limited number of suppliers offering “conflict free” minerals that can be used in our products. There can be no assurance that we will be able to obtain such minerals in sufficient quantities or at competitive prices. We may also encounter customers who require that all of the components of our products be certified as conflict free. If we are not able to meet customer requirements, such customers may choose to not purchase our products, which could impact our sales and the value of portions of our inventory.</w:t>
      </w:r>
    </w:p>
    <w:p>
      <w:pPr>
        <w:spacing w:after="0" w:line="176"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and may result in the loss of sales and customers, and increased component costs may result in lower gross margins.</w:t>
      </w:r>
    </w:p>
    <w:p>
      <w:pPr>
        <w:spacing w:after="0" w:line="17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central processing units from Intel, Advanced Micro Devices, Inc., and RMI/Netlogic Corporation, network chips from Broadcom Corporation, Marvell Technology Group Ltd. and Intel, and hard drives from Western Digital Technologies, Inc.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86"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76"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inability to obtain an adequate supply of required parts or components when required;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or other difficulties faced by our suppliers;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or misappropriation of our intellectual property;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 component to meet environmental or other regulatory requirements;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delivery obligations in a timely fashion;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component quality.</w:t>
      </w:r>
    </w:p>
    <w:p>
      <w:pPr>
        <w:spacing w:after="0" w:line="22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financial condition and results of operations.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 majority of our operating expenses is incurred outside the United States. These expenses are denominated in foreign currencies and are subject to fluctuations due to changes in foreign currency exchange rates, particularly changes in the Euro and Canadian dollar. Although we have been hedging currency exposures relating to certain balance sheet accounts and have periodically entered into cash flow hedges relating to certain operating expenses incurred outside of the United States,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while substantially all of our revenue is not subject to foreign currency</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118" w:right="25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risk, it does not serve as a hedge to our foreign currency-denominated operating expenses. In addition, a strengthening of the U.S. dollar could increase the real cost of our products to our customers outside of the United States, which could also adversely affect our financial condition and results of operations.</w:t>
      </w:r>
    </w:p>
    <w:p>
      <w:pPr>
        <w:spacing w:after="0" w:line="15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restriction on sales, and/or impair our ability to compete in international markets.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Because we incorporate encryption technology into our products, certain of our products are subject to U.S. export controls and may be exported outside the U.S. only with the required export license or through an export license exception. If we were to fail to comply with U.S. export licensing,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for orders placed by partners as stocking orders for example,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18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requirements, our business, financial condition, operating results and reputation could be adversely affected.</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 RoHS and the EU Waste Electrical and Electronic Equipment Directive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8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continue to incur costs related to environmental laws and regulations in the future. With respect to the EU RoHS, we and our competitors rely on an exemption for lead in network infrastructure equipment. It is possible this exemption will be revoked in the near future. If this exemption is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8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18" w:right="25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portion of our revenue is generated by sales to governmental entities, which are subject to a number of challenges and risks.</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Sales to U.S. and foreign federal, state and local governmental agency end-customers have accounted for a portion of our revenue in past periods, and we may in the future increase sales to governmental entities. Sales to governmental entities are subject to a number of risks. Selling to governmental entities can be highly competitive, expensive and time consuming, often requiring significant upfront time and expense without any assurance that we will win a sale.</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Government demand, sales, and payment for our products and services may be negatively impacted by numerous factors and requirements unique to selling to government agencies, such as:</w:t>
      </w:r>
    </w:p>
    <w:p>
      <w:pPr>
        <w:spacing w:after="0" w:line="162"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sector budgetary cycles,</w:t>
      </w:r>
    </w:p>
    <w:p>
      <w:pPr>
        <w:spacing w:after="0" w:line="225"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authorizations and requirements unique to government agencies, with funding or purchasing reductions or delays adversely affecting public sector demand for our products,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matters,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applicable to certain government sales.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rules and regulations applicable to government sales may also negatively impact sales to non-governmental entities. To date we have had limited traction in sales to U.S. federal government agencies, and any future sales to governmental entities is uncertain. All of our sales to governmental entities have been made indirectly through our distribution channel. Governmental entities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governmental entity, the financial health of the distributor could be substantially harmed, which could negatively affect our future sales to such distributor. Governments routinely investigate and audit government contractors’ administrative processes, and any unfavorable audit could result in the government refusing to continue buying our products and services, a reduction of revenue or fines or civil or criminal liability if the audit uncovers improper or illegal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False detection of viruses or security breaches or false identification of spam or spyware could adversely affect our business.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anti-malware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negative publicity, loss of end-customers and sales, increased costs to remedy any problem, and costly litigation.</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18" w:right="25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internal network system is compromised by computer hackers, public perception of our products and services will be harmed.</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will not succeed unless the marketplace is confident that we provide effective network security protection. Because we provide network security products, we may be a more attractive target for attacks by computer hackers. Although we have not experienced significant damages from unauthorized access by a third party of our internal network, if an actual or perceived breach of network security occurs in our internal systems it could adversely affect the market perception of our products and services. In addition, such a security breach could impair our ability to operate our business, including our ability to provide subscription and support services to our end-customers. If this happens, our revenue could decline and our business could suffer.</w:t>
      </w:r>
    </w:p>
    <w:p>
      <w:pPr>
        <w:spacing w:after="0" w:line="180"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service provider and governmental entity end-customers require higher levels of support than smaller end-customers because of their more complex deployments. If we fail to meet the requirements of our larger end-customers, it may be more difficult to execute on our strategy to increase our penetration with enterprises, service providers and governmental entities.</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a result, our failure to maintain high quality support services would have a material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provision for income taxes or adverse outcomes resulting from examination of our income tax returns could adversely affect our results.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Our provision for income taxes is subject to volatility and could be adversely affected by several factors, many of which are outside of our control, including:</w:t>
      </w:r>
    </w:p>
    <w:p>
      <w:pPr>
        <w:spacing w:after="0" w:line="162" w:lineRule="exact"/>
        <w:rPr>
          <w:sz w:val="20"/>
          <w:szCs w:val="20"/>
          <w:color w:val="auto"/>
        </w:rPr>
      </w:pPr>
    </w:p>
    <w:p>
      <w:pPr>
        <w:ind w:left="1300" w:right="34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being lower than anticipated in countries that have lower tax rates and higher than anticipated in countries that have higher tax rates;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or lapses in the research and development tax credit laws;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pricing adjustments including the effect of acquisitions on our intercompany research and development and legal structure;</w:t>
      </w:r>
    </w:p>
    <w:p>
      <w:pPr>
        <w:spacing w:after="0" w:line="225"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non-deductible expenses for tax purposes, including certain stock-based compensation expense, write-offs of acquired in-process research and development, and impairment of goodwill;</w:t>
      </w:r>
    </w:p>
    <w:p>
      <w:pPr>
        <w:spacing w:after="0" w:line="161" w:lineRule="exact"/>
        <w:rPr>
          <w:rFonts w:ascii="Times New Roman" w:cs="Times New Roman" w:eastAsia="Times New Roman" w:hAnsi="Times New Roman"/>
          <w:sz w:val="18"/>
          <w:szCs w:val="18"/>
          <w:color w:val="auto"/>
        </w:rPr>
      </w:pPr>
    </w:p>
    <w:p>
      <w:pPr>
        <w:ind w:left="1300" w:right="38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stock option exercises by our employees in some of our foreign subsidiaries that can cause an adverse transfer pricing adjustment;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costs related to intercompany realignments;</w:t>
      </w:r>
    </w:p>
    <w:p>
      <w:pPr>
        <w:spacing w:after="0" w:line="225"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assessments resulting from income tax audits or any related tax interest or penalties that could significantly affect our income tax provision for the period in which the settlement takes place;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our decision to indefinitely reinvest foreign earnings;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or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118" w:right="25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1300" w:hanging="644"/>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including possible changes in the United States to the taxation of earnings of our foreign subsidiaries, and the deductibility of expenses attributable to foreign income, or the foreign tax credit rules, or changes to the U.S. income tax rate, which would necessitate a revaluation of our deferred tax assets and liabilities.</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Significant judgment is required to determine the recognition and measurement attribute prescribed in the Financial Accounting Standards Board (“FASB”)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and in some cases is wholly exempt from tax. Our failure to meet these commitments could adversely impact our provision for income taxes. In addition, we are subject to the examination of our income tax returns by the Internal Revenue Service (“IRS”) and other tax authorities. For example, the California Franchise Tax Board is examining our tax returns for 2010 and 2011. We regularly assess the likelihood of adverse outcomes resulting from these examinations to determine the adequacy of our provision for income taxes. There can be no assurance that the outcomes from these continuous examinations will not have an adverse effect on our results of operations.</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Although we currently do not have a valuation allowance, we may in the future be required to establish one. We will continue to assess the need for a valuation allowance on the deferred tax asset by evaluating both positive and negative evidence that may exist.</w:t>
      </w:r>
    </w:p>
    <w:p>
      <w:pPr>
        <w:spacing w:after="0" w:line="1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Forecasts of our income tax position and effective tax rate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be subject to examination of our income tax returns by the IRS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acquire and integrate other businesses, products or technologies could seriously harm our competitive position.</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order to remain competitive, we may seek to acquire additional businesses, products, or technologies and intellectual property, such as patents. If we identify an appropriate acquisition candidate, we may not be successful in negotiating the terms of the acquisition, financing the acquisition, or effectively integrating the acquired business, product, technology or intellectual property into our existing business and operations. We may have difficulty incorporating acquired technologies, intellectual property or products with our existing product lines and maintaining uniform standards, controls, procedures and policies. Our due diligence may fail to identify all of the problems, liabilities or other shortcomings or challenges of an acquired business, product or technology, including issues with intellectual property, product quality or</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write-offs that could be substantial.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warranty claims, product returns, product liability and product defects.</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9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Although we have limitation of liability provisions in our standard terms and conditions of sale, they may not fully or effectively protect us from claims as a result of federal, state or local laws or ordinances or unfavorable judicial decisions in the United States or other countries. The sale and support of our products also entail the risk of product liability claims. 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and divert management’s time and other resources.</w:t>
      </w:r>
    </w:p>
    <w:p>
      <w:pPr>
        <w:spacing w:after="0" w:line="1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power outages, floods and other catastrophic events, and to interruption by manmade problems such as civil unrest and terrorism.</w:t>
      </w:r>
    </w:p>
    <w:p>
      <w:pPr>
        <w:spacing w:after="0" w:line="15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A significant natural disaster, such as an earthquake, fire, a flood, or significant power outage could have a material adverse impact on our business, operating results and financial condition. Our corporate headquarters are located in the San Francisco Bay Area, a region known for seismic activity. In addition, natural disasters could affect our manufacturing vendors, suppliers or logistics providers’ ability to perform services such as obtaining product components and manufacturing products on a timely basis and assisting with shipments on a timely basis. In the event our or our service providers’ information technology systems or manufacturing or logistics abilities are hindered by any of the events discussed above, shipments could be delayed, resulting in us missing financial targets, such as revenue and shipment targets, for a particular quarter. In addition, regional instability, acts of terrorism and other geo-political unrest could cause disruptions in our business or the business of our manufacturers, logistics providers, partners, or end-customers or the economy as a whole. Given our typical concentration of sales at each quarter end, any disruption in the business of our manufacturers, logistics providers, partners or end-customers that impacts sales at the end of our quarter could have a significant adverse impact on our quarterly results. All of the aforementioned risks may be augmented if the disaster recovery plans for us and our suppliers prove to be inadequate. To the extent that any of the above results in delays or cancellations of customer orders, or the delay in the manufacture, deployment or shipment of our products, our business, financial condition and results of operations would be adversely affected.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7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8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URL database for our Web filtering service may fail to keep pace with the rapid growth of URLs and may not categorize websites in accordance with our end-customers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expectations.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new products and product enhancements do not achieve sufficient market acceptance, our results of operations and competitive position will suffer.</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releasing our new products or enhancements to the market;</w:t>
      </w:r>
    </w:p>
    <w:p>
      <w:pPr>
        <w:spacing w:after="0" w:line="225"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accurately predict market demand in terms of product functionality and to supply products that meet this demand in a timely fashion;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sales force and partners to focus on selling new products;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interoperate effectively with the networks or applications of our prospective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protect against new types of attacks or techniques used by hackers;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defects, vulnerabilities, errors or failures;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about their performance or effectiveness;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anticipated introduction of competing products by our competitors;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business conditions for our end-customers, causing them to delay IT purchases;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easing of regulatory requirements around security;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Unless we continue to develop better market awareness of our company and our products and to improve lead generation, our revenue may not continue to grow.</w:t>
      </w:r>
    </w:p>
    <w:p>
      <w:pPr>
        <w:spacing w:after="0" w:line="159"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Increased market awareness of our capabilities and products and increased lead generation are essential to our continued growth and our success in all of our markets, particularly for the large enterprise, service provider and governmental entities markets. We have historically had relatively low spending on certain marketing activities, and, if our marketing programs are not successful in creating market awareness of our company and products, our business, financial condition and results of operations will be adversely affected, and we will not be able to achieve sustained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for UTM products may be limited by market perception that UTM products are inferior to network security solutions from multiple vendors.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Sales of most of our products depend on increased demand for UTM products. If the UTM market fails to grow as we anticipate, our business will be seriously harmed. Target customers may view UTM “all-in-one” solutions as inferior to security solutions from multiple vendors because of, among other things, their perception that UTM products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UTM solutions create a “single point of failure” in their networks, which means that an error, vulnerability or failure of the UTM product may place the entire network at risk. In addition, the market perception that UTM solutions may be suitable only for small and medium sized businesses because UTM lacks the performance capabilities and functionality of other solutions may harm our sales to large enterprise, service provider, and governmental entity end-customers. If the foregoing concerns and perceptions become prevalent, even if there is no factual basis for these concerns and perceptions, or if other issues arise with the UTM market in general, demand for UTM products could be severely limited, which would limit our growth and harm our business, financial condition and results of operations. Further, a successful and publicized targeted attack against us or another well known UTM vendor exposing a “single point of failure” could significantly increase these concerns and perceptions and may harm our business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 and we may lack sufficient financial or other resources to maintain or improve our competitive position.</w:t>
      </w:r>
    </w:p>
    <w:p>
      <w:pPr>
        <w:spacing w:after="0" w:line="229" w:lineRule="exact"/>
        <w:rPr>
          <w:sz w:val="20"/>
          <w:szCs w:val="20"/>
          <w:color w:val="auto"/>
        </w:rPr>
      </w:pPr>
    </w:p>
    <w:p>
      <w:pPr>
        <w:ind w:right="320" w:firstLine="648"/>
        <w:spacing w:after="0" w:line="289" w:lineRule="auto"/>
        <w:rPr>
          <w:sz w:val="20"/>
          <w:szCs w:val="20"/>
          <w:color w:val="auto"/>
        </w:rPr>
      </w:pPr>
      <w:r>
        <w:rPr>
          <w:rFonts w:ascii="Times New Roman" w:cs="Times New Roman" w:eastAsia="Times New Roman" w:hAnsi="Times New Roman"/>
          <w:sz w:val="17"/>
          <w:szCs w:val="17"/>
          <w:color w:val="auto"/>
        </w:rPr>
        <w:t>The market for network security products is intensely competitive, and we expect competition to intensify in the future. Our competitors include networking companies such as Cisco and Juniper, security vendors such as Check Point, McAfee (acquired by Intel), Sourcefire (acquired by Cisco), Stonesoft (acquired by McAfee), SonicWALL (acquired by Dell), Blue Coat, FireEye, and Palo Alto Networks, and other point solution security vendors.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and longer operating histories;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118" w:right="25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distribution and established relationships with distribution partners and end-customers;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larger customer bases;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customer support resources;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acquisitions;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and development costs;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some of our larger competitors have substantially broader product offerings and leverage their relationships based on other products or incorporate functionality into existing products in a manner that discourages users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Juniper’s acquisition of NetScreen Technologies Inc., Intel’s acquisition of McAfee, McAfee's acquisition of Stonesoft, Check Point’s acquisition of Nokia Corporations’ security appliance business and Dell’s acquisition of SonicWALL),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9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Large, well-established providers of networking equipment such as Cisco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which could enable others to copy or use aspects of our products without compensating us.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rely primarily on patent, trademark, copyright and trade secrets laws,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8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products contain software modules licensed to us by third-party authors under “open source” licenses, including the GNU Public License, the GNU Lesser Public License (LGPL), the BSD License, the Apache License and others.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8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generally available, in source code form, our proprietary code, to re-engineer our products, or to discontinue the sale of our products if re-engineering could not be accomplished on a timely basis, any of which could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or other litigation matters could harm our business.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Patent and other intellectual property disputes are common in the network security industry. Third parties have asserted and may in the future assert claims of infringement of intellectual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litigation may involve patent holding companies or other adverse patent owners who have no relevant product revenue and against whom our own patents may therefore provide little or no deterrence or protection.</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are subject to lawsuits claiming patent infringement, and there are lawsuits claiming patent infringement currently pending, as discussed in the section entitled “Legal Proceedings” in Part I, Item 3 of this Annual Report on Form 10-K. We are also subject to other litigation in addition to patent infringement claims, such as employment-related litigation and disputes,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 In addition to the lawsuits described in “Legal Proceedings,” several other non-practicing patent holding companies have sent us letters proposing that we license certain of their patents, and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the availability of third-party licenses.</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5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Sarbanes-Oxley Act of 2002, the Dodd-Frank Wall Street Reform and Consumer Protection Act of 2010, as well as other rules implemented by the SEC and The NASDAQ Stock Market,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effectiveness of our internal control over financial reporting annually and disclosure controls and procedures quarterly. We completed our evaluation of our internal controls over financial reporting for fiscal 2013 as required by Section 404 of the Sarbanes-Oxley Act of 2002. Although our assessment, testing and evaluation resulted in our conclusion that as of December 31, 2013, our internal controls over financial reporting were effective, we cannot predict the outcome of our testing in 2014 or future periods. If our internal controls or disclosure controls are ineffective in future periods, our business and reputation could be harmed. We may incur additional expenses and commitment of management’s time in connection with further evaluations, both of which could materially increase our operating expenses and accordingly reduce our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may cause adverse unexpected fluctuations and affect our reported results of operations.</w:t>
      </w:r>
    </w:p>
    <w:p>
      <w:pPr>
        <w:spacing w:after="0" w:line="229" w:lineRule="exact"/>
        <w:rPr>
          <w:sz w:val="20"/>
          <w:szCs w:val="20"/>
          <w:color w:val="auto"/>
        </w:rPr>
      </w:pPr>
    </w:p>
    <w:p>
      <w:pPr>
        <w:ind w:right="320" w:firstLine="648"/>
        <w:spacing w:after="0" w:line="256" w:lineRule="auto"/>
        <w:rPr>
          <w:sz w:val="20"/>
          <w:szCs w:val="20"/>
          <w:color w:val="auto"/>
        </w:rPr>
      </w:pPr>
      <w:r>
        <w:rPr>
          <w:rFonts w:ascii="Times New Roman" w:cs="Times New Roman" w:eastAsia="Times New Roman" w:hAnsi="Times New Roman"/>
          <w:sz w:val="18"/>
          <w:szCs w:val="18"/>
          <w:color w:val="auto"/>
        </w:rPr>
        <w:t>A change in accounting standards or practices and varying interpretations of existing accounting pronouncements, such as changes to standards related to revenue recognition, the increased use of fair value measure, financial instruments, and the potential requirement that U.S. registrants prepare financial statements in accordance with International Financial Reporting Standards,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and our ability to meet our reporting obligations.</w:t>
      </w:r>
    </w:p>
    <w:p>
      <w:pPr>
        <w:spacing w:after="0" w:line="14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5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is likely to be volatile.</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is subject to wide fluctuations in response to, among other things, the risk factors described in this periodic report, and other factors such as rumors or fluctuations in the valuation of companies perceived by investors to be comparable to us. For example, in fiscal 2013, the closing price of our common stock ranged from $16.53 to $25.00.</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as well as provisions of Delaware law, could impair a takeover attempt.</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62"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classified board of directors whose members serve staggered three-year terms;</w:t>
      </w:r>
    </w:p>
    <w:p>
      <w:pPr>
        <w:spacing w:after="0" w:line="225"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our stockholders to call and bring business before special meetings;</w:t>
      </w:r>
    </w:p>
    <w:p>
      <w:pPr>
        <w:spacing w:after="0" w:line="225"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notice of stockholder proposals for business to be conducted at meetings of our stockholders and for nominations of candidates for election to our board of directors;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and stockholder meetings; and</w:t>
      </w:r>
    </w:p>
    <w:p>
      <w:pPr>
        <w:spacing w:after="0" w:line="225" w:lineRule="exact"/>
        <w:rPr>
          <w:rFonts w:ascii="Times New Roman" w:cs="Times New Roman" w:eastAsia="Times New Roman" w:hAnsi="Times New Roman"/>
          <w:sz w:val="18"/>
          <w:szCs w:val="18"/>
          <w:color w:val="auto"/>
        </w:rPr>
      </w:pPr>
    </w:p>
    <w:p>
      <w:pPr>
        <w:ind w:left="1300" w:right="60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board of directors with the express power to postpone previously scheduled annual meetings and to cancel previously scheduled special meetings.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3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March 2014, we expect to move to our new corporate headquarters located at 899 Kifer Road, Sunnyvale, California, where we own approximately 164,000 square feet of office and building space and approximately ten acres of developable land to accommodate anticipated future growth. Our lease for 1090 Kifer Road, Sunnyvale, California, which is our current corporate headquarters, expires in March 2014.</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Internationally, we lease approximately 14,000 square feet of data center space and a total of approximately 72,000 square feet of office space in two buildings in Burnaby, Canada under various leases that expire in July 2015 and July 2020, respectively, approximately 24,000 square feet and 26,000 square feet of office space in Ottawa, Canada under a lease that expires in February 2015 and June 2018, respectively, approximately 19,000 square feet of office space in Sophia, France under a lease that expires in December 2017, and approximately 26,000 square feet of office space in Beijing, China under a lease that expires in August 2015. We also lease sales and support offices in Australia, Austria, Belgium, Egypt, Germany, Hong Kong, India, Indonesia, Israel, Italy, Japan, Korea, Malaysia, Mexico, the Netherlands, New Zealand, Philippines, Poland, Russia, Saudi Arabia, Singapore, Spain, Sweden, Switzerland, Taiwan, Thailand, Turkey, United Arab Emirates, and the United Kingdom. We believe that our existing properties are sufficient and suitable for the conduct of our business.</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118" w:right="27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June 2012, we received a letter from SRI International (“SRI”) claiming that we infringed certain SRI patents. We settled this matter in December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currently have any other litigation matters that we expect to have a material adverse effect on our business.</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are subject to additional various claims, complaints and legal actions that arise from time to time in the normal course of business. We believe that the possibility that any of these claims, complaints or legal proceedings will result in a material loss is remote.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39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“FTNT.” The following table sets forth, for the time periods indicated, the high and low closing sales price of our common stock, as reported on The NASDAQ Global Select Market.</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2013</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3"/>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3"/>
              </w:rPr>
              <w:t>2012</w:t>
            </w:r>
          </w:p>
        </w:tc>
      </w:tr>
      <w:tr>
        <w:trPr>
          <w:trHeight w:val="33"/>
        </w:trPr>
        <w:tc>
          <w:tcPr>
            <w:tcW w:w="558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5580" w:type="dxa"/>
            <w:vAlign w:val="bottom"/>
          </w:tcPr>
          <w:p>
            <w:pPr>
              <w:spacing w:after="0"/>
              <w:rPr>
                <w:sz w:val="20"/>
                <w:szCs w:val="20"/>
                <w:color w:val="auto"/>
              </w:rPr>
            </w:pPr>
          </w:p>
        </w:tc>
        <w:tc>
          <w:tcPr>
            <w:tcW w:w="150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High ($)</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Low ($)</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High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Low ($)</w:t>
            </w:r>
          </w:p>
        </w:tc>
      </w:tr>
      <w:tr>
        <w:trPr>
          <w:trHeight w:val="33"/>
        </w:trPr>
        <w:tc>
          <w:tcPr>
            <w:tcW w:w="55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34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17.81</w:t>
            </w: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17.28</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34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20.93</w:t>
            </w:r>
          </w:p>
        </w:tc>
      </w:tr>
      <w:tr>
        <w:trPr>
          <w:trHeight w:val="27"/>
        </w:trPr>
        <w:tc>
          <w:tcPr>
            <w:tcW w:w="5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340" w:type="dxa"/>
            <w:vAlign w:val="bottom"/>
            <w:tcBorders>
              <w:bottom w:val="single" w:sz="8" w:color="CCEEFF"/>
            </w:tcBorders>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20.41</w:t>
            </w: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19.06</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34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19.90</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As of February 18, 2014, there were 80 holders of record of our common stock. A substantially greater number of holders of our common stock are “street name” or beneficial holders, whose shares are held by banks, brokers and other financial institutions.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do not anticipate paying any cash dividends in the foreseeable future. Any future determination to declare cash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227" w:lineRule="exact"/>
        <w:rPr>
          <w:sz w:val="20"/>
          <w:szCs w:val="20"/>
          <w:color w:val="auto"/>
        </w:rPr>
      </w:pPr>
    </w:p>
    <w:p>
      <w:pPr>
        <w:jc w:val="both"/>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“filed” for purposes of Section 18 of the Exchange Act, or incorporated by reference into any filing of Fortinet under the Securities Act of 1933, as amended (the “Securities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or the Exchange Act, except as shall be expressly set forth by specific reference in such filing.</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from November 18, 2009 through December 31, 2013, of the cumulative total return for our common stock, the NASDAQ Composite Index, and the NASDAQ Computer Index. Such returns are based on historical results and are not intended to suggest future performance. Data for The NASDAQ Composite Index and The NASDAQ Computer Index assume reinvestment of dividends. We have never declared or paid cash dividends on our capital stock nor do we anticipate paying any such cash dividends in the foreseeable future.</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60"/>
          </w:cols>
          <w:pgMar w:left="240" w:top="118" w:right="29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 Fortinet, Inc., The NASDAQ Composite Index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554355</wp:posOffset>
            </wp:positionV>
            <wp:extent cx="5848985" cy="3121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November 2009</w:t>
            </w: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December 2009</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December 2010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December 2011</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December 2012</w:t>
            </w:r>
          </w:p>
        </w:tc>
        <w:tc>
          <w:tcPr>
            <w:tcW w:w="180" w:type="dxa"/>
            <w:vAlign w:val="bottom"/>
          </w:tcPr>
          <w:p>
            <w:pPr>
              <w:spacing w:after="0"/>
              <w:rPr>
                <w:sz w:val="18"/>
                <w:szCs w:val="18"/>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6"/>
                <w:szCs w:val="16"/>
                <w:color w:val="auto"/>
              </w:rPr>
              <w:t>December 2013</w:t>
            </w:r>
          </w:p>
        </w:tc>
      </w:tr>
      <w:tr>
        <w:trPr>
          <w:trHeight w:val="33"/>
        </w:trPr>
        <w:tc>
          <w:tcPr>
            <w:tcW w:w="1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Fortinet,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230</w:t>
            </w:r>
          </w:p>
        </w:tc>
      </w:tr>
      <w:tr>
        <w:trPr>
          <w:trHeight w:val="265"/>
        </w:trPr>
        <w:tc>
          <w:tcPr>
            <w:tcW w:w="1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NASDAQ Composite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195</w:t>
            </w:r>
          </w:p>
        </w:tc>
      </w:tr>
      <w:tr>
        <w:trPr>
          <w:trHeight w:val="275"/>
        </w:trPr>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NASDAQ Computer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$100 invested on November 18, 2009 in stock or index, including reinvestment of dividends.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Unregistered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On December 6, 2013, our board of directors authorized a Share Repurchase Program (“the Program”), to repurchase up to $200.0 million of our outstanding common stock through December 31, 2014. Under the Program, share repurchases may be made by us from time to time in privately negotiated transactions or in open market transactions. The Program does not require us to purchase a minimum number of shares, and may be suspended, modified or discontinued at any time without prior notice. In December 2013, we repurchased 2.1 million shares of common stock under the Program in open market transactions for an aggregate purchase price of $38.9 million. The timing and amounts of these purchases were based on market conditions and other factors, including price, and regulatory requirements. The share repurchases were financed by available cash balances. As of December 31, 2013, $161.1 million remained available for future share repurchases under the Program.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shares of common stock we repurchased in December 2013 (in thousands, except number of shares and per share amounts):</w:t>
      </w:r>
    </w:p>
    <w:p>
      <w:pPr>
        <w:spacing w:after="0" w:line="17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9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2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60" w:type="dxa"/>
            <w:vAlign w:val="bottom"/>
            <w:gridSpan w:val="3"/>
            <w:vMerge w:val="continue"/>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330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21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95"/>
        </w:trPr>
        <w:tc>
          <w:tcPr>
            <w:tcW w:w="3300" w:type="dxa"/>
            <w:vAlign w:val="bottom"/>
            <w:vMerge w:val="continue"/>
          </w:tcPr>
          <w:p>
            <w:pPr>
              <w:spacing w:after="0"/>
              <w:rPr>
                <w:sz w:val="16"/>
                <w:szCs w:val="16"/>
                <w:color w:val="auto"/>
              </w:rPr>
            </w:pP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Announced Plan or Program</w:t>
            </w:r>
          </w:p>
        </w:tc>
        <w:tc>
          <w:tcPr>
            <w:tcW w:w="120" w:type="dxa"/>
            <w:vAlign w:val="bottom"/>
          </w:tcPr>
          <w:p>
            <w:pPr>
              <w:spacing w:after="0"/>
              <w:rPr>
                <w:sz w:val="16"/>
                <w:szCs w:val="16"/>
                <w:color w:val="auto"/>
              </w:rPr>
            </w:pPr>
          </w:p>
        </w:tc>
        <w:tc>
          <w:tcPr>
            <w:tcW w:w="19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42"/>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 December 31, 2013</w:t>
            </w:r>
          </w:p>
        </w:tc>
        <w:tc>
          <w:tcPr>
            <w:tcW w:w="202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2,131,128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tcBorders>
              <w:top w:val="single" w:sz="8" w:color="CCEEFF"/>
            </w:tcBorders>
            <w:shd w:val="clear" w:color="auto" w:fill="CCEEFF"/>
          </w:tcPr>
          <w:p>
            <w:pPr>
              <w:spacing w:after="0"/>
              <w:rPr>
                <w:sz w:val="21"/>
                <w:szCs w:val="21"/>
                <w:color w:val="auto"/>
              </w:rPr>
            </w:pPr>
          </w:p>
        </w:tc>
        <w:tc>
          <w:tcPr>
            <w:tcW w:w="20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2,131,128</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161,051</w:t>
            </w:r>
          </w:p>
        </w:tc>
        <w:tc>
          <w:tcPr>
            <w:tcW w:w="0" w:type="dxa"/>
            <w:vAlign w:val="bottom"/>
          </w:tcPr>
          <w:p>
            <w:pPr>
              <w:spacing w:after="0"/>
              <w:rPr>
                <w:sz w:val="1"/>
                <w:szCs w:val="1"/>
                <w:color w:val="auto"/>
              </w:rPr>
            </w:pPr>
          </w:p>
        </w:tc>
      </w:tr>
      <w:tr>
        <w:trPr>
          <w:trHeight w:val="27"/>
        </w:trPr>
        <w:tc>
          <w:tcPr>
            <w:tcW w:w="33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following selected consolidated financial data set forth below was derived from our historical audited consolidated financial statements and should be read in conjunction with the section titled “Management’s Discussion and Analysis of Financial Condition and Results of Operations” and “Financial Statements and Supplementary Data,” and other financial data included elsewhere in this Annual Report on Form 10-K. Our historical results of operations are not indicative of our future results of operations.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6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38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4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2012</w:t>
            </w:r>
          </w:p>
        </w:tc>
        <w:tc>
          <w:tcPr>
            <w:tcW w:w="1860" w:type="dxa"/>
            <w:vAlign w:val="bottom"/>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rPr>
              <w:t>2011</w:t>
            </w:r>
          </w:p>
        </w:tc>
        <w:tc>
          <w:tcPr>
            <w:tcW w:w="1400" w:type="dxa"/>
            <w:vAlign w:val="bottom"/>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2010</w:t>
            </w:r>
          </w:p>
        </w:tc>
        <w:tc>
          <w:tcPr>
            <w:tcW w:w="120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2009</w:t>
            </w:r>
          </w:p>
        </w:tc>
      </w:tr>
      <w:tr>
        <w:trPr>
          <w:trHeight w:val="33"/>
        </w:trPr>
        <w:tc>
          <w:tcPr>
            <w:tcW w:w="4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720" w:type="dxa"/>
            <w:vAlign w:val="bottom"/>
            <w:gridSpan w:val="3"/>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 amounts in 000’s, except per share amounts)</w:t>
            </w:r>
          </w:p>
        </w:tc>
        <w:tc>
          <w:tcPr>
            <w:tcW w:w="120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tc>
        <w:tc>
          <w:tcPr>
            <w:tcW w:w="1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615,297</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533,639</w:t>
            </w:r>
          </w:p>
        </w:tc>
        <w:tc>
          <w:tcPr>
            <w:tcW w:w="18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433,576</w:t>
            </w:r>
          </w:p>
        </w:tc>
        <w:tc>
          <w:tcPr>
            <w:tcW w:w="14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324,696</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252,115</w:t>
            </w: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72,090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100,475</w:t>
            </w:r>
          </w:p>
        </w:tc>
        <w:tc>
          <w:tcPr>
            <w:tcW w:w="1860" w:type="dxa"/>
            <w:vAlign w:val="bottom"/>
            <w:tcBorders>
              <w:bottom w:val="single" w:sz="8" w:color="CCEEFF"/>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88,904</w:t>
            </w:r>
          </w:p>
        </w:tc>
        <w:tc>
          <w:tcPr>
            <w:tcW w:w="140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55,341</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25,334</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44,273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66,836</w:t>
            </w:r>
          </w:p>
        </w:tc>
        <w:tc>
          <w:tcPr>
            <w:tcW w:w="18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62,492</w:t>
            </w:r>
          </w:p>
        </w:tc>
        <w:tc>
          <w:tcPr>
            <w:tcW w:w="14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41,245</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60,179</w:t>
            </w: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Net income per share </w:t>
            </w:r>
            <w:r>
              <w:rPr>
                <w:rFonts w:ascii="Times New Roman" w:cs="Times New Roman" w:eastAsia="Times New Roman" w:hAnsi="Times New Roman"/>
                <w:sz w:val="18"/>
                <w:szCs w:val="18"/>
                <w:color w:val="auto"/>
                <w:vertAlign w:val="subscript"/>
              </w:rPr>
              <w:t>:</w:t>
            </w:r>
          </w:p>
        </w:tc>
        <w:tc>
          <w:tcPr>
            <w:tcW w:w="1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0.27</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8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0.41</w:t>
            </w:r>
          </w:p>
        </w:tc>
        <w:tc>
          <w:tcPr>
            <w:tcW w:w="14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0.29</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0.97</w:t>
            </w: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0.26</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860" w:type="dxa"/>
            <w:vAlign w:val="bottom"/>
            <w:tcBorders>
              <w:bottom w:val="single" w:sz="8" w:color="CCEEFF"/>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0.38</w:t>
            </w:r>
          </w:p>
        </w:tc>
        <w:tc>
          <w:tcPr>
            <w:tcW w:w="140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0.26</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0.39</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162,435</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158,074</w:t>
            </w:r>
          </w:p>
        </w:tc>
        <w:tc>
          <w:tcPr>
            <w:tcW w:w="1860" w:type="dxa"/>
            <w:vAlign w:val="bottom"/>
            <w:tcBorders>
              <w:bottom w:val="single" w:sz="8" w:color="CCEEFF"/>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152,581</w:t>
            </w:r>
          </w:p>
        </w:tc>
        <w:tc>
          <w:tcPr>
            <w:tcW w:w="140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140,726</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52,668</w:t>
            </w:r>
          </w:p>
        </w:tc>
      </w:tr>
      <w:tr>
        <w:trPr>
          <w:trHeight w:val="243"/>
        </w:trPr>
        <w:tc>
          <w:tcPr>
            <w:tcW w:w="4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168,183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166,329</w:t>
            </w:r>
          </w:p>
        </w:tc>
        <w:tc>
          <w:tcPr>
            <w:tcW w:w="18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163,781</w:t>
            </w:r>
          </w:p>
        </w:tc>
        <w:tc>
          <w:tcPr>
            <w:tcW w:w="14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156,406</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130,438</w:t>
            </w:r>
          </w:p>
        </w:tc>
      </w:tr>
      <w:tr>
        <w:trPr>
          <w:trHeight w:val="791"/>
        </w:trPr>
        <w:tc>
          <w:tcPr>
            <w:tcW w:w="4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6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As of Fiscal Year End</w:t>
            </w: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
        </w:trPr>
        <w:tc>
          <w:tcPr>
            <w:tcW w:w="4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38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4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2012</w:t>
            </w:r>
          </w:p>
        </w:tc>
        <w:tc>
          <w:tcPr>
            <w:tcW w:w="1860" w:type="dxa"/>
            <w:vAlign w:val="bottom"/>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rPr>
              <w:t>2011</w:t>
            </w:r>
          </w:p>
        </w:tc>
        <w:tc>
          <w:tcPr>
            <w:tcW w:w="1400" w:type="dxa"/>
            <w:vAlign w:val="bottom"/>
          </w:tcPr>
          <w:p>
            <w:pPr>
              <w:jc w:val="right"/>
              <w:ind w:right="691"/>
              <w:spacing w:after="0"/>
              <w:rPr>
                <w:sz w:val="20"/>
                <w:szCs w:val="20"/>
                <w:color w:val="auto"/>
              </w:rPr>
            </w:pPr>
            <w:r>
              <w:rPr>
                <w:rFonts w:ascii="Times New Roman" w:cs="Times New Roman" w:eastAsia="Times New Roman" w:hAnsi="Times New Roman"/>
                <w:sz w:val="16"/>
                <w:szCs w:val="16"/>
                <w:b w:val="1"/>
                <w:bCs w:val="1"/>
                <w:color w:val="auto"/>
              </w:rPr>
              <w:t>2010</w:t>
            </w:r>
          </w:p>
        </w:tc>
        <w:tc>
          <w:tcPr>
            <w:tcW w:w="120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2009</w:t>
            </w:r>
          </w:p>
        </w:tc>
      </w:tr>
      <w:tr>
        <w:trPr>
          <w:trHeight w:val="33"/>
        </w:trPr>
        <w:tc>
          <w:tcPr>
            <w:tcW w:w="4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6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 amounts in 000’s)</w:t>
            </w: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843,045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739,586</w:t>
            </w:r>
          </w:p>
        </w:tc>
        <w:tc>
          <w:tcPr>
            <w:tcW w:w="18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538,687</w:t>
            </w:r>
          </w:p>
        </w:tc>
        <w:tc>
          <w:tcPr>
            <w:tcW w:w="14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387,460</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260,314</w:t>
            </w: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1,168,464</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975,497</w:t>
            </w:r>
          </w:p>
        </w:tc>
        <w:tc>
          <w:tcPr>
            <w:tcW w:w="1860" w:type="dxa"/>
            <w:vAlign w:val="bottom"/>
            <w:tcBorders>
              <w:bottom w:val="single" w:sz="8" w:color="CCEEFF"/>
            </w:tcBorders>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734,747</w:t>
            </w:r>
          </w:p>
        </w:tc>
        <w:tc>
          <w:tcPr>
            <w:tcW w:w="140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545,422</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387,213</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585,760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510,934</w:t>
            </w:r>
          </w:p>
        </w:tc>
        <w:tc>
          <w:tcPr>
            <w:tcW w:w="18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358,354</w:t>
            </w:r>
          </w:p>
        </w:tc>
        <w:tc>
          <w:tcPr>
            <w:tcW w:w="14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232,454</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142,452</w:t>
            </w:r>
          </w:p>
        </w:tc>
      </w:tr>
      <w:tr>
        <w:trPr>
          <w:trHeight w:val="702"/>
        </w:trPr>
        <w:tc>
          <w:tcPr>
            <w:tcW w:w="4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jc w:val="right"/>
              <w:ind w:right="1072"/>
              <w:spacing w:after="0"/>
              <w:rPr>
                <w:sz w:val="20"/>
                <w:szCs w:val="20"/>
                <w:color w:val="auto"/>
              </w:rPr>
            </w:pPr>
            <w:r>
              <w:rPr>
                <w:rFonts w:ascii="Times New Roman" w:cs="Times New Roman" w:eastAsia="Times New Roman" w:hAnsi="Times New Roman"/>
                <w:sz w:val="18"/>
                <w:szCs w:val="18"/>
                <w:color w:val="auto"/>
              </w:rPr>
              <w:t>31</w:t>
            </w:r>
          </w:p>
        </w:tc>
        <w:tc>
          <w:tcPr>
            <w:tcW w:w="1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right="2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Annual Report on Form 10-K contains forward-looking statements within the meaning of Section 27A of the Securities Act and Section 21E of the Exchange Act. These statements include, among other things, statements concerning our expectations regarding:</w:t>
      </w:r>
    </w:p>
    <w:p>
      <w:pPr>
        <w:spacing w:after="0" w:line="50"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variability in sales in certain product categories from year to year and between quarters;</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certain acquisitions, asset purchases and strategic investments;</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impact of sales of certain products;</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significance of stock-based compensation as an expense;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proportion of our revenue that consists of our product and service revenues, and the mix of billings between products and services;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our product innovation strategy;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expanding our reach into new high growth verticals and emerging markets and continuing to sell to large enterprises and service providers;</w:t>
      </w:r>
    </w:p>
    <w:p>
      <w:pPr>
        <w:spacing w:after="0" w:line="236" w:lineRule="exact"/>
        <w:rPr>
          <w:rFonts w:ascii="Times New Roman" w:cs="Times New Roman" w:eastAsia="Times New Roman" w:hAnsi="Times New Roman"/>
          <w:sz w:val="17"/>
          <w:szCs w:val="17"/>
          <w:i w:val="1"/>
          <w:iCs w:val="1"/>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meet increasing customer expectations about the quality and functionality of our products;</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revenue, costs of revenue, and gross margin;</w:t>
      </w:r>
    </w:p>
    <w:p>
      <w:pPr>
        <w:spacing w:after="0" w:line="225" w:lineRule="exact"/>
        <w:rPr>
          <w:rFonts w:ascii="Times New Roman" w:cs="Times New Roman" w:eastAsia="Times New Roman" w:hAnsi="Times New Roman"/>
          <w:sz w:val="18"/>
          <w:szCs w:val="18"/>
          <w:color w:val="auto"/>
        </w:rPr>
      </w:pPr>
    </w:p>
    <w:p>
      <w:pPr>
        <w:ind w:left="1300" w:right="160" w:hanging="644"/>
        <w:spacing w:after="0" w:line="284"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trends in our operating expenses, including personnel costs, research and development expense, sales and marketing expense and general and administrative expense, and expectations regarding these expenses as a percentage of revenue;</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investments in research and development to strengthen our technology leadership position and in sales and marketing;</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regarding uncertain tax benefits and our effective tax rate;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sufficiency of our existing cash, cash equivalents and investments to meet our cash needs for at least the next 12 months;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well as other statements regarding our future operations, financial condition and prospects and business strategies.</w:t>
      </w:r>
    </w:p>
    <w:p>
      <w:pPr>
        <w:spacing w:after="0" w:line="225"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Annual Report on Form 10-K and, in particular, the risks discussed under the heading “Risk Factors” in Part I, Item 1A of this Annual Report on Form 10-K and those discussed in other documents we file with the SEC.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provide high performance network security solutions, which enable broad, integrated and high performance protection against dynamic security threats while simplifying the IT security infrastructure for enterprises, service providers and governmental entities worldwide. Since inception through December 31, 2013, we had shipped over 1,400,000 appliances via more than 20,000 channel partners to more than 184,000 end-customers worldwide, including a majority of the 2013 Fortune Global 100.</w:t>
      </w:r>
    </w:p>
    <w:p>
      <w:pPr>
        <w:spacing w:after="0" w:line="180"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Our core DCFW/UTM/NGFW product line of FortiGate physical and virtual appliances ships with a set of security and networking capabilities, including firewall, VPN, application control, antivirus, intrusion prevention, Web filtering,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118" w:right="25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vulnerability management, anti-spam, wireless controller, and WAN acceleration functionality. We derive a substantial majority of product sales from our FortiGate appliances, which range from the FortiGate-20, designed for small businesses, to the FortiGate-5000 series for large enterprises, telecommunications carriers, and service providers. Our DCFW/UTM/NGFW solution also includes our FortiGuard security subscription services, which end-customers can subscribe to in order to obtain access to dynamic updates to intrusion prevention, application control, antivirus, Web filtering, vulnerability management and anti-spam functionality included in our appliances. End-customers can also choose to purchase FortiCare technical support services for our products. End-customers also often use FortiManager and FortiAnalyzer products in conjunction with a FortiGate deployment to provide centralized management, analysis and reporting capabilities. We complement our core FortiGate product line with other appliances and software that offer additional protection from security threats to other critical areas of the enterprise, such as messaging, Web application firewalls, databases, protection against denial of service attacks (DDoS) and endpoint security for employee computers and mobile devices. Sales of these complementary products have grown in recent quarters, although these products still represent less than 10% of our total revenue. During fiscal 2013, we expanded and enhanced our FortiGate DCFW/UTM/NGFW and FortiAP secure wireless access product lines. We also introduced software-based virtual appliances for many of our FortiGate and FortiManager product lines, which help secure the end-customer’s cloud-based network infrastructures with the same functionality as the traditional physical appliance in their respective product lines.</w:t>
      </w:r>
    </w:p>
    <w:p>
      <w:pPr>
        <w:spacing w:after="0" w:line="18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In fiscal 2013, we completed certain acquisitions as part of our strategy to expand our product offerings, around load balancing solutions and add patents to our patent portfolio.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w:t>
      </w:r>
    </w:p>
    <w:p>
      <w:pPr>
        <w:spacing w:after="0" w:line="229" w:lineRule="exact"/>
        <w:rPr>
          <w:sz w:val="20"/>
          <w:szCs w:val="20"/>
          <w:color w:val="auto"/>
        </w:rPr>
      </w:pPr>
    </w:p>
    <w:p>
      <w:pPr>
        <w:jc w:val="both"/>
        <w:ind w:left="660" w:right="12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total revenue of $615.3 million in fiscal 2013. This represents an increase of 15% in fiscal 2013, compared to fiscal 2012. Revenue in fiscal 2013 and fiscal 2012 included $2.8 million and $3.7 million, respectively, from the sales of previously-acquired patents. Product revenue was $278.0 million, an increase of 12% in fiscal 2013, compared to fiscal 2012. Services revenue was $329.7 million in fiscal 2013, an increase of 20% in fiscal 2013, compared to fiscal 2012.</w:t>
      </w:r>
    </w:p>
    <w:p>
      <w:pPr>
        <w:spacing w:after="0" w:line="1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investments were $843.0 million as of December 31, 2013, an increase of $103.5 million from December 31, 2012.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 was $432.6 million as of December 31, 2013, an increase of $69.4 million from December 31, 2012</w:t>
      </w:r>
      <w:r>
        <w:rPr>
          <w:rFonts w:ascii="Times New Roman" w:cs="Times New Roman" w:eastAsia="Times New Roman" w:hAnsi="Times New Roman"/>
          <w:sz w:val="18"/>
          <w:szCs w:val="18"/>
          <w:color w:val="0000FF"/>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cash flows from operating activities of $147.4 million in fiscal 2013, a decrease of 20% compared to fiscal 2012.</w:t>
      </w:r>
    </w:p>
    <w:p>
      <w:pPr>
        <w:spacing w:after="0" w:line="225"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2013, our board of directors authorized a Share Repurchase Program (“the Program”), which authorizes us to repurchase up to $200.0 million of our outstanding common stock. In fiscal 2013, we repurchased 2.1 million shares of common stock under the Program in open market transactions for an aggregate purchase price of $38.9 million.</w:t>
      </w:r>
    </w:p>
    <w:p>
      <w:pPr>
        <w:spacing w:after="0" w:line="17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continue to invest in research and development to strengthen our technology leadership position. We believe that continued product innovation has strengthened our technology advantage and resulted in market share gains, as evidenced by the recent introduction of several noteworthy new FortiGate appliance models, including new FortiGate entry-level appliances, such as the FG-60D and FG-90D with its WIFI counterparts and FG-100D; the FG-200D and FG-800C mid-range appliance; and the FG-3600C and FG-5001C for large enterprises and service providers. During fiscal 2013, we also made a significant investment in sales and marketing to increase brand awareness and grow our global sales force and distribution channels to expand our global presence both geographically and by industry segment. As a result, we experienced increased deal volumes driven by traction in enterprise data center deployments and large enterprise deals, with particular strength in the retail, financial and telecommunication sectors.</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remain focused on investing in our sales and research and development resources in order to expand our reach into new high-growth verticals and emerging markets, and meet increasing customer expectations about the quality and functionality of our products, as we continue to sell to large customers, such as enterprise and service providers. While we have experienced some success selling into certain vertical customer segments, such as service providers and enterprise, we have experienced less traction selling into other verticals such as the U.S. federal government and there can be no assurance we will be successful selling into certain vertical customer segments.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118" w:right="25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Sales of FortiGate products have generally been balanced across entry-level (FortiGate-20 to -100 series), mid-range (FortiGate-200 to -800 series) and high-end (FortiGate-1000 to -5000 series) models with each product category representing approximately one-third of FortiGate sales, with some degree of variability from year to year and between quarters over the three-year period ended December 31, 2013. The percentage of our FortiGate related billings from the entry-level category increased from 32% in fiscal 2012 to 38% in fiscal 2013, while the mid-range category decreased from 33% in fiscal 2012 to 29% in fiscal 2013 and the high-end category decreased from 35% to 34%.</w:t>
      </w:r>
    </w:p>
    <w:p>
      <w:pPr>
        <w:spacing w:after="0" w:line="18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fiscal 2013, operating expenses increased by 27% compared to fiscal 2012. The increase was primarily driven by our accelerated pace of hiring to support our growth as we continued to invest in expanding our sales coverage, developing new products and scaling our customer support organization to meet the needs of our growing customer base. This resulted in revenue per employee, defined as annual revenue divided by average headcount, of $286,000, down from $303,000 for fiscal 2012.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Model</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sales strategy is based on a distribution model whereby we primarily sell our products and services directly to distributors who sell to resellers and service providers, who, in turn, sell to our end-customers. In certain cases, we sell directly to government-focused resellers, large service providers and major systems integrators, who have significant purchasing power and unique customer deployment requirements. Typically, FortiGuard security subscription services and FortiCare technical support services are purchased along with our physical and virtual appliances. We invoice at the time of our sale for the total price of the products and subscription and support services, and the invoice generally becomes payable within 30 to 90 days. We generally recognize product revenue up-front based on the allocated revenue value and defer revenue for the sale of new and renewal subscription and support services contracts. We recognize the related services revenue over the service period, which is typically one year from the date the end-customer registers for these services (the date on which the services can first be used by the customer), although it can be as long as five years. Sales of new and renewal services increase our deferred revenue balance, which contributes significantly to our positive cash flow from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Metrics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monitor the key financial metrics set forth below to help us evaluate growth trends, establish budgets, measure the effectiveness of our sales and marketing efforts, and assess operational efficiencies. Our total deferred revenue increased by $69.4 million from $363.2 million as of December 31, 2012 to $432.6 million as of December 31, 2013. Revenue recognized plus the change in deferred revenue from the beginning to the end of the period less any deferred revenue balances acquired from business combinations is a useful metric that management identifies as billings. Billings for services drive deferred revenue, which is an important indicator of the health and visibility of our business, and has historically represented a majority of the revenue that we recognize in a typical quarter. We ended fiscal 2013 with $843.0 million in cash, cash equivalents and investments and have had positive cash flow from operations every fiscal year since 2005. We discuss revenue, gross margin, and the components of operating income and margin below under “—Components of Operating Results,” and we discuss our cash, cash equivalents, and investments under “—Liquidity and Capital Resources.” Deferred revenue and cash flow from operations are discussed immediately below the following table.</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118" w:right="27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212"/>
        </w:trPr>
        <w:tc>
          <w:tcPr>
            <w:tcW w:w="5760" w:type="dxa"/>
            <w:vAlign w:val="bottom"/>
          </w:tcPr>
          <w:p>
            <w:pPr>
              <w:spacing w:after="0"/>
              <w:rPr>
                <w:sz w:val="18"/>
                <w:szCs w:val="18"/>
                <w:color w:val="auto"/>
              </w:rPr>
            </w:pPr>
          </w:p>
        </w:tc>
        <w:tc>
          <w:tcPr>
            <w:tcW w:w="3780" w:type="dxa"/>
            <w:vAlign w:val="bottom"/>
            <w:gridSpan w:val="2"/>
          </w:tcPr>
          <w:p>
            <w:pPr>
              <w:jc w:val="center"/>
              <w:ind w:left="996"/>
              <w:spacing w:after="0"/>
              <w:rPr>
                <w:sz w:val="20"/>
                <w:szCs w:val="20"/>
                <w:color w:val="auto"/>
              </w:rPr>
            </w:pPr>
            <w:r>
              <w:rPr>
                <w:rFonts w:ascii="Times New Roman" w:cs="Times New Roman" w:eastAsia="Times New Roman" w:hAnsi="Times New Roman"/>
                <w:sz w:val="16"/>
                <w:szCs w:val="16"/>
                <w:b w:val="1"/>
                <w:bCs w:val="1"/>
                <w:color w:val="auto"/>
                <w:w w:val="99"/>
              </w:rPr>
              <w:t>Fiscal Year or as of Fiscal Year End</w:t>
            </w:r>
          </w:p>
        </w:tc>
        <w:tc>
          <w:tcPr>
            <w:tcW w:w="1060" w:type="dxa"/>
            <w:vAlign w:val="bottom"/>
          </w:tcPr>
          <w:p>
            <w:pPr>
              <w:spacing w:after="0"/>
              <w:rPr>
                <w:sz w:val="18"/>
                <w:szCs w:val="18"/>
                <w:color w:val="auto"/>
              </w:rPr>
            </w:pPr>
          </w:p>
        </w:tc>
      </w:tr>
      <w:tr>
        <w:trPr>
          <w:trHeight w:val="33"/>
        </w:trPr>
        <w:tc>
          <w:tcPr>
            <w:tcW w:w="57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760" w:type="dxa"/>
            <w:vAlign w:val="bottom"/>
          </w:tcPr>
          <w:p>
            <w:pPr>
              <w:spacing w:after="0"/>
              <w:rPr>
                <w:sz w:val="20"/>
                <w:szCs w:val="20"/>
                <w:color w:val="auto"/>
              </w:rPr>
            </w:pPr>
          </w:p>
        </w:tc>
        <w:tc>
          <w:tcPr>
            <w:tcW w:w="1620" w:type="dxa"/>
            <w:vAlign w:val="bottom"/>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2013</w:t>
            </w:r>
          </w:p>
        </w:tc>
        <w:tc>
          <w:tcPr>
            <w:tcW w:w="2160" w:type="dxa"/>
            <w:vAlign w:val="bottom"/>
          </w:tcPr>
          <w:p>
            <w:pPr>
              <w:jc w:val="center"/>
              <w:ind w:right="476"/>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1060" w:type="dxa"/>
            <w:vAlign w:val="bottom"/>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2011</w:t>
            </w:r>
          </w:p>
        </w:tc>
      </w:tr>
      <w:tr>
        <w:trPr>
          <w:trHeight w:val="33"/>
        </w:trPr>
        <w:tc>
          <w:tcPr>
            <w:tcW w:w="57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7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60" w:type="dxa"/>
            <w:vAlign w:val="bottom"/>
          </w:tcPr>
          <w:p>
            <w:pPr>
              <w:jc w:val="center"/>
              <w:ind w:right="456"/>
              <w:spacing w:after="0"/>
              <w:rPr>
                <w:sz w:val="20"/>
                <w:szCs w:val="20"/>
                <w:color w:val="auto"/>
              </w:rPr>
            </w:pPr>
            <w:r>
              <w:rPr>
                <w:rFonts w:ascii="Times New Roman" w:cs="Times New Roman" w:eastAsia="Times New Roman" w:hAnsi="Times New Roman"/>
                <w:sz w:val="16"/>
                <w:szCs w:val="16"/>
                <w:b w:val="1"/>
                <w:bCs w:val="1"/>
                <w:color w:val="auto"/>
                <w:w w:val="99"/>
              </w:rPr>
              <w:t>($ amounts in 000’s)</w:t>
            </w:r>
          </w:p>
        </w:tc>
        <w:tc>
          <w:tcPr>
            <w:tcW w:w="1060" w:type="dxa"/>
            <w:vAlign w:val="bottom"/>
          </w:tcPr>
          <w:p>
            <w:pPr>
              <w:spacing w:after="0"/>
              <w:rPr>
                <w:sz w:val="18"/>
                <w:szCs w:val="18"/>
                <w:color w:val="auto"/>
              </w:rPr>
            </w:pPr>
          </w:p>
        </w:tc>
      </w:tr>
      <w:tr>
        <w:trPr>
          <w:trHeight w:val="33"/>
        </w:trPr>
        <w:tc>
          <w:tcPr>
            <w:tcW w:w="5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2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615,297</w:t>
            </w:r>
          </w:p>
        </w:tc>
        <w:tc>
          <w:tcPr>
            <w:tcW w:w="216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533,639</w:t>
            </w:r>
          </w:p>
        </w:tc>
        <w:tc>
          <w:tcPr>
            <w:tcW w:w="10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433,576</w:t>
            </w:r>
          </w:p>
        </w:tc>
      </w:tr>
      <w:tr>
        <w:trPr>
          <w:trHeight w:val="243"/>
        </w:trPr>
        <w:tc>
          <w:tcPr>
            <w:tcW w:w="5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Gross margin</w:t>
            </w:r>
          </w:p>
        </w:tc>
        <w:tc>
          <w:tcPr>
            <w:tcW w:w="1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71%</w:t>
            </w:r>
          </w:p>
        </w:tc>
        <w:tc>
          <w:tcPr>
            <w:tcW w:w="216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72%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5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Operating income </w:t>
            </w:r>
            <w:r>
              <w:rPr>
                <w:rFonts w:ascii="Times New Roman" w:cs="Times New Roman" w:eastAsia="Times New Roman" w:hAnsi="Times New Roman"/>
                <w:sz w:val="18"/>
                <w:szCs w:val="18"/>
                <w:color w:val="auto"/>
                <w:vertAlign w:val="superscript"/>
              </w:rPr>
              <w:t>(1)</w:t>
            </w:r>
          </w:p>
        </w:tc>
        <w:tc>
          <w:tcPr>
            <w:tcW w:w="16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72,090</w:t>
            </w:r>
          </w:p>
        </w:tc>
        <w:tc>
          <w:tcPr>
            <w:tcW w:w="216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100,475</w:t>
            </w:r>
          </w:p>
        </w:tc>
        <w:tc>
          <w:tcPr>
            <w:tcW w:w="10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88,904</w:t>
            </w:r>
          </w:p>
        </w:tc>
      </w:tr>
      <w:tr>
        <w:trPr>
          <w:trHeight w:val="243"/>
        </w:trPr>
        <w:tc>
          <w:tcPr>
            <w:tcW w:w="5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margin</w:t>
            </w:r>
          </w:p>
        </w:tc>
        <w:tc>
          <w:tcPr>
            <w:tcW w:w="16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w:t>
            </w:r>
          </w:p>
        </w:tc>
        <w:tc>
          <w:tcPr>
            <w:tcW w:w="216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19%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5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revenue</w:t>
            </w:r>
          </w:p>
        </w:tc>
        <w:tc>
          <w:tcPr>
            <w:tcW w:w="162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432,628</w:t>
            </w:r>
          </w:p>
        </w:tc>
        <w:tc>
          <w:tcPr>
            <w:tcW w:w="216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363,185</w:t>
            </w:r>
          </w:p>
        </w:tc>
        <w:tc>
          <w:tcPr>
            <w:tcW w:w="10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294,833</w:t>
            </w: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total deferred revenue</w:t>
            </w:r>
          </w:p>
        </w:tc>
        <w:tc>
          <w:tcPr>
            <w:tcW w:w="162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69,443</w:t>
            </w:r>
          </w:p>
        </w:tc>
        <w:tc>
          <w:tcPr>
            <w:tcW w:w="216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68,352</w:t>
            </w:r>
          </w:p>
        </w:tc>
        <w:tc>
          <w:tcPr>
            <w:tcW w:w="10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42,202</w:t>
            </w:r>
          </w:p>
        </w:tc>
      </w:tr>
      <w:tr>
        <w:trPr>
          <w:trHeight w:val="27"/>
        </w:trPr>
        <w:tc>
          <w:tcPr>
            <w:tcW w:w="5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162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843,045</w:t>
            </w:r>
          </w:p>
        </w:tc>
        <w:tc>
          <w:tcPr>
            <w:tcW w:w="216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739,586</w:t>
            </w:r>
          </w:p>
        </w:tc>
        <w:tc>
          <w:tcPr>
            <w:tcW w:w="106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538,687</w:t>
            </w: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62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147,384</w:t>
            </w:r>
          </w:p>
        </w:tc>
        <w:tc>
          <w:tcPr>
            <w:tcW w:w="216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183,866</w:t>
            </w:r>
          </w:p>
        </w:tc>
        <w:tc>
          <w:tcPr>
            <w:tcW w:w="10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132,842</w:t>
            </w:r>
          </w:p>
        </w:tc>
      </w:tr>
      <w:tr>
        <w:trPr>
          <w:trHeight w:val="27"/>
        </w:trPr>
        <w:tc>
          <w:tcPr>
            <w:tcW w:w="5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Free cash flow </w:t>
            </w:r>
            <w:r>
              <w:rPr>
                <w:rFonts w:ascii="Times New Roman" w:cs="Times New Roman" w:eastAsia="Times New Roman" w:hAnsi="Times New Roman"/>
                <w:sz w:val="18"/>
                <w:szCs w:val="18"/>
                <w:color w:val="auto"/>
                <w:vertAlign w:val="superscript"/>
              </w:rPr>
              <w:t>(2)</w:t>
            </w:r>
          </w:p>
        </w:tc>
        <w:tc>
          <w:tcPr>
            <w:tcW w:w="16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133,507</w:t>
            </w:r>
          </w:p>
        </w:tc>
        <w:tc>
          <w:tcPr>
            <w:tcW w:w="216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161,783</w:t>
            </w:r>
          </w:p>
        </w:tc>
        <w:tc>
          <w:tcPr>
            <w:tcW w:w="10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135,218</w:t>
            </w:r>
          </w:p>
        </w:tc>
      </w:tr>
      <w:tr>
        <w:trPr>
          <w:trHeight w:val="24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___________________</w:t>
            </w:r>
          </w:p>
        </w:tc>
        <w:tc>
          <w:tcPr>
            <w:tcW w:w="16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87"/>
        </w:trPr>
        <w:tc>
          <w:tcPr>
            <w:tcW w:w="5760" w:type="dxa"/>
            <w:vAlign w:val="bottom"/>
          </w:tcPr>
          <w:p>
            <w:pPr>
              <w:ind w:left="20"/>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4"/>
                <w:szCs w:val="14"/>
                <w:color w:val="auto"/>
              </w:rPr>
              <w:t>Includes:</w:t>
            </w:r>
          </w:p>
        </w:tc>
        <w:tc>
          <w:tcPr>
            <w:tcW w:w="1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5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620" w:type="dxa"/>
            <w:vAlign w:val="bottom"/>
          </w:tcPr>
          <w:p>
            <w:pPr>
              <w:jc w:val="right"/>
              <w:ind w:right="176"/>
              <w:spacing w:after="0"/>
              <w:rPr>
                <w:sz w:val="20"/>
                <w:szCs w:val="20"/>
                <w:color w:val="auto"/>
              </w:rPr>
            </w:pPr>
            <w:r>
              <w:rPr>
                <w:rFonts w:ascii="Times New Roman" w:cs="Times New Roman" w:eastAsia="Times New Roman" w:hAnsi="Times New Roman"/>
                <w:sz w:val="14"/>
                <w:szCs w:val="14"/>
                <w:color w:val="auto"/>
              </w:rPr>
              <w:t>44,471</w:t>
            </w:r>
          </w:p>
        </w:tc>
        <w:tc>
          <w:tcPr>
            <w:tcW w:w="2160" w:type="dxa"/>
            <w:vAlign w:val="bottom"/>
          </w:tcPr>
          <w:p>
            <w:pPr>
              <w:jc w:val="right"/>
              <w:ind w:right="696"/>
              <w:spacing w:after="0"/>
              <w:rPr>
                <w:sz w:val="20"/>
                <w:szCs w:val="20"/>
                <w:color w:val="auto"/>
              </w:rPr>
            </w:pPr>
            <w:r>
              <w:rPr>
                <w:rFonts w:ascii="Times New Roman" w:cs="Times New Roman" w:eastAsia="Times New Roman" w:hAnsi="Times New Roman"/>
                <w:sz w:val="14"/>
                <w:szCs w:val="14"/>
                <w:color w:val="auto"/>
              </w:rPr>
              <w:t>30,690</w:t>
            </w:r>
          </w:p>
        </w:tc>
        <w:tc>
          <w:tcPr>
            <w:tcW w:w="106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auto"/>
              </w:rPr>
              <w:t>19,015</w:t>
            </w:r>
          </w:p>
        </w:tc>
      </w:tr>
      <w:tr>
        <w:trPr>
          <w:trHeight w:val="270"/>
        </w:trPr>
        <w:tc>
          <w:tcPr>
            <w:tcW w:w="5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 expense of certain intangible assets</w:t>
            </w:r>
          </w:p>
        </w:tc>
        <w:tc>
          <w:tcPr>
            <w:tcW w:w="1620" w:type="dxa"/>
            <w:vAlign w:val="bottom"/>
          </w:tcPr>
          <w:p>
            <w:pPr>
              <w:jc w:val="right"/>
              <w:ind w:right="176"/>
              <w:spacing w:after="0"/>
              <w:rPr>
                <w:sz w:val="20"/>
                <w:szCs w:val="20"/>
                <w:color w:val="auto"/>
              </w:rPr>
            </w:pPr>
            <w:r>
              <w:rPr>
                <w:rFonts w:ascii="Times New Roman" w:cs="Times New Roman" w:eastAsia="Times New Roman" w:hAnsi="Times New Roman"/>
                <w:sz w:val="14"/>
                <w:szCs w:val="14"/>
                <w:color w:val="auto"/>
              </w:rPr>
              <w:t>1,551</w:t>
            </w:r>
          </w:p>
        </w:tc>
        <w:tc>
          <w:tcPr>
            <w:tcW w:w="2160" w:type="dxa"/>
            <w:vAlign w:val="bottom"/>
          </w:tcPr>
          <w:p>
            <w:pPr>
              <w:jc w:val="right"/>
              <w:ind w:right="696"/>
              <w:spacing w:after="0"/>
              <w:rPr>
                <w:sz w:val="20"/>
                <w:szCs w:val="20"/>
                <w:color w:val="auto"/>
              </w:rPr>
            </w:pPr>
            <w:r>
              <w:rPr>
                <w:rFonts w:ascii="Times New Roman" w:cs="Times New Roman" w:eastAsia="Times New Roman" w:hAnsi="Times New Roman"/>
                <w:sz w:val="14"/>
                <w:szCs w:val="14"/>
                <w:color w:val="auto"/>
              </w:rPr>
              <w:t>826</w:t>
            </w:r>
          </w:p>
        </w:tc>
        <w:tc>
          <w:tcPr>
            <w:tcW w:w="106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auto"/>
              </w:rPr>
              <w:t>394</w:t>
            </w:r>
          </w:p>
        </w:tc>
      </w:tr>
      <w:tr>
        <w:trPr>
          <w:trHeight w:val="270"/>
        </w:trPr>
        <w:tc>
          <w:tcPr>
            <w:tcW w:w="5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Impairment charges related to certain intangible assets</w:t>
            </w:r>
          </w:p>
        </w:tc>
        <w:tc>
          <w:tcPr>
            <w:tcW w:w="1620" w:type="dxa"/>
            <w:vAlign w:val="bottom"/>
          </w:tcPr>
          <w:p>
            <w:pPr>
              <w:jc w:val="right"/>
              <w:ind w:right="176"/>
              <w:spacing w:after="0"/>
              <w:rPr>
                <w:sz w:val="20"/>
                <w:szCs w:val="20"/>
                <w:color w:val="auto"/>
              </w:rPr>
            </w:pPr>
            <w:r>
              <w:rPr>
                <w:rFonts w:ascii="Times New Roman" w:cs="Times New Roman" w:eastAsia="Times New Roman" w:hAnsi="Times New Roman"/>
                <w:sz w:val="14"/>
                <w:szCs w:val="14"/>
                <w:color w:val="auto"/>
              </w:rPr>
              <w:t>469</w:t>
            </w:r>
          </w:p>
        </w:tc>
        <w:tc>
          <w:tcPr>
            <w:tcW w:w="2160" w:type="dxa"/>
            <w:vAlign w:val="bottom"/>
          </w:tcPr>
          <w:p>
            <w:pPr>
              <w:jc w:val="right"/>
              <w:ind w:right="696"/>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5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Patent settlement income</w:t>
            </w:r>
          </w:p>
        </w:tc>
        <w:tc>
          <w:tcPr>
            <w:tcW w:w="1620" w:type="dxa"/>
            <w:vAlign w:val="bottom"/>
          </w:tcPr>
          <w:p>
            <w:pPr>
              <w:jc w:val="right"/>
              <w:ind w:right="176"/>
              <w:spacing w:after="0"/>
              <w:rPr>
                <w:sz w:val="20"/>
                <w:szCs w:val="20"/>
                <w:color w:val="auto"/>
              </w:rPr>
            </w:pPr>
            <w:r>
              <w:rPr>
                <w:rFonts w:ascii="Times New Roman" w:cs="Times New Roman" w:eastAsia="Times New Roman" w:hAnsi="Times New Roman"/>
                <w:sz w:val="14"/>
                <w:szCs w:val="14"/>
                <w:color w:val="auto"/>
              </w:rPr>
              <w:t>1,912</w:t>
            </w:r>
          </w:p>
        </w:tc>
        <w:tc>
          <w:tcPr>
            <w:tcW w:w="2160" w:type="dxa"/>
            <w:vAlign w:val="bottom"/>
          </w:tcPr>
          <w:p>
            <w:pPr>
              <w:jc w:val="right"/>
              <w:ind w:right="696"/>
              <w:spacing w:after="0"/>
              <w:rPr>
                <w:sz w:val="20"/>
                <w:szCs w:val="20"/>
                <w:color w:val="auto"/>
              </w:rPr>
            </w:pPr>
            <w:r>
              <w:rPr>
                <w:rFonts w:ascii="Times New Roman" w:cs="Times New Roman" w:eastAsia="Times New Roman" w:hAnsi="Times New Roman"/>
                <w:sz w:val="14"/>
                <w:szCs w:val="14"/>
                <w:color w:val="auto"/>
              </w:rPr>
              <w:t>1,912</w:t>
            </w:r>
          </w:p>
        </w:tc>
        <w:tc>
          <w:tcPr>
            <w:tcW w:w="106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auto"/>
              </w:rPr>
              <w:t>1,911</w:t>
            </w:r>
          </w:p>
        </w:tc>
      </w:tr>
    </w:tbl>
    <w:p>
      <w:pPr>
        <w:spacing w:after="0" w:line="136" w:lineRule="exact"/>
        <w:rPr>
          <w:sz w:val="20"/>
          <w:szCs w:val="20"/>
          <w:color w:val="auto"/>
        </w:rPr>
      </w:pPr>
    </w:p>
    <w:p>
      <w:pPr>
        <w:ind w:left="660" w:hanging="220"/>
        <w:spacing w:after="0"/>
        <w:tabs>
          <w:tab w:leader="none" w:pos="660"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Free cash flow is defined as net cash provided by operating activities less capital expenditures.</w:t>
      </w:r>
    </w:p>
    <w:p>
      <w:pPr>
        <w:spacing w:after="0" w:line="233"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Deferred revenue. </w:t>
      </w:r>
      <w:r>
        <w:rPr>
          <w:rFonts w:ascii="Times New Roman" w:cs="Times New Roman" w:eastAsia="Times New Roman" w:hAnsi="Times New Roman"/>
          <w:sz w:val="18"/>
          <w:szCs w:val="18"/>
          <w:color w:val="auto"/>
        </w:rPr>
        <w:t>Our deferred revenue consists of amounts that have been invoiced but that have not yet been recognized as revenue. The majority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deferred revenue balance consists of the unamortized portion of services revenue from subscription and support service contracts. We monitor our deferred revenue balance because it represents a significant portion of revenue to be recognized in future periods. We define billings as revenue recognized during a period plus the change in deferred revenue from the beginning to the end of the period less any deferred revenue balances acquired from business combinations. The following table reflects the calculation of billings as discussed in the paragraph above. For a discussion of the limitations of non-GAAP financial measures, see “—Other Non-GAAP Financial Measures” below.</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7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72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100" w:type="dxa"/>
            <w:vAlign w:val="bottom"/>
          </w:tcPr>
          <w:p>
            <w:pPr>
              <w:spacing w:after="0"/>
              <w:rPr>
                <w:sz w:val="20"/>
                <w:szCs w:val="20"/>
                <w:color w:val="auto"/>
              </w:rPr>
            </w:pPr>
          </w:p>
        </w:tc>
        <w:tc>
          <w:tcPr>
            <w:tcW w:w="170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2011</w:t>
            </w:r>
          </w:p>
        </w:tc>
      </w:tr>
      <w:tr>
        <w:trPr>
          <w:trHeight w:val="33"/>
        </w:trPr>
        <w:tc>
          <w:tcPr>
            <w:tcW w:w="60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 amounts in 000’s)</w:t>
            </w:r>
          </w:p>
        </w:tc>
        <w:tc>
          <w:tcPr>
            <w:tcW w:w="17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Billings:</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615,297</w:t>
            </w:r>
          </w:p>
        </w:tc>
        <w:tc>
          <w:tcPr>
            <w:tcW w:w="12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533,639</w:t>
            </w:r>
          </w:p>
        </w:tc>
        <w:tc>
          <w:tcPr>
            <w:tcW w:w="10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433,576</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Increase in deferred revenue</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69,443</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68,352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42,202</w:t>
            </w:r>
          </w:p>
        </w:tc>
      </w:tr>
      <w:tr>
        <w:trPr>
          <w:trHeight w:val="243"/>
        </w:trPr>
        <w:tc>
          <w:tcPr>
            <w:tcW w:w="6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deferred revenue balance acquired in business combination</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billings (Non-GAAP)</w:t>
            </w:r>
          </w:p>
        </w:tc>
        <w:tc>
          <w:tcPr>
            <w:tcW w:w="17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684,190</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601,991</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475,778</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flow from operations and free cash flow. </w:t>
      </w:r>
      <w:r>
        <w:rPr>
          <w:rFonts w:ascii="Times New Roman" w:cs="Times New Roman" w:eastAsia="Times New Roman" w:hAnsi="Times New Roman"/>
          <w:sz w:val="18"/>
          <w:szCs w:val="18"/>
          <w:color w:val="auto"/>
        </w:rPr>
        <w:t>We monitor cash flow from operations as a measure of our overall business performance. Our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 from operations is driven in large part by payments for both new and renewal contracts for subscription and support services. Monitoring cash flow from operations and free cash flow enables us to analyze our financial performance excluding the non-cash effects of certain items such as depreciation, amortization and stock-based compensation expenses, thereby allowing us to better understand and manage the cash needs of our business. Free cash flow, an alternative non-GAAP financial measure of liquidity, is defined as net cash provided by operating activities less capital expenditures. For a discussion of the limitations of non-GAAP financial measures, see “—Other Non-GAAP Financial Measures” below.</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7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72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100" w:type="dxa"/>
            <w:vAlign w:val="bottom"/>
          </w:tcPr>
          <w:p>
            <w:pPr>
              <w:spacing w:after="0"/>
              <w:rPr>
                <w:sz w:val="20"/>
                <w:szCs w:val="20"/>
                <w:color w:val="auto"/>
              </w:rPr>
            </w:pPr>
          </w:p>
        </w:tc>
        <w:tc>
          <w:tcPr>
            <w:tcW w:w="170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2011</w:t>
            </w:r>
          </w:p>
        </w:tc>
      </w:tr>
      <w:tr>
        <w:trPr>
          <w:trHeight w:val="33"/>
        </w:trPr>
        <w:tc>
          <w:tcPr>
            <w:tcW w:w="60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 amounts in 000’s)</w:t>
            </w:r>
          </w:p>
        </w:tc>
        <w:tc>
          <w:tcPr>
            <w:tcW w:w="17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147,384</w:t>
            </w:r>
          </w:p>
        </w:tc>
        <w:tc>
          <w:tcPr>
            <w:tcW w:w="12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183,866</w:t>
            </w:r>
          </w:p>
        </w:tc>
        <w:tc>
          <w:tcPr>
            <w:tcW w:w="10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132,842</w:t>
            </w: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(13,877)</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r>
      <w:tr>
        <w:trPr>
          <w:trHeight w:val="25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Free cash flow (Non-GAAP)</w:t>
            </w:r>
          </w:p>
        </w:tc>
        <w:tc>
          <w:tcPr>
            <w:tcW w:w="17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133,507</w:t>
            </w:r>
          </w:p>
        </w:tc>
        <w:tc>
          <w:tcPr>
            <w:tcW w:w="12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161,783</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129,218</w:t>
            </w: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Non-GAAP Financial Measures</w:t>
      </w:r>
    </w:p>
    <w:p>
      <w:pPr>
        <w:spacing w:after="0" w:line="22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U.S. generally accepted accounting principles (“GAAP”), we consider certain financial measures that are not prepared in accordance with GAAP, including billings and free cash flow discussed above as well as non-GAAP gross margin, non-GAAP operating income, non-GAAP operating margin, non-GAAP operating expenses, and non-GAAP net income. These non-GAAP financial measures are not based on any standardized methodology prescribed by GAAP and are not necessarily comparable to similar measures presented by other companies.</w:t>
      </w:r>
    </w:p>
    <w:p>
      <w:pPr>
        <w:spacing w:after="0" w:line="18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use these non-GAAP financial measures internally in analyzing our financial results and believe they are useful to investors, as a supplement to GAAP measures, in evaluating our ongoing operational performance and enhancing an overall understanding of our past financial performance, as they help illustrate underlying trends in our business that could otherwise be masked by the effect of the expenses that we exclude in these non-GAAP financial measures. Furthermore, we use many of these measures to establish budgets and operational goals for managing our business and evaluating our performance. We also believe that the use of these non-GAAP financial measures provides an additional tool for investors to use in comparing our recurring core business operating results over multiple periods with other companies in our industry, many of which present similar non-GAAP financial measures to investors.</w:t>
      </w:r>
    </w:p>
    <w:p>
      <w:pPr>
        <w:spacing w:after="0" w:line="1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These non-GAAP financial measures should not be considered in isolation from, or as a substitute for, financial information prepared in accordance with GAAP. There are a number of limitations related to the use of these non-GAAP financial measures versus the nearest GAAP equivalent of these financial measures. First, these non-GAAP financial measures exclude certain recurring, non-cash charges such as stock-based compensation expense, amortization expense and impairment charges related to certain intangible assets, offset by patent settlement income. Prior period amounts have been adjusted to conform to current period presentation. Stock-based compensation expense has been, and will continue to be for the foreseeable future, a significant recurring expense in our business and is an important part of our employees’ overall compensation. Second, the expenses that we exclude in our calculation of these non-GAAP financial measures may differ from the expenses, if any, that our peer companies may exclude when they report their results of operations. We compensate for these limitations by providing the nearest GAAP equivalents of these non-GAAP financial measures and describing these GAAP equivalents in the section entitled “—Results of Operations” below.</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Non-GAAP gross margin is gross margin as reported on our consolidated statements of operations, excluding the impact of stock-based compensation expense, amortization expense and impairment charges related to certain intangible assets, all of which are non-cash charges. Non-GAAP operating income is operating income, as reported on our consolidated statements of operations, excluding the impact of stock-based compensation expense, amortization expense and impairment charges related to certain intangible assets, and the income we received from a patent settlement. Non-GAAP operating margin is non-GAAP operating income divided by revenue. The following tables reconcile GAAP gross margin, operating income, and operating margin to non-GAAP gross margin, non-GAAP operating income, and non-GAAP operating margin for fiscal 2013, 2012 and 2011.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4"/>
          </w:tcPr>
          <w:p>
            <w:pPr>
              <w:jc w:val="center"/>
              <w:ind w:left="112"/>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2013</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2012</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2011</w:t>
            </w:r>
          </w:p>
        </w:tc>
        <w:tc>
          <w:tcPr>
            <w:tcW w:w="94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7"/>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 of</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212"/>
        </w:trPr>
        <w:tc>
          <w:tcPr>
            <w:tcW w:w="4000" w:type="dxa"/>
            <w:vAlign w:val="bottom"/>
          </w:tcPr>
          <w:p>
            <w:pPr>
              <w:spacing w:after="0"/>
              <w:rPr>
                <w:sz w:val="18"/>
                <w:szCs w:val="18"/>
                <w:color w:val="auto"/>
              </w:rPr>
            </w:pPr>
          </w:p>
        </w:tc>
        <w:tc>
          <w:tcPr>
            <w:tcW w:w="148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Amount ($)</w:t>
            </w: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4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Amount ($)</w:t>
            </w:r>
          </w:p>
        </w:tc>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Amount ($)</w:t>
            </w:r>
          </w:p>
        </w:tc>
        <w:tc>
          <w:tcPr>
            <w:tcW w:w="94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33"/>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4"/>
          </w:tcPr>
          <w:p>
            <w:pPr>
              <w:jc w:val="center"/>
              <w:ind w:left="92"/>
              <w:spacing w:after="0"/>
              <w:rPr>
                <w:sz w:val="20"/>
                <w:szCs w:val="20"/>
                <w:color w:val="auto"/>
              </w:rPr>
            </w:pPr>
            <w:r>
              <w:rPr>
                <w:rFonts w:ascii="Times New Roman" w:cs="Times New Roman" w:eastAsia="Times New Roman" w:hAnsi="Times New Roman"/>
                <w:sz w:val="16"/>
                <w:szCs w:val="16"/>
                <w:b w:val="1"/>
                <w:bCs w:val="1"/>
                <w:color w:val="auto"/>
              </w:rPr>
              <w:t>($ amounts in 000’s)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615,297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533,639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433,576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65"/>
        </w:trPr>
        <w:tc>
          <w:tcPr>
            <w:tcW w:w="4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and Non-GAAP gross profit and margin</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GAAP gross profit and margin</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434,654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386,219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319,978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expense of certain intangible assets</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5"/>
        </w:trPr>
        <w:tc>
          <w:tcPr>
            <w:tcW w:w="4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Impairment charges related to certain intangible</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61"/>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assets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Non-GAAP gross profit and margin</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441,898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391,114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322,345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74</w:t>
            </w:r>
          </w:p>
        </w:tc>
      </w:tr>
      <w:tr>
        <w:trPr>
          <w:trHeight w:val="311"/>
        </w:trPr>
        <w:tc>
          <w:tcPr>
            <w:tcW w:w="40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21"/>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Gross and Non-GAAP operating income and</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8"/>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GAAP operating income and margin</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72,090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100,475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88,904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Cost of revenue</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19,526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44,471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19,015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expense of certain intangible assets</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5"/>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charges related to certain intangible</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1"/>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 settlement income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Non-GAAP operating income and margin</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116,669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130,079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106,402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type w:val="continuous"/>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Non-GAAP operating expenses represent operating expenses, as reported on our consolidated statements of operations, excluding the impact of stock-based compensation expense and the income from a patent settlement. The following tables reconcile GAAP operating expenses to non-GAAP operating expenses for fiscal 2013, 2012 and 2011.</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2013</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2012</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2011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 of</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 of</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212"/>
        </w:trPr>
        <w:tc>
          <w:tcPr>
            <w:tcW w:w="4000" w:type="dxa"/>
            <w:vAlign w:val="bottom"/>
          </w:tcPr>
          <w:p>
            <w:pPr>
              <w:spacing w:after="0"/>
              <w:rPr>
                <w:sz w:val="18"/>
                <w:szCs w:val="18"/>
                <w:color w:val="auto"/>
              </w:rPr>
            </w:pPr>
          </w:p>
        </w:tc>
        <w:tc>
          <w:tcPr>
            <w:tcW w:w="148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Amount ($)</w:t>
            </w: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4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Amount ($)</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144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Amount ($)</w:t>
            </w:r>
          </w:p>
        </w:tc>
        <w:tc>
          <w:tcPr>
            <w:tcW w:w="94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5"/>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 amounts in 000’s)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GAAP research and development expenses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102,660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81,078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63,577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Non-GAAP research and development expenses</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89,389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71,852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58,886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GAAP sales and marketing expenses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224,991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179,155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145,532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Non-GAAP sales and marketing expenses</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205,465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166,362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136,207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GAAP general and administrative expenses</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34,913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25,511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21,965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Patent settlement income</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Non-GAAP general and administrative expenses</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30,375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22,821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20,850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GAAP operating expenses</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362,564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285,744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231,074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Patent settlement income</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325,229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261,035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215,943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Non-GAAP net income represents net income, as reported in our consolidated statements of operations, excluding the impact of stock-based compensation expense, amortization expense and impairment charges related to certain intangible assets, and income from a patent settlement. The following tables reconcile GAAP net income as reported on our consolidated statements of operations to non-GAAP net income for fiscal 2013, 2012 and 2011.</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1720" w:type="dxa"/>
            <w:vAlign w:val="bottom"/>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100" w:type="dxa"/>
            <w:vAlign w:val="bottom"/>
          </w:tcPr>
          <w:p>
            <w:pPr>
              <w:spacing w:after="0"/>
              <w:rPr>
                <w:sz w:val="20"/>
                <w:szCs w:val="20"/>
                <w:color w:val="auto"/>
              </w:rPr>
            </w:pPr>
          </w:p>
        </w:tc>
        <w:tc>
          <w:tcPr>
            <w:tcW w:w="1700" w:type="dxa"/>
            <w:vAlign w:val="bottom"/>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2011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53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53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 and share amounts in 000’s, except per share amounts)</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GAAP net income</w:t>
            </w: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44,273</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66,836</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62,492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18"/>
                <w:szCs w:val="18"/>
                <w:color w:val="auto"/>
                <w:vertAlign w:val="superscript"/>
              </w:rPr>
              <w:t>(1)</w:t>
            </w:r>
          </w:p>
        </w:tc>
        <w:tc>
          <w:tcPr>
            <w:tcW w:w="1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44,471</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30,690</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19,015</w:t>
            </w:r>
          </w:p>
        </w:tc>
        <w:tc>
          <w:tcPr>
            <w:tcW w:w="0" w:type="dxa"/>
            <w:vAlign w:val="bottom"/>
          </w:tcPr>
          <w:p>
            <w:pPr>
              <w:spacing w:after="0"/>
              <w:rPr>
                <w:sz w:val="1"/>
                <w:szCs w:val="1"/>
                <w:color w:val="auto"/>
              </w:rPr>
            </w:pPr>
          </w:p>
        </w:tc>
      </w:tr>
      <w:tr>
        <w:trPr>
          <w:trHeight w:val="262"/>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Amortization expense of certain intangible assets </w:t>
            </w:r>
            <w:r>
              <w:rPr>
                <w:rFonts w:ascii="Times New Roman" w:cs="Times New Roman" w:eastAsia="Times New Roman" w:hAnsi="Times New Roman"/>
                <w:sz w:val="18"/>
                <w:szCs w:val="18"/>
                <w:color w:val="auto"/>
                <w:vertAlign w:val="superscript"/>
              </w:rPr>
              <w:t>(1)</w:t>
            </w: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tcPr>
          <w:p>
            <w:pPr>
              <w:spacing w:after="0"/>
              <w:rPr>
                <w:sz w:val="22"/>
                <w:szCs w:val="22"/>
                <w:color w:val="auto"/>
              </w:rPr>
            </w:pP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22"/>
                <w:szCs w:val="22"/>
                <w:color w:val="auto"/>
              </w:rPr>
            </w:pP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78"/>
        </w:trPr>
        <w:tc>
          <w:tcPr>
            <w:tcW w:w="6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xml:space="preserve">Impairment charges related to certain intangible assets </w:t>
            </w:r>
            <w:r>
              <w:rPr>
                <w:rFonts w:ascii="Times New Roman" w:cs="Times New Roman" w:eastAsia="Times New Roman" w:hAnsi="Times New Roman"/>
                <w:sz w:val="18"/>
                <w:szCs w:val="18"/>
                <w:color w:val="auto"/>
                <w:vertAlign w:val="superscript"/>
              </w:rPr>
              <w:t>(1)</w:t>
            </w:r>
          </w:p>
        </w:tc>
        <w:tc>
          <w:tcPr>
            <w:tcW w:w="1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Patent settlement income </w:t>
            </w:r>
            <w:r>
              <w:rPr>
                <w:rFonts w:ascii="Times New Roman" w:cs="Times New Roman" w:eastAsia="Times New Roman" w:hAnsi="Times New Roman"/>
                <w:sz w:val="18"/>
                <w:szCs w:val="18"/>
                <w:color w:val="auto"/>
                <w:vertAlign w:val="superscript"/>
              </w:rPr>
              <w:t>(2)</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0" w:type="dxa"/>
            <w:vAlign w:val="bottom"/>
          </w:tcPr>
          <w:p>
            <w:pPr>
              <w:spacing w:after="0"/>
              <w:rPr>
                <w:sz w:val="1"/>
                <w:szCs w:val="1"/>
                <w:color w:val="auto"/>
              </w:rPr>
            </w:pPr>
          </w:p>
        </w:tc>
      </w:tr>
      <w:tr>
        <w:trPr>
          <w:trHeight w:val="272"/>
        </w:trPr>
        <w:tc>
          <w:tcPr>
            <w:tcW w:w="6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xml:space="preserve">Provision for income taxes </w:t>
            </w:r>
            <w:r>
              <w:rPr>
                <w:rFonts w:ascii="Times New Roman" w:cs="Times New Roman" w:eastAsia="Times New Roman" w:hAnsi="Times New Roman"/>
                <w:sz w:val="18"/>
                <w:szCs w:val="18"/>
                <w:color w:val="auto"/>
                <w:vertAlign w:val="superscript"/>
              </w:rPr>
              <w:t>(3)</w:t>
            </w: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31,668</w:t>
            </w:r>
          </w:p>
        </w:tc>
        <w:tc>
          <w:tcPr>
            <w:tcW w:w="12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38,160</w:t>
            </w:r>
          </w:p>
        </w:tc>
        <w:tc>
          <w:tcPr>
            <w:tcW w:w="10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29,581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Non-GAAP income before provision for income taxes</w:t>
            </w: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120,520</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134,600</w:t>
            </w:r>
          </w:p>
        </w:tc>
        <w:tc>
          <w:tcPr>
            <w:tcW w:w="10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109,571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Non-GAAP provision for income tax </w:t>
            </w:r>
            <w:r>
              <w:rPr>
                <w:rFonts w:ascii="Times New Roman" w:cs="Times New Roman" w:eastAsia="Times New Roman" w:hAnsi="Times New Roman"/>
                <w:sz w:val="18"/>
                <w:szCs w:val="18"/>
                <w:color w:val="auto"/>
                <w:vertAlign w:val="superscript"/>
              </w:rPr>
              <w:t>(4)</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(39,772)</w:t>
            </w:r>
          </w:p>
        </w:tc>
        <w:tc>
          <w:tcPr>
            <w:tcW w:w="120" w:type="dxa"/>
            <w:vAlign w:val="bottom"/>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(45,764)</w:t>
            </w:r>
          </w:p>
        </w:tc>
        <w:tc>
          <w:tcPr>
            <w:tcW w:w="100" w:type="dxa"/>
            <w:vAlign w:val="bottom"/>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(36,158)</w:t>
            </w:r>
          </w:p>
        </w:tc>
        <w:tc>
          <w:tcPr>
            <w:tcW w:w="0" w:type="dxa"/>
            <w:vAlign w:val="bottom"/>
          </w:tcPr>
          <w:p>
            <w:pPr>
              <w:spacing w:after="0"/>
              <w:rPr>
                <w:sz w:val="1"/>
                <w:szCs w:val="1"/>
                <w:color w:val="auto"/>
              </w:rPr>
            </w:pPr>
          </w:p>
        </w:tc>
      </w:tr>
      <w:tr>
        <w:trPr>
          <w:trHeight w:val="304"/>
        </w:trPr>
        <w:tc>
          <w:tcPr>
            <w:tcW w:w="6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Non-GAAP net income</w:t>
            </w:r>
          </w:p>
        </w:tc>
        <w:tc>
          <w:tcPr>
            <w:tcW w:w="1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80,748</w:t>
            </w:r>
          </w:p>
        </w:tc>
        <w:tc>
          <w:tcPr>
            <w:tcW w:w="120" w:type="dxa"/>
            <w:vAlign w:val="bottom"/>
            <w:tcBorders>
              <w:bottom w:val="single" w:sz="8" w:color="CCEEFF"/>
            </w:tcBorders>
          </w:tcPr>
          <w:p>
            <w:pPr>
              <w:spacing w:after="0"/>
              <w:rPr>
                <w:sz w:val="24"/>
                <w:szCs w:val="24"/>
                <w:color w:val="auto"/>
              </w:rPr>
            </w:pPr>
          </w:p>
        </w:tc>
        <w:tc>
          <w:tcPr>
            <w:tcW w:w="1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88,836</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73,413</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net income per share—diluted</w:t>
            </w: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used in per share calculation—diluted</w:t>
            </w:r>
          </w:p>
        </w:tc>
        <w:tc>
          <w:tcPr>
            <w:tcW w:w="1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168,183</w:t>
            </w:r>
          </w:p>
        </w:tc>
        <w:tc>
          <w:tcPr>
            <w:tcW w:w="120" w:type="dxa"/>
            <w:vAlign w:val="bottom"/>
          </w:tcPr>
          <w:p>
            <w:pPr>
              <w:spacing w:after="0"/>
              <w:rPr>
                <w:sz w:val="21"/>
                <w:szCs w:val="21"/>
                <w:color w:val="auto"/>
              </w:rPr>
            </w:pPr>
          </w:p>
        </w:tc>
        <w:tc>
          <w:tcPr>
            <w:tcW w:w="1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166,329</w:t>
            </w:r>
          </w:p>
        </w:tc>
        <w:tc>
          <w:tcPr>
            <w:tcW w:w="100" w:type="dxa"/>
            <w:vAlign w:val="bottom"/>
          </w:tcPr>
          <w:p>
            <w:pPr>
              <w:spacing w:after="0"/>
              <w:rPr>
                <w:sz w:val="21"/>
                <w:szCs w:val="21"/>
                <w:color w:val="auto"/>
              </w:rPr>
            </w:pPr>
          </w:p>
        </w:tc>
        <w:tc>
          <w:tcPr>
            <w:tcW w:w="17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163,781</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80" w:right="400" w:hanging="572"/>
        <w:spacing w:after="0" w:line="241" w:lineRule="auto"/>
        <w:tabs>
          <w:tab w:leader="none" w:pos="580"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Stock-based compensation expense, amortization expense and impairment charges related to certain intangible assets are added back to GAAP net income to reconcile to non-GAAP income before provision for income taxes. Prior period amounts have been adjusted to conform to current period presentation.</w:t>
      </w:r>
    </w:p>
    <w:p>
      <w:pPr>
        <w:ind w:left="580" w:hanging="572"/>
        <w:spacing w:after="0"/>
        <w:tabs>
          <w:tab w:leader="none" w:pos="580"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patent settlement income is excluded from GAAP net income to reconcile to non-GAAP income before provision for income taxes.</w:t>
      </w:r>
    </w:p>
    <w:p>
      <w:pPr>
        <w:spacing w:after="0" w:line="1" w:lineRule="exact"/>
        <w:rPr>
          <w:rFonts w:ascii="Times New Roman" w:cs="Times New Roman" w:eastAsia="Times New Roman" w:hAnsi="Times New Roman"/>
          <w:sz w:val="9"/>
          <w:szCs w:val="9"/>
          <w:color w:val="auto"/>
        </w:rPr>
      </w:pPr>
    </w:p>
    <w:p>
      <w:pPr>
        <w:ind w:left="580" w:hanging="572"/>
        <w:spacing w:after="0"/>
        <w:tabs>
          <w:tab w:leader="none" w:pos="580"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Provision for income taxes is our GAAP tax provision that is added back to GAAP net income to reconcile to non-GAAP income before provision for income taxes.</w:t>
      </w:r>
    </w:p>
    <w:p>
      <w:pPr>
        <w:spacing w:after="0" w:line="1" w:lineRule="exact"/>
        <w:rPr>
          <w:rFonts w:ascii="Times New Roman" w:cs="Times New Roman" w:eastAsia="Times New Roman" w:hAnsi="Times New Roman"/>
          <w:sz w:val="9"/>
          <w:szCs w:val="9"/>
          <w:color w:val="auto"/>
        </w:rPr>
      </w:pPr>
    </w:p>
    <w:p>
      <w:pPr>
        <w:ind w:left="580" w:right="660" w:hanging="572"/>
        <w:spacing w:after="0" w:line="258" w:lineRule="auto"/>
        <w:tabs>
          <w:tab w:leader="none" w:pos="580"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used non-GAAP effective tax rates of 33%, 34%, and 33%, which could differ from the GAAP tax rates, to calculate non-GAAP net income for fiscal 2013, 2012, and 2011,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Operating Results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right="400" w:firstLine="648"/>
        <w:spacing w:after="0" w:line="313" w:lineRule="auto"/>
        <w:rPr>
          <w:sz w:val="20"/>
          <w:szCs w:val="20"/>
          <w:color w:val="auto"/>
        </w:rPr>
      </w:pPr>
      <w:r>
        <w:rPr>
          <w:rFonts w:ascii="Times New Roman" w:cs="Times New Roman" w:eastAsia="Times New Roman" w:hAnsi="Times New Roman"/>
          <w:sz w:val="17"/>
          <w:szCs w:val="17"/>
          <w:color w:val="auto"/>
        </w:rPr>
        <w:t>We derive our revenue from sales of our products and subscription and support services. Revenue is recognized when persuasive evidence of an arrangement exists, delivery has occurred or services have been rendered, the sales price is fixed or determinable and collectibility is reasonably assured.</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total revenue is comprised of the following:</w:t>
      </w:r>
    </w:p>
    <w:p>
      <w:pPr>
        <w:spacing w:after="0" w:line="115" w:lineRule="exact"/>
        <w:rPr>
          <w:sz w:val="20"/>
          <w:szCs w:val="20"/>
          <w:color w:val="auto"/>
        </w:rPr>
      </w:pPr>
    </w:p>
    <w:p>
      <w:pPr>
        <w:ind w:left="1300" w:hanging="644"/>
        <w:spacing w:after="0" w:line="253"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revenue</w:t>
      </w:r>
      <w:r>
        <w:rPr>
          <w:rFonts w:ascii="Times New Roman" w:cs="Times New Roman" w:eastAsia="Times New Roman" w:hAnsi="Times New Roman"/>
          <w:sz w:val="18"/>
          <w:szCs w:val="18"/>
          <w:color w:val="auto"/>
        </w:rPr>
        <w:t>. Product revenue is generated from sales of our appliances. The substantial majority of our product revenue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by our FortiGate line of appliances, and we do not expect this to change in the foreseeable future. Product revenue also includes revenue derived from sales of FortiManager, FortiAnalyzer, FortiSwitch, FortiMail, FortiDB, FortiWeb, FortiAP, FortiScan, FortiCarrier, FortiBalancer, FortiCache, FortiVoice, FortiBridge, FortiDDoS, FortiDNS, FortiSandbox, FortiADC, and FortiAuthenticator appliances, and our FortiClient and virtual domain, or VDOM, software. For arrangements which include end-customer acceptance criteria, revenue is recognized upon acceptance. We recognize product revenue on sales to distributors that have no general right of return and direct sales to end-customers upon shipment, once all other revenue recognition criteria have been met. Certain distributors that stock our products are granted stock rotation rights, limited rights of return, as well as rebates for sales of our products. The arrangement fee for this group of distributors is not fixed and determinable when products are shipped and revenue is therefore deferred and recognized upon sell-through. As a percentage of total revenue, we expect our product revenue may vary from quarter-to-quarter based on seasonal and cyclical factors discussed below under “—Quarterly Results of Operations” but generally may remain at relatively comparable levels or decline modestly over time, as services revenue becomes a larger portion of our business as our customers renew existing services contracts and we expand our customer base.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ind w:left="1300" w:right="40" w:hanging="644"/>
        <w:spacing w:after="0" w:line="254"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Services revenue</w:t>
      </w:r>
      <w:r>
        <w:rPr>
          <w:rFonts w:ascii="Times New Roman" w:cs="Times New Roman" w:eastAsia="Times New Roman" w:hAnsi="Times New Roman"/>
          <w:sz w:val="18"/>
          <w:szCs w:val="18"/>
          <w:color w:val="auto"/>
        </w:rPr>
        <w:t>. Services revenue is generated primarily from FortiCare technical support services for software updates,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releases and patches, Internet access to technical content, telephone and Internet access to technical support personnel and hardware support, and FortiGuard security subscription services related to application control, antivirus, intrusion prevention, Web filtering, anti-spam and vulnerability management updates. We recognize revenue from subscription and support services over the service performance period. Our typical contractual support and subscription term is one year from the date of registration, although we do offer multi-year support and subscription contracts. We also generate a small portion of our revenue from professional services and training services, and we recognize this revenue as the services are provided. As a percentage of total revenue, we expect our services revenue to remain at comparable levels or increase as our customers renew existing service contracts and we expand our customer base. Our services revenue growth rate depends significantly on the growth of our customer base and the renewal of service contracts by our current customers.</w:t>
      </w:r>
    </w:p>
    <w:p>
      <w:pPr>
        <w:spacing w:after="0" w:line="81" w:lineRule="exact"/>
        <w:rPr>
          <w:rFonts w:ascii="Times New Roman" w:cs="Times New Roman" w:eastAsia="Times New Roman" w:hAnsi="Times New Roman"/>
          <w:sz w:val="18"/>
          <w:szCs w:val="18"/>
          <w:color w:val="auto"/>
        </w:rPr>
      </w:pPr>
    </w:p>
    <w:p>
      <w:pPr>
        <w:ind w:left="1300" w:right="60" w:hanging="644"/>
        <w:spacing w:after="0" w:line="273" w:lineRule="auto"/>
        <w:tabs>
          <w:tab w:leader="none" w:pos="13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Ratable and other revenue</w:t>
      </w:r>
      <w:r>
        <w:rPr>
          <w:rFonts w:ascii="Times New Roman" w:cs="Times New Roman" w:eastAsia="Times New Roman" w:hAnsi="Times New Roman"/>
          <w:sz w:val="17"/>
          <w:szCs w:val="17"/>
          <w:color w:val="auto"/>
        </w:rPr>
        <w:t>. Ratable and other revenue is generated from sales of our products and services in cases where the fair value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services being provided cannot be separated from the value of the entire sale. In these cases, the value of the entire sale is deferred and recognized ratably over the service performance period. See “—Critical Accounting Policies and Estimates—Revenue Recognition.” In fiscal 2013 and 2012, this category included a $2.8 million and $3.7 million sale of previously-acquired patents, respectively. In fiscal 2013 and 2012, ratable and other revenue represented 1% and 2% of total revenue, respectively. Over time, excluding the impact of any patent sales, we expect this category to continue to decline due to the current revenue recognition rules, which allow us to use best estimate of selling price (“BESP”) in our allocation of arrangement consideration when vendor-specific objective evidence (“VSOE”) is not available.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total cost of revenue is comprised of the following:</w:t>
      </w:r>
    </w:p>
    <w:p>
      <w:pPr>
        <w:spacing w:after="0" w:line="223" w:lineRule="exact"/>
        <w:rPr>
          <w:sz w:val="20"/>
          <w:szCs w:val="20"/>
          <w:color w:val="auto"/>
        </w:rPr>
      </w:pPr>
    </w:p>
    <w:p>
      <w:pPr>
        <w:ind w:left="1300" w:right="260" w:hanging="644"/>
        <w:spacing w:after="0" w:line="259"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product revenue</w:t>
      </w:r>
      <w:r>
        <w:rPr>
          <w:rFonts w:ascii="Times New Roman" w:cs="Times New Roman" w:eastAsia="Times New Roman" w:hAnsi="Times New Roman"/>
          <w:sz w:val="18"/>
          <w:szCs w:val="18"/>
          <w:color w:val="auto"/>
        </w:rPr>
        <w:t>. A substantial majority of the cost of product revenue consists of third-party manufacturing costs. Our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revenue also includes product testing costs, write-offs for excess and obsolete inventory, royalty payments, amortization and any impairment of applicable acquired intangible assets, warranty costs, shipping and allocated facilities costs, stock-based compensation expense, and personnel costs associated with logistics and quality control. Personnel costs include stock-based compensation and cash-based personnel costs such as salaries, benefits and bonuses.</w:t>
      </w:r>
    </w:p>
    <w:p>
      <w:pPr>
        <w:spacing w:after="0" w:line="179" w:lineRule="exact"/>
        <w:rPr>
          <w:rFonts w:ascii="Times New Roman" w:cs="Times New Roman" w:eastAsia="Times New Roman" w:hAnsi="Times New Roman"/>
          <w:sz w:val="18"/>
          <w:szCs w:val="18"/>
          <w:color w:val="auto"/>
        </w:rPr>
      </w:pPr>
    </w:p>
    <w:p>
      <w:pPr>
        <w:ind w:left="1300" w:hanging="644"/>
        <w:spacing w:after="0" w:line="259"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services revenue</w:t>
      </w:r>
      <w:r>
        <w:rPr>
          <w:rFonts w:ascii="Times New Roman" w:cs="Times New Roman" w:eastAsia="Times New Roman" w:hAnsi="Times New Roman"/>
          <w:sz w:val="18"/>
          <w:szCs w:val="18"/>
          <w:color w:val="auto"/>
        </w:rPr>
        <w:t>. Cost of services revenue is primarily comprised of cash-based personnel costs associated with our FortiGuard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Labs team and our technical support, professional services and training teams, as well as depreciation, supplies, data center, data communications, facility-related costs and stock-based compensation expense. We expect our cost of services revenue will increase slightly as a percentage of revenue as we continue to invest in subscription and support services to meet the needs of our growing customer base and service levels expected by our enterprise customers.</w:t>
      </w:r>
    </w:p>
    <w:p>
      <w:pPr>
        <w:spacing w:after="0" w:line="179" w:lineRule="exact"/>
        <w:rPr>
          <w:rFonts w:ascii="Times New Roman" w:cs="Times New Roman" w:eastAsia="Times New Roman" w:hAnsi="Times New Roman"/>
          <w:sz w:val="18"/>
          <w:szCs w:val="18"/>
          <w:color w:val="auto"/>
        </w:rPr>
      </w:pPr>
    </w:p>
    <w:p>
      <w:pPr>
        <w:ind w:left="1300" w:right="220" w:hanging="644"/>
        <w:spacing w:after="0" w:line="284"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ratable and other revenue</w:t>
      </w:r>
      <w:r>
        <w:rPr>
          <w:rFonts w:ascii="Times New Roman" w:cs="Times New Roman" w:eastAsia="Times New Roman" w:hAnsi="Times New Roman"/>
          <w:sz w:val="18"/>
          <w:szCs w:val="18"/>
          <w:color w:val="auto"/>
        </w:rPr>
        <w:t>. Cost of ratable and other revenue is comprised primarily of deferred product costs and services-related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w:t>
      </w:r>
    </w:p>
    <w:p>
      <w:pPr>
        <w:spacing w:after="0" w:line="158"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as a percentage of revenue, or gross margin, has been and will continue to be affected by a variety of factors,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sales price of our products, any excess inventory write-offs, product costs, the mix of products sold and the mix of revenue between products and services. We believe our overall gross margin for the near term will remain at levels comparable or slightly lower to that achieved in fiscal 2013.</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Services revenue has historically increased as a percentage of total revenue since inception, and this trend has had a positive effect on our total gross margin given the higher services gross margins compared to product gross margins. During fiscal 2013 service margins decreased slightly from fiscal 2012 as we made the decision to invest in support services infrastructure that will allow us to both expand our base of enterprise customers and to support future growth and higher service levels to our existing enterprise customers.</w:t>
      </w:r>
    </w:p>
    <w:p>
      <w:pPr>
        <w:spacing w:after="0" w:line="17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Our operating expenses consist of research and development, sales and marketing and general and administrative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costs are the most significant component of operating expenses and consist of cash-based personnel costs such as salaries, benefits, bonuses, and sales commissions. They also include non-cash charges, specifically, stock-based compensation expense. We expect personnel costs to continue to increase in absolute dollars as we hire new employees.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ind w:left="1300" w:hanging="644"/>
        <w:spacing w:after="0" w:line="259"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 consists primarily of cash-based personnel costs. Additional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expenses include ASIC and system prototypes and certification-related expenses, depreciation of capital equipment, facility-related expenses and stock-based compensation expenses. The majority of our research and development is focused on both software development and the ongoing development of our hardware platform. We record all research and development expenses as incurred, except for capital equipment which is depreciated over time. Our development teams are primarily located in Canada, China, and the United States.</w:t>
      </w:r>
    </w:p>
    <w:p>
      <w:pPr>
        <w:spacing w:after="0" w:line="179" w:lineRule="exact"/>
        <w:rPr>
          <w:rFonts w:ascii="Times New Roman" w:cs="Times New Roman" w:eastAsia="Times New Roman" w:hAnsi="Times New Roman"/>
          <w:sz w:val="18"/>
          <w:szCs w:val="18"/>
          <w:color w:val="auto"/>
        </w:rPr>
      </w:pPr>
    </w:p>
    <w:p>
      <w:pPr>
        <w:ind w:left="1300" w:right="120" w:hanging="644"/>
        <w:spacing w:after="0" w:line="257"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 is the largest component of our operating expenses and primarily consists of cash-based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costs including salary, benefits and commissions. Additional sales and marketing expenses include stock-based compensation expense, promotional and other marketing expenses, travel, depreciation of capital equipment and facility-related expenses. We intend to hire additional personnel focused on sales and marketing and expand our sales and marketing efforts worldwide in order to increase our presence in new geographic markets and enterprise verticals, add new customers and increase penetration within our existing customer base.</w:t>
      </w:r>
    </w:p>
    <w:p>
      <w:pPr>
        <w:spacing w:after="0" w:line="182" w:lineRule="exact"/>
        <w:rPr>
          <w:rFonts w:ascii="Times New Roman" w:cs="Times New Roman" w:eastAsia="Times New Roman" w:hAnsi="Times New Roman"/>
          <w:sz w:val="18"/>
          <w:szCs w:val="18"/>
          <w:color w:val="auto"/>
        </w:rPr>
      </w:pPr>
    </w:p>
    <w:p>
      <w:pPr>
        <w:ind w:left="1300" w:right="140" w:hanging="644"/>
        <w:spacing w:after="0" w:line="261"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 consists of cash-based personnel costs as well as professional fees, stock-based compensation expense, depreciation of capital equipment and software, and facility-related expenses. General and administrative personnel include our executive, finance, human resources, information technology and legal organizations. Our professional fees principally consist of outside legal, auditing, accounting, information technology and other consulting costs.</w:t>
      </w:r>
    </w:p>
    <w:p>
      <w:pPr>
        <w:spacing w:after="0" w:line="180"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of income earned on our cash, cash equivalents and investments. We have historically invested our cash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money market funds, commercial paper, corporate debt securities, municipal bonds, certificates of deposit and term deposits, and U.S. government and agency debt securities.</w:t>
      </w:r>
    </w:p>
    <w:p>
      <w:pPr>
        <w:spacing w:after="0" w:line="174"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Other expense, net consists primarily of foreign exchange and related hedging gains and losses. Foreign exchange gains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relate to foreign currency exchange re-measurement. The hedging gains and losses are related to our settled balance sheet hedges.</w:t>
      </w:r>
    </w:p>
    <w:p>
      <w:pPr>
        <w:spacing w:after="0" w:line="158" w:lineRule="exact"/>
        <w:rPr>
          <w:sz w:val="20"/>
          <w:szCs w:val="20"/>
          <w:color w:val="auto"/>
        </w:rPr>
      </w:pPr>
    </w:p>
    <w:p>
      <w:pPr>
        <w:ind w:right="28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We are subject to tax in the United States as well as other tax jurisdictions or countries in which we conduct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from our non-U.S. activities are subject to income taxes in the local country which are generally lower than U.S. tax rates, and may be subject to U.S. income taxes. Our effective tax rate differs from the U.S. statutory rate primarily due to foreign income subject to different tax rates than the U.S., research and development tax credits, withholding taxes, nondeductible stock-based compensation expense and adjustments related to our intercompany transfer pricing.</w:t>
      </w:r>
    </w:p>
    <w:p>
      <w:pPr>
        <w:spacing w:after="0" w:line="182"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The income tax provision for fiscal 2013 was comprised primarily of domestic income taxes, foreign income taxes and withholding taxes. Our effective tax rate approximates the U.S. federal statutory tax rates plus the impact of state taxes, research and development tax credits (when applicable), withholding tax, nondeductible stock-based compensation expense, foreign income subject to lower tax than the U.S., and adjustments related to intercompany transfer pricing.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cash flow and related disclosure of contingent assets and liabilities. Our estimates include those related to revenue recognition, stock-based compensation expense, valuation of inventory, warranty liabilities, goodwill and other long-lived assets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of our significant accounting policies, which are described in Note 1 to our consolidated financial statements included in Part II, Item 8 of this Annual Report on Form 10-K, the following accounting policies involve a greater degree of judgment and complexity. Accordingly, we believe these are the most critical to fully understand and evaluate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derive revenue from sales of products, including appliances and software, and services, including subscription, support and other services. The majority of our products are hardware appliances containing software components that function together to provide the essential functionality of the product. We record revenue from our hardware appliances in accordance with general revenue recognition accounting guidance.</w:t>
      </w:r>
    </w:p>
    <w:p>
      <w:pPr>
        <w:spacing w:after="0" w:line="17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Our product revenue also includes software products that may operate on the hardware appliances, but are not considered essential to the functionality of the hardware and are subject to the industry-specific software revenue recognition guidance. Certain of our software, when sold with our appliances, is considered essential to the functionality of the appliances and, as a result, is accounted for as non-software deliverables. However, this same software, if sold separately, is accounted for under industry-specific software revenue recognition guidance.</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When a sales arrangement contains multiple elements, such as hardware appliances, software, customer support services, and/or professional services, we allocate revenue to each element based on a selling price hierarchy. In multiple element arrangements where software is more-than-incidental, revenue is allocated to each separate unit of accounting for each of the non-software deliverables and to the software deliverables as a group using the relative selling prices of each of the deliverables in the arrangement based on the selling price hierarchy. When applying the relative selling price method, we determine the selling price for each deliverable using vendor-specific objective evidence (“VSOE”) of selling price, if it exists, or third-party evidence (“TPE”) of selling price. If neither VSOE nor TPE of selling price exist for a deliverable, we use our best estimate of selling price ("BESP") for that deliverable. Revenue allocated to each element is then recognized when the basic revenue recognition criteria are met for each element.</w:t>
      </w:r>
    </w:p>
    <w:p>
      <w:pPr>
        <w:spacing w:after="0" w:line="189" w:lineRule="exact"/>
        <w:rPr>
          <w:sz w:val="20"/>
          <w:szCs w:val="20"/>
          <w:color w:val="auto"/>
        </w:rPr>
      </w:pPr>
    </w:p>
    <w:p>
      <w:pPr>
        <w:ind w:right="500" w:firstLine="648"/>
        <w:spacing w:after="0" w:line="289" w:lineRule="auto"/>
        <w:rPr>
          <w:sz w:val="20"/>
          <w:szCs w:val="20"/>
          <w:color w:val="auto"/>
        </w:rPr>
      </w:pPr>
      <w:r>
        <w:rPr>
          <w:rFonts w:ascii="Times New Roman" w:cs="Times New Roman" w:eastAsia="Times New Roman" w:hAnsi="Times New Roman"/>
          <w:sz w:val="17"/>
          <w:szCs w:val="17"/>
          <w:color w:val="auto"/>
        </w:rPr>
        <w:t>VSOE of fair value for elements of an arrangement is based upon the normal pricing and discounting practices for those services when sold separately. In establishing VSOE, we require that a substantial majority of the selling prices for a service fall within a reasonably narrow pricing range, generally evidenced by a substantial majority of such historical stand-alone transactions falling within a reasonably narrow range of the median rates.</w:t>
      </w:r>
    </w:p>
    <w:p>
      <w:pPr>
        <w:spacing w:after="0" w:line="15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are typically not able to determine TPE for our products or services. TPE is determined based on competitor prices for similar deliverables when sold separately, which is generally unavailable.</w:t>
      </w:r>
    </w:p>
    <w:p>
      <w:pPr>
        <w:spacing w:after="0" w:line="16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For our hardware appliances, we use BESP as our selling price. For our support and other services, we generally use VSOE as our selling price estimate. When we are unable to establish a selling price using VSOE for our support and other services, we use BESP in our allocation of arrangement consideration. The objective of BESP is to determine the price at which we would transact a sale if the product or service were sold on a stand-alone basis. We determine BESP for a product or service by considering multiple factors including, but not limited to, cost of products, gross margin objectives, pricing practices, geographies, customer classes and distribution channels.</w:t>
      </w:r>
    </w:p>
    <w:p>
      <w:pPr>
        <w:spacing w:after="0" w:line="18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recognize revenue for our software sales based on industry-specific software revenue recognition guidance. Under industry-specific software revenue recognition guidance, we use the residual method to recognize revenue when a product agreement includes one or more elements to be delivered and VSOE of fair value for all undelivered elements exists. If evidence of the fair value of one or more undelivered elements does not exist, all revenue is generally deferred and recognized when delivery of those elements occurs or when fair value can be established. When the undelivered element for which we do not have VSOE of fair value is support, revenue for the entire arrangement is recognized ratably over the support period.</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is recognized when all of the following criteria have been met:</w:t>
      </w:r>
    </w:p>
    <w:p>
      <w:pPr>
        <w:spacing w:after="0" w:line="223" w:lineRule="exact"/>
        <w:rPr>
          <w:sz w:val="20"/>
          <w:szCs w:val="20"/>
          <w:color w:val="auto"/>
        </w:rPr>
      </w:pPr>
    </w:p>
    <w:p>
      <w:pPr>
        <w:ind w:left="1300" w:right="340" w:hanging="644"/>
        <w:spacing w:after="0" w:line="284"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Persuasive evidence of an arrangement exists. </w:t>
      </w:r>
      <w:r>
        <w:rPr>
          <w:rFonts w:ascii="Times New Roman" w:cs="Times New Roman" w:eastAsia="Times New Roman" w:hAnsi="Times New Roman"/>
          <w:sz w:val="18"/>
          <w:szCs w:val="18"/>
          <w:color w:val="auto"/>
        </w:rPr>
        <w:t>Binding contracts or purchase orders are generally used to determine the existence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w:t>
      </w:r>
    </w:p>
    <w:p>
      <w:pPr>
        <w:spacing w:after="0" w:line="158" w:lineRule="exact"/>
        <w:rPr>
          <w:rFonts w:ascii="Times New Roman" w:cs="Times New Roman" w:eastAsia="Times New Roman" w:hAnsi="Times New Roman"/>
          <w:sz w:val="18"/>
          <w:szCs w:val="18"/>
          <w:color w:val="auto"/>
        </w:rPr>
      </w:pPr>
    </w:p>
    <w:p>
      <w:pPr>
        <w:ind w:left="1300" w:right="300" w:hanging="644"/>
        <w:spacing w:after="0" w:line="267"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has occurred or services have been rendered. </w:t>
      </w:r>
      <w:r>
        <w:rPr>
          <w:rFonts w:ascii="Times New Roman" w:cs="Times New Roman" w:eastAsia="Times New Roman" w:hAnsi="Times New Roman"/>
          <w:sz w:val="18"/>
          <w:szCs w:val="18"/>
          <w:color w:val="auto"/>
        </w:rPr>
        <w:t>Delivery occurs when we fulfill an order and title and risk of loss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Services revenue is deferred and recognized ratably over the period during which the services are to be performed, which is typically from one to three years. Professional service revenue is recognized upon delivery or completion of performance.</w:t>
      </w:r>
    </w:p>
    <w:p>
      <w:pPr>
        <w:spacing w:after="0" w:line="173" w:lineRule="exact"/>
        <w:rPr>
          <w:rFonts w:ascii="Times New Roman" w:cs="Times New Roman" w:eastAsia="Times New Roman" w:hAnsi="Times New Roman"/>
          <w:sz w:val="18"/>
          <w:szCs w:val="18"/>
          <w:color w:val="auto"/>
        </w:rPr>
      </w:pPr>
    </w:p>
    <w:p>
      <w:pPr>
        <w:ind w:left="1300" w:right="20" w:hanging="644"/>
        <w:spacing w:after="0" w:line="261"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price is fixed or determinable. </w:t>
      </w:r>
      <w:r>
        <w:rPr>
          <w:rFonts w:ascii="Times New Roman" w:cs="Times New Roman" w:eastAsia="Times New Roman" w:hAnsi="Times New Roman"/>
          <w:sz w:val="18"/>
          <w:szCs w:val="18"/>
          <w:color w:val="auto"/>
        </w:rPr>
        <w:t>We assess whether the sales price is fixed or determinable based on the payment terms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transaction and whether the sales price is subject to refund or adjustment. In the event payment terms differ from our standard business practices, the sales price is deemed to be not fixed or determinable and revenue is recognized when the payments become due, provided the remaining</w:t>
      </w: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80"/>
          </w:cols>
          <w:pgMar w:left="240" w:top="118" w:right="27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75" w:lineRule="exact"/>
        <w:rPr>
          <w:sz w:val="20"/>
          <w:szCs w:val="20"/>
          <w:color w:val="auto"/>
        </w:rPr>
      </w:pPr>
    </w:p>
    <w:p>
      <w:pPr>
        <w:ind w:left="1300" w:right="60"/>
        <w:spacing w:after="0" w:line="313" w:lineRule="auto"/>
        <w:rPr>
          <w:sz w:val="20"/>
          <w:szCs w:val="20"/>
          <w:color w:val="auto"/>
        </w:rPr>
      </w:pPr>
      <w:r>
        <w:rPr>
          <w:rFonts w:ascii="Times New Roman" w:cs="Times New Roman" w:eastAsia="Times New Roman" w:hAnsi="Times New Roman"/>
          <w:sz w:val="18"/>
          <w:szCs w:val="18"/>
          <w:color w:val="auto"/>
        </w:rPr>
        <w:t>criteria for revenue recognition have been met. In the event the sales price is subject to refund or adjustment, the sales price is deemed to be not fixed or determinable and revenue is recognized when the refund or adjustment privileges expire provided the remaining criteria for revenue recognition have been met.</w:t>
      </w:r>
    </w:p>
    <w:p>
      <w:pPr>
        <w:spacing w:after="0" w:line="147" w:lineRule="exact"/>
        <w:rPr>
          <w:sz w:val="20"/>
          <w:szCs w:val="20"/>
          <w:color w:val="auto"/>
        </w:rPr>
      </w:pPr>
    </w:p>
    <w:p>
      <w:pPr>
        <w:ind w:left="1300" w:right="620" w:hanging="644"/>
        <w:spacing w:after="0" w:line="284"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Collectibility is reasonably assured</w:t>
      </w:r>
      <w:r>
        <w:rPr>
          <w:rFonts w:ascii="Times New Roman" w:cs="Times New Roman" w:eastAsia="Times New Roman" w:hAnsi="Times New Roman"/>
          <w:sz w:val="18"/>
          <w:szCs w:val="18"/>
          <w:color w:val="auto"/>
        </w:rPr>
        <w:t>. We assess collectibility based primarily on creditworthiness as determined by credit checks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analysis, as well as payment history.</w:t>
      </w:r>
    </w:p>
    <w:p>
      <w:pPr>
        <w:spacing w:after="0" w:line="16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For arrangements which include end-customer acceptance criteria, revenue is recognized upon acceptance. We recognize product revenue on sales to distributors that have no general right of return and direct sales to end-customers upon shipment, once all other revenue recognition criteria have been met. Certain distributors that stock our products are granted stock rotation rights, limited rights of return as well as rebates for sales of our products. The arrangement fee for this group of distributors is not fixed and determinable when products are shipped and revenue is therefore deferred and recognized upon sell-through. Substantially all of our products have been sold in combination with services, which consist of subscriptions and/or support. Subscription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subscription and support services start on the date the customer registers the appliance. The customer is then entitled to service for the stated contractual period beginning on the registration date.</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offer certain sales incentives to channel partners. We reduce revenue for estimates of sales returns and allowances.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Employees Stock Options. </w:t>
      </w:r>
      <w:r>
        <w:rPr>
          <w:rFonts w:ascii="Times New Roman" w:cs="Times New Roman" w:eastAsia="Times New Roman" w:hAnsi="Times New Roman"/>
          <w:sz w:val="18"/>
          <w:szCs w:val="18"/>
          <w:color w:val="auto"/>
        </w:rPr>
        <w:t>We estimate the fair value of employee stock options using the Black-Scholes-Merton (“Black-Scholes”) pricing model.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all employee stock options, we recognize expense over the requisite service period using the straight-line method. Our option pricing model requires the input of highly subjective assumptions, including the expected stock price volatility, expected term, and forfeiture rate. Any changes in these highly subjective assumptions could significantly impact stock-based compensation expense.</w:t>
      </w:r>
    </w:p>
    <w:p>
      <w:pPr>
        <w:spacing w:after="0" w:line="180" w:lineRule="exact"/>
        <w:rPr>
          <w:sz w:val="20"/>
          <w:szCs w:val="20"/>
          <w:color w:val="auto"/>
        </w:rPr>
      </w:pPr>
    </w:p>
    <w:p>
      <w:pPr>
        <w:jc w:val="both"/>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Employee Stock Purchase Plan. </w:t>
      </w:r>
      <w:r>
        <w:rPr>
          <w:rFonts w:ascii="Times New Roman" w:cs="Times New Roman" w:eastAsia="Times New Roman" w:hAnsi="Times New Roman"/>
          <w:sz w:val="18"/>
          <w:szCs w:val="18"/>
          <w:color w:val="auto"/>
        </w:rPr>
        <w:t>We estimate the fair value of the rights to acquire stock under our employee stock purchase plan (“ESPP”)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Black-Scholes pricing model and is amortized over the requisite service period using the straight-line method. Our ESPP provides for consecutive six-month offering periods and we use our own historical volatility data in the valuation of ESPP shares.</w:t>
      </w:r>
    </w:p>
    <w:p>
      <w:pPr>
        <w:spacing w:after="0" w:line="17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We account for the fair value of restricted stock units (“RSUs”) awarded to employees and members of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closing market price of our common stock on the date of grant. RSUs are payable in shares of our common stock as the periodic vesting requirements are satisfied. RSUs generally vest over a four-year period if the employees, non-employees, or directors, as applicable, remain with us for the duration of the vesting period. For all RSUs, we recognize expense over the requisite service period using the straight-line method.</w:t>
      </w:r>
    </w:p>
    <w:p>
      <w:pPr>
        <w:spacing w:after="0" w:line="180"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Performance Stock Units. </w:t>
      </w:r>
      <w:r>
        <w:rPr>
          <w:rFonts w:ascii="Times New Roman" w:cs="Times New Roman" w:eastAsia="Times New Roman" w:hAnsi="Times New Roman"/>
          <w:sz w:val="18"/>
          <w:szCs w:val="18"/>
          <w:color w:val="auto"/>
        </w:rPr>
        <w:t>Performance Stock Units (“PSUs”) are RSUs that contain both service-based and market-based vesting conditions. PSUs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 over a specified service period upon the satisfaction of certain market-based vesting conditions, and settle into shares of our common stock upon vesting over a two- or three-year period. The fair value of a PSU is calculated using the Monte Carlo simulation model on the date of grant and is based on the market price of our common stock on the date of grant modified to reflect the impact of the market-based vesting condition, including the estimated payout level based on that condition. We do not adjust compensation cost for subsequent changes in the expected outcome of the market-based vesting conditions.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of Inventory</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Inventory is recorded at the lower of average cost or market, after we give appropriate consideration to obsolescence and inventory in excess of anticipated future demand. In assessing the ultimate recoverability of inventory, we are required to make estimates regarding future customer demand, the timing of new product introductions, economic trends and market conditions. If the actual product demand is significantly lower than forecasted, we could be required to record additional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inventory write-downs which would be charged to cost of product revenue. Any write-downs could have an adverse impact on our gross margins and profitability.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Warranty Liabilities</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generally provide a one-year warranty on hardware products and a 90-day warranty on software. A provision for estimated future costs related to warranty activities is charged to cost of product revenue based upon historical product failure rates and historical costs incurred in correcting product failures. If we experience an increase in warranty claims compared with our historical experience, or if the cost of servicing warranty claims is greater than expected, our gross margin could be adversely affected.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22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record income taxes using the asset and liability method, which requires the recognition of deferred tax assets and liabilities for the expected future tax consequences of events that have been recognized in our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operate in various tax jurisdictions and are subject to audit by various tax authorities. We provide for tax contingencies whenever it is deemed more likely than not that a tax asset has been impaired or a tax liability has been incurred for events such as tax claims or changes in tax laws. Tax contingencies are based upon their technical merits, relevant tax law and the specific facts and circumstances as of each reporting period. Changes in facts and circumstances could result in material changes to the amounts recorded for such tax contingencies.</w:t>
      </w:r>
    </w:p>
    <w:p>
      <w:pPr>
        <w:spacing w:after="0" w:line="180"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account for uncertain tax positions in accordance with GAAP, which defines the confidence level that a tax position must meet in order to be recognized in the financial statements. The tax effects of a position are recognized only if it is “more likely than not” to be sustained based solely on its technical merits as of the reporting date. We consider many factors when evaluating and estimating our tax positions and tax benefits, which may require periodic adjustments and which may not accurately anticipate actual outcomes.</w:t>
      </w:r>
    </w:p>
    <w:p>
      <w:pPr>
        <w:spacing w:after="0" w:line="18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our consolidated balance sheets. In general, deferred tax assets represent future tax benefits to be received when certain expenses previously recognized in our consolidated statements of operations become deductible expenses under applicable income tax laws, or loss or credit carryforwards are utilized.</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the deferred tax assets by evaluating both positive and negative evidence that may exist. Any adjustment to the net deferred tax asset valuation allowance would be recorded in the income statement for the period that the adjustment is determined to be required.</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make estimates and judgments about our future taxable income that are based on assumptions that are consistent with our plans and estimates.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the actual amounts differ from our estimates, the amount of our tax expense and liabilities could be materially impacted.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our total revenue for those periods. The period-to-period comparison of financial results is not necessarily indicative of financial results to be achieved in future periods.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540" w:type="dxa"/>
            <w:vAlign w:val="bottom"/>
          </w:tcPr>
          <w:p>
            <w:pPr>
              <w:spacing w:after="0"/>
              <w:rPr>
                <w:sz w:val="20"/>
                <w:szCs w:val="20"/>
                <w:color w:val="auto"/>
              </w:rPr>
            </w:pPr>
          </w:p>
        </w:tc>
        <w:tc>
          <w:tcPr>
            <w:tcW w:w="3240" w:type="dxa"/>
            <w:vAlign w:val="bottom"/>
            <w:gridSpan w:val="2"/>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100" w:type="dxa"/>
            <w:vAlign w:val="bottom"/>
          </w:tcPr>
          <w:p>
            <w:pPr>
              <w:spacing w:after="0"/>
              <w:rPr>
                <w:sz w:val="20"/>
                <w:szCs w:val="20"/>
                <w:color w:val="auto"/>
              </w:rPr>
            </w:pPr>
          </w:p>
        </w:tc>
        <w:tc>
          <w:tcPr>
            <w:tcW w:w="1700" w:type="dxa"/>
            <w:vAlign w:val="bottom"/>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2011</w:t>
            </w: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 amounts in 000’s)</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Data:</w:t>
            </w:r>
          </w:p>
        </w:tc>
        <w:tc>
          <w:tcPr>
            <w:tcW w:w="15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5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3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278,046</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248,948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197,408</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Services</w:t>
            </w:r>
          </w:p>
        </w:tc>
        <w:tc>
          <w:tcPr>
            <w:tcW w:w="3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329,723</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274,043</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220,268</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Ratable and other revenue</w:t>
            </w:r>
          </w:p>
        </w:tc>
        <w:tc>
          <w:tcPr>
            <w:tcW w:w="15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7,528</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10,648</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15,900</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520" w:type="dxa"/>
            <w:vAlign w:val="bottom"/>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615,297</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533,639</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433,576</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15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3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114,611</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93,971</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73,201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Services</w:t>
            </w:r>
          </w:p>
        </w:tc>
        <w:tc>
          <w:tcPr>
            <w:tcW w:w="3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64,123</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50,682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35,486</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Ratable and other revenue</w:t>
            </w:r>
          </w:p>
        </w:tc>
        <w:tc>
          <w:tcPr>
            <w:tcW w:w="3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4,911</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 of revenues</w:t>
            </w:r>
          </w:p>
        </w:tc>
        <w:tc>
          <w:tcPr>
            <w:tcW w:w="3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180,643</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147,420</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113,598</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52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3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163,435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154,977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124,207</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Services</w:t>
            </w:r>
          </w:p>
        </w:tc>
        <w:tc>
          <w:tcPr>
            <w:tcW w:w="3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265,600</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223,361</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184,782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Ratable and other revenue</w:t>
            </w:r>
          </w:p>
        </w:tc>
        <w:tc>
          <w:tcPr>
            <w:tcW w:w="15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5,619</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7,881</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10,989</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gross profit</w:t>
            </w:r>
          </w:p>
        </w:tc>
        <w:tc>
          <w:tcPr>
            <w:tcW w:w="1520" w:type="dxa"/>
            <w:vAlign w:val="bottom"/>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434,654</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386,219</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319,978</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5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102,660</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81,078</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63,577</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Sales and marketing</w:t>
            </w:r>
          </w:p>
        </w:tc>
        <w:tc>
          <w:tcPr>
            <w:tcW w:w="3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224,991</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179,155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145,532</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34,913</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25,511</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21,965</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362,564</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285,744</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231,074</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520" w:type="dxa"/>
            <w:vAlign w:val="bottom"/>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72,090</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100,475</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88,904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3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5,306</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5,006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3,523</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75,941</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104,996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92,073</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31,668</w:t>
            </w:r>
          </w:p>
        </w:tc>
        <w:tc>
          <w:tcPr>
            <w:tcW w:w="1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38,160</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29,581</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44,273</w:t>
            </w:r>
          </w:p>
        </w:tc>
        <w:tc>
          <w:tcPr>
            <w:tcW w:w="12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66,836</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62,492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45</w:t>
            </w: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7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7240" w:type="dxa"/>
            <w:vAlign w:val="bottom"/>
            <w:gridSpan w:val="2"/>
          </w:tcPr>
          <w:p>
            <w:pPr>
              <w:ind w:left="6760"/>
              <w:spacing w:after="0"/>
              <w:rPr>
                <w:sz w:val="20"/>
                <w:szCs w:val="20"/>
                <w:color w:val="auto"/>
              </w:rPr>
            </w:pPr>
            <w:r>
              <w:rPr>
                <w:rFonts w:ascii="Times New Roman" w:cs="Times New Roman" w:eastAsia="Times New Roman" w:hAnsi="Times New Roman"/>
                <w:sz w:val="16"/>
                <w:szCs w:val="16"/>
                <w:b w:val="1"/>
                <w:bCs w:val="1"/>
                <w:color w:val="auto"/>
              </w:rPr>
              <w:t>2013</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100" w:type="dxa"/>
            <w:vAlign w:val="bottom"/>
          </w:tcPr>
          <w:p>
            <w:pPr>
              <w:spacing w:after="0"/>
              <w:rPr>
                <w:sz w:val="20"/>
                <w:szCs w:val="20"/>
                <w:color w:val="auto"/>
              </w:rPr>
            </w:pPr>
          </w:p>
        </w:tc>
        <w:tc>
          <w:tcPr>
            <w:tcW w:w="1700" w:type="dxa"/>
            <w:vAlign w:val="bottom"/>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2011</w:t>
            </w:r>
          </w:p>
        </w:tc>
      </w:tr>
      <w:tr>
        <w:trPr>
          <w:trHeight w:val="33"/>
        </w:trPr>
        <w:tc>
          <w:tcPr>
            <w:tcW w:w="60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 of total revenue)</w:t>
            </w:r>
          </w:p>
        </w:tc>
        <w:tc>
          <w:tcPr>
            <w:tcW w:w="17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7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Services</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7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Ratable and other revenue</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60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cost of revenue</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60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gross profit</w:t>
            </w:r>
          </w:p>
        </w:tc>
        <w:tc>
          <w:tcPr>
            <w:tcW w:w="1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2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7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Sales and marketing</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60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1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6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60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Fiscal Years 2013 and 2012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gridSpan w:val="3"/>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w w:val="97"/>
              </w:rPr>
              <w:t>Fiscal Year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w w:val="93"/>
              </w:rPr>
              <w:t>2013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w w:val="93"/>
              </w:rPr>
              <w:t>2012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 of</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 of</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4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3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amounts in 000’s)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29,098</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55,680</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Ratable and other revenue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615,297</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533,639</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81,658</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Revenue by geography:</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Americas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35,730</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5"/>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(“EMEA”)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24,804</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Asia Pacific and Japan (“APAC”)</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132,408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21,124</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615,297</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533,639</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81,658</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Total revenue increased by $81.7 million, or 15%, in fiscal 2013 compared to fiscal 2012. The Americas region contributed the largest portion of our revenue growth on an absolute dollar basis and all three regions showed growth on a percentage basis. The growth in EMEA was slightly lower due to a slowdown in the macroeconomic environment in that area. Product revenue increased by $29.1 million, or 12%, compared to fiscal 2012. The increase in product revenue was primarily driven by greater sales volume in our FortiGate product family due to increased demand across all product categories from our entry-level and mid-range products for smaller enterprises and branch deployments to our high-end products for large enterprise and service provider customers. Services revenue increased by $55.7 million, or 20%, in fiscal 2013 compared to fiscal 2012 due to the recognition of revenue from our growing deferred revenue balance consisting of subscription and support contracts sold to a larger customer base. The decrease in ratable and other revenue of $3.1 million was primarily due to the</w:t>
      </w:r>
    </w:p>
    <w:p>
      <w:pPr>
        <w:sectPr>
          <w:pgSz w:w="11900" w:h="16838" w:orient="portrait"/>
          <w:cols w:equalWidth="0" w:num="1">
            <w:col w:w="11420"/>
          </w:cols>
          <w:pgMar w:left="240" w:top="118"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8" w:right="239" w:bottom="1440" w:gutter="0" w:footer="0" w:header="0"/>
          <w:type w:val="continuous"/>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continuing decline in amortization of ratable revenue. Ratable and other revenue for fiscal 2013 included a $2.8 million sale of previously-acquired patents, as compared to a $3.7 million sale of previously-acquired patents in fiscal 2012.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1"/>
        </w:trPr>
        <w:tc>
          <w:tcPr>
            <w:tcW w:w="4880" w:type="dxa"/>
            <w:vAlign w:val="bottom"/>
            <w:gridSpan w:val="2"/>
          </w:tcPr>
          <w:p>
            <w:pPr>
              <w:ind w:left="4540"/>
              <w:spacing w:after="0"/>
              <w:rPr>
                <w:sz w:val="20"/>
                <w:szCs w:val="20"/>
                <w:color w:val="auto"/>
              </w:rPr>
            </w:pPr>
            <w:r>
              <w:rPr>
                <w:rFonts w:ascii="Times New Roman" w:cs="Times New Roman" w:eastAsia="Times New Roman" w:hAnsi="Times New Roman"/>
                <w:sz w:val="16"/>
                <w:szCs w:val="16"/>
                <w:b w:val="1"/>
                <w:bCs w:val="1"/>
                <w:color w:val="auto"/>
                <w:w w:val="99"/>
              </w:rPr>
              <w:t>2013</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2012</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92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w w:val="99"/>
              </w:rPr>
              <w:t>($ amounts in 000’s)</w:t>
            </w:r>
          </w:p>
        </w:tc>
        <w:tc>
          <w:tcPr>
            <w:tcW w:w="11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114,611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93,971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20,640</w:t>
            </w:r>
          </w:p>
        </w:tc>
        <w:tc>
          <w:tcPr>
            <w:tcW w:w="1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8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Services</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64,123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50,682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13,441</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4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Ratable and other revenue</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2,767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
        </w:trPr>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57"/>
        </w:trPr>
        <w:tc>
          <w:tcPr>
            <w:tcW w:w="4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 of revenue</w:t>
            </w:r>
          </w:p>
        </w:tc>
        <w:tc>
          <w:tcPr>
            <w:tcW w:w="7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180,643</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147,420</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33,223</w:t>
            </w:r>
          </w:p>
        </w:tc>
        <w:tc>
          <w:tcPr>
            <w:tcW w:w="1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r>
      <w:tr>
        <w:trPr>
          <w:trHeight w:val="230"/>
        </w:trPr>
        <w:tc>
          <w:tcPr>
            <w:tcW w:w="4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margin (%):</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8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Services</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9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8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Ratable and other revenue</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gross margin</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920" w:type="dxa"/>
            <w:vAlign w:val="bottom"/>
          </w:tcPr>
          <w:p>
            <w:pPr>
              <w:spacing w:after="0"/>
              <w:rPr>
                <w:sz w:val="21"/>
                <w:szCs w:val="21"/>
                <w:color w:val="auto"/>
              </w:rPr>
            </w:pPr>
          </w:p>
        </w:tc>
      </w:tr>
    </w:tbl>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Total gross margin decreased by 1.8 percentage points in fiscal 2013 compared to fiscal 2012, as both product and services gross margins declined. Product gross margin decreased by 3.5 percentage points in fiscal 2013 compared to fiscal 2012 primarily due to a slightly higher mix of sales of entry-level products, particularly several high-volume distributed enterprise, retail and education deals sold in the fourth quarter of fiscal 2013. We also experienced the impact from higher costs related to warranty-related costs which increased by $2.5 million, freight costs which increased by $1.5 million, occupancy-related costs which increased by $1.1 million and higher excess inventory write-offs of $0.7 million. Services gross margin decreased by 0.9 percentage points during fiscal 2013 primarily due to our continued investments in our technical support organization to accommodate our expanding customer base and higher service level expectations from our enterprise customers. In addition, we experienced growth in our professional consulting services which have lower gross margins than our support and subscription businesses. Cost of services revenue increased by $13.4 million primarily due to a $9.9 million increase in cash-based personnel costs related to headcount increases, a $1.1 million increase in stock-based compensation expense, and a $2.4 million increase in depreciation and other expenses.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gridSpan w:val="3"/>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w w:val="97"/>
              </w:rPr>
              <w:t>Fiscal Year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w w:val="93"/>
              </w:rPr>
              <w:t>2013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gridSpan w:val="3"/>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3"/>
              </w:rPr>
              <w:t>2012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 of</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2"/>
        </w:trPr>
        <w:tc>
          <w:tcPr>
            <w:tcW w:w="334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36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 amounts in 000’s)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21,582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45,836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9,402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362,564</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285,744</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76,820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by $21.6 million, or 27%, in fiscal 2013 compared to fiscal 2012 primarily due to an increase of $11.7 million in cash-based personnel costs as a result of increased headcount to support the development of new products and continued enhancements of our existing products. In addition, we incurred higher stock-based compensation expense of $4.0 million, product development expenses, such as third-party testing and prototypes, of $2.0 million, acquisition-related costs of $1.9 million, and depreciation and other expenses of $2.1 million. We intend to continue to invest in our research and development organization but expect research and development expense as a percentage of revenue to remain at comparable levels in fiscal 2014.</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 increased by $45.8 million, or 26%, in fiscal 2013 compared to fiscal 2012, primarily due to an increase of $25.6 million in cash-based personnel costs as we continued to increase our sales headcount in order to expand our global footprint. In addition, we incurred increases in stock-based compensation expense of $6.7 million, marketing-related expenses of $5.4 million, travel expenses of $3.9 million, depreciation expenses of $2.1 million, and other expenses of $2.1 million. As a percentage of revenue, sales and marketing expenses increased as we accelerated the investment in our sales force during fiscal 2013 to support future growth. We intend to continue to make investments in our sales resources and infrastructure, which are critical to support sustainable growth and expect sales and marketing expense as a percentage of revenue to increase in fiscal 2014.</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increased by $9.4 million, or 37%, in fiscal 2013 compared to fiscal 2012. Cash-based personnel costs increased by $3.4 million and stock-based compensation expense increased by $1.8 million as we continued to increase our headcount in order to support our expanding business. In addition, we incurred an additional $3.9 million of legal and accounting fees and $0.3 million in higher depreciation. We expect general and administrative expense as a percentage of revenue to remain at comparable levels in fiscal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expense, net</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tcPr>
          <w:p>
            <w:pPr>
              <w:jc w:val="right"/>
              <w:ind w:right="694"/>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1"/>
        </w:trPr>
        <w:tc>
          <w:tcPr>
            <w:tcW w:w="4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2013</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2012</w:t>
            </w: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80" w:type="dxa"/>
            <w:vAlign w:val="bottom"/>
          </w:tcPr>
          <w:p>
            <w:pPr>
              <w:jc w:val="right"/>
              <w:ind w:right="873"/>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162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 amounts in 000’s)</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920" w:type="dxa"/>
            <w:vAlign w:val="bottom"/>
            <w:tcBorders>
              <w:bottom w:val="single" w:sz="8" w:color="CCEEFF"/>
            </w:tcBorders>
            <w:shd w:val="clear" w:color="auto" w:fill="CCEEFF"/>
          </w:tcPr>
          <w:p>
            <w:pPr>
              <w:jc w:val="right"/>
              <w:ind w:right="1274"/>
              <w:spacing w:after="0"/>
              <w:rPr>
                <w:sz w:val="20"/>
                <w:szCs w:val="20"/>
                <w:color w:val="auto"/>
              </w:rPr>
            </w:pPr>
            <w:r>
              <w:rPr>
                <w:rFonts w:ascii="Times New Roman" w:cs="Times New Roman" w:eastAsia="Times New Roman" w:hAnsi="Times New Roman"/>
                <w:sz w:val="18"/>
                <w:szCs w:val="18"/>
                <w:color w:val="auto"/>
              </w:rPr>
              <w:t>5,306</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5,006</w:t>
            </w:r>
          </w:p>
        </w:tc>
        <w:tc>
          <w:tcPr>
            <w:tcW w:w="7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300</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4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1920" w:type="dxa"/>
            <w:vAlign w:val="bottom"/>
          </w:tcPr>
          <w:p>
            <w:pPr>
              <w:jc w:val="right"/>
              <w:ind w:right="1214"/>
              <w:spacing w:after="0"/>
              <w:rPr>
                <w:sz w:val="20"/>
                <w:szCs w:val="20"/>
                <w:color w:val="auto"/>
              </w:rPr>
            </w:pPr>
            <w:r>
              <w:rPr>
                <w:rFonts w:ascii="Times New Roman" w:cs="Times New Roman" w:eastAsia="Times New Roman" w:hAnsi="Times New Roman"/>
                <w:sz w:val="18"/>
                <w:szCs w:val="18"/>
                <w:color w:val="auto"/>
              </w:rPr>
              <w:t>(1,455)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740" w:type="dxa"/>
            <w:vAlign w:val="bottom"/>
          </w:tcPr>
          <w:p>
            <w:pPr>
              <w:spacing w:after="0"/>
              <w:rPr>
                <w:sz w:val="21"/>
                <w:szCs w:val="21"/>
                <w:color w:val="auto"/>
              </w:rPr>
            </w:pPr>
          </w:p>
        </w:tc>
        <w:tc>
          <w:tcPr>
            <w:tcW w:w="1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(970)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bl>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$0.3 million increase in interest income in fiscal 2013 compared to fiscal 2012 was primarily due to interest earned on higher invested balances of cash, cash equivalents and investments. The change in other expense, net, for fiscal 2013 when compared to fiscal 2012, was the result of higher foreign exchange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40" w:type="dxa"/>
            <w:vAlign w:val="bottom"/>
          </w:tcPr>
          <w:p>
            <w:pPr>
              <w:jc w:val="right"/>
              <w:ind w:right="694"/>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1"/>
        </w:trPr>
        <w:tc>
          <w:tcPr>
            <w:tcW w:w="4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2013</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2012</w:t>
            </w: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80" w:type="dxa"/>
            <w:vAlign w:val="bottom"/>
          </w:tcPr>
          <w:p>
            <w:pPr>
              <w:jc w:val="right"/>
              <w:ind w:right="853"/>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62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 amounts in 000’s)</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40" w:type="dxa"/>
            <w:vAlign w:val="bottom"/>
            <w:tcBorders>
              <w:bottom w:val="single" w:sz="8" w:color="CCEEFF"/>
            </w:tcBorders>
            <w:shd w:val="clear" w:color="auto" w:fill="CCEEFF"/>
          </w:tcPr>
          <w:p>
            <w:pPr>
              <w:jc w:val="right"/>
              <w:ind w:right="1274"/>
              <w:spacing w:after="0"/>
              <w:rPr>
                <w:sz w:val="20"/>
                <w:szCs w:val="20"/>
                <w:color w:val="auto"/>
              </w:rPr>
            </w:pPr>
            <w:r>
              <w:rPr>
                <w:rFonts w:ascii="Times New Roman" w:cs="Times New Roman" w:eastAsia="Times New Roman" w:hAnsi="Times New Roman"/>
                <w:sz w:val="18"/>
                <w:szCs w:val="18"/>
                <w:color w:val="auto"/>
              </w:rPr>
              <w:t>31,668</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38,160</w:t>
            </w:r>
          </w:p>
        </w:tc>
        <w:tc>
          <w:tcPr>
            <w:tcW w:w="7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(6,492)</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Effective tax rate (%)</w:t>
            </w:r>
          </w:p>
        </w:tc>
        <w:tc>
          <w:tcPr>
            <w:tcW w:w="1940" w:type="dxa"/>
            <w:vAlign w:val="bottom"/>
          </w:tcPr>
          <w:p>
            <w:pPr>
              <w:jc w:val="right"/>
              <w:ind w:right="1274"/>
              <w:spacing w:after="0"/>
              <w:rPr>
                <w:sz w:val="20"/>
                <w:szCs w:val="20"/>
                <w:color w:val="auto"/>
              </w:rPr>
            </w:pPr>
            <w:r>
              <w:rPr>
                <w:rFonts w:ascii="Times New Roman" w:cs="Times New Roman" w:eastAsia="Times New Roman" w:hAnsi="Times New Roman"/>
                <w:sz w:val="18"/>
                <w:szCs w:val="18"/>
                <w:color w:val="auto"/>
              </w:rPr>
              <w:t>42</w:t>
            </w: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36</w:t>
            </w:r>
          </w:p>
        </w:tc>
        <w:tc>
          <w:tcPr>
            <w:tcW w:w="740" w:type="dxa"/>
            <w:vAlign w:val="bottom"/>
          </w:tcPr>
          <w:p>
            <w:pPr>
              <w:spacing w:after="0"/>
              <w:rPr>
                <w:sz w:val="21"/>
                <w:szCs w:val="21"/>
                <w:color w:val="auto"/>
              </w:rPr>
            </w:pPr>
          </w:p>
        </w:tc>
        <w:tc>
          <w:tcPr>
            <w:tcW w:w="148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6</w:t>
            </w:r>
          </w:p>
        </w:tc>
        <w:tc>
          <w:tcPr>
            <w:tcW w:w="16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effective tax rate was 42% for fiscal 2013, compared with an effective tax rate of 36% for fiscal 2012. The provision for income taxes for fiscal 2013 was comprised primarily of federal, state and foreign income taxes as well as the inclusion of stock option benefits and cost allocations, which affected the transfer pricing calculations among the U.S. and some of our foreign subsidiaries. The increase in the effective tax rate for fiscal 2013 as compared to fiscal 2012 was primarily due to an increase in profits subject to U.S. tax, a decrease in stock option benefits, and their corresponding impact on the transfer pricing calculations among the U.S. and some of our foreign subsidiaries</w:t>
      </w:r>
    </w:p>
    <w:p>
      <w:pPr>
        <w:spacing w:after="0" w:line="18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During January 2013, the U.S. Federal Research and Development Tax Credit was reinstated retroactively to fiscal 2012. The U.S. Federal Research and Development Tax Credit benefit was recorded in the first quarter of fiscal 2013, which was the period of enactment.</w:t>
      </w:r>
    </w:p>
    <w:p>
      <w:pPr>
        <w:spacing w:after="0" w:line="162"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Beginning with fiscal 2013, we operate under a tax incentive agreement in Singapore, which is effective through December 31, 2023, and may be extended if certain additional requirements are satisfied. The tax incentive agreement is conditional upon our meeting certain employment and investment thresholds. We did not realize any tax savings from the Singapore tax incentives in fiscal 2013 because of net tax losses in that jurisdiction.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It is our policy to classify accrued interest and penalties related to unrecognized tax benefits in the provision for income taxes. As of December 31, 2013, we had accrued approximately $1.0 million for estimated interest related to uncertain tax provisions compared to an accrual of $1.5 million as of December 31, 2012.</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State of California has been conducting an audit of our state income tax returns for fiscal 2010 and fiscal 2011. We do not expect this audit to have a significant detrimental effect on our income tax liability nor have a material impact on our results of operations.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Within the next twelve months, we do not believe there will be a decrease in uncertain tax benefits that could impact our future effective tax rate.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Fiscal Years 2012 and 2011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gridSpan w:val="3"/>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w w:val="97"/>
              </w:rPr>
              <w:t>Fiscal Year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w w:val="93"/>
              </w:rPr>
              <w:t>2012</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w w:val="93"/>
              </w:rPr>
              <w:t>2011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 of</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 of</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4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3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 amounts in 000’s)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51,540</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53,775</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Ratable and other revenue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533,639</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433,576</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100,063</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Revenue by Geography:</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Americas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44,562</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EMEA</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31,790</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APAC</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132,408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23,711</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533,639</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433,576</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100,063</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Total revenue increased by $100.1 million, or 23%, in fiscal 2012 compared to fiscal 2011. The Americas region contributed the largest portion of our revenue growth on a percentage basis, while the EMEA and APAC regions both demonstrated growth of over 20%. Product revenue increased by $51.5 million, or 26%, compared to fiscal 2011. The increase in product revenue was primarily driven by greater sales volume in our FortiGate product family due to increased demand across all product categories from our entry-level and mid-range products for smaller enterprises and branch deployments to our high-end products for large enterprise and service provider customers. Services revenue increased by $53.8 million, or 24%, in fiscal 2012 compared to fiscal 2011 due to the recognition of revenue from our growing deferred revenue balance consisting of subscription and support contracts sold to a larger customer base. The decrease in ratable and other revenue of $5.3 million was primarily due to the continuing decline in amortization of ratable revenue. Ratable and other revenue for fiscal 2012 included a $3.7 million sale of previously-acquired patents, which was an increase from a $2.6 million sale of previously-acquired patents in fiscal 2011. Excluding the decline in ratable and other revenue, product and services revenue combined together increased by 25% compared to fiscal 2011.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1"/>
        </w:trPr>
        <w:tc>
          <w:tcPr>
            <w:tcW w:w="4880" w:type="dxa"/>
            <w:vAlign w:val="bottom"/>
            <w:gridSpan w:val="2"/>
          </w:tcPr>
          <w:p>
            <w:pPr>
              <w:ind w:left="4540"/>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2011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92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w w:val="99"/>
              </w:rPr>
              <w:t>($ amounts in 000’s)</w:t>
            </w:r>
          </w:p>
        </w:tc>
        <w:tc>
          <w:tcPr>
            <w:tcW w:w="11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93,971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73,201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20,770</w:t>
            </w:r>
          </w:p>
        </w:tc>
        <w:tc>
          <w:tcPr>
            <w:tcW w:w="1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8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Services</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50,682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35,486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15,196</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4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Ratable and other revenue</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2,767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4,911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57"/>
        </w:trPr>
        <w:tc>
          <w:tcPr>
            <w:tcW w:w="4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 of revenue</w:t>
            </w:r>
          </w:p>
        </w:tc>
        <w:tc>
          <w:tcPr>
            <w:tcW w:w="7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147,420</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113,598</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33,822</w:t>
            </w:r>
          </w:p>
        </w:tc>
        <w:tc>
          <w:tcPr>
            <w:tcW w:w="1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r>
      <w:tr>
        <w:trPr>
          <w:trHeight w:val="230"/>
        </w:trPr>
        <w:tc>
          <w:tcPr>
            <w:tcW w:w="4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margin (%):</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8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Services</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9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8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Ratable and other revenue</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gross margin</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920" w:type="dxa"/>
            <w:vAlign w:val="bottom"/>
          </w:tcPr>
          <w:p>
            <w:pPr>
              <w:spacing w:after="0"/>
              <w:rPr>
                <w:sz w:val="21"/>
                <w:szCs w:val="21"/>
                <w:color w:val="auto"/>
              </w:rPr>
            </w:pPr>
          </w:p>
        </w:tc>
      </w:tr>
    </w:tbl>
    <w:p>
      <w:pPr>
        <w:spacing w:after="0" w:line="225"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Total gross margin decreased by 1.4 percentage points in fiscal 2012 compared to fiscal 2011, as both product and services gross margins declined. Product gross margin decreased by 0.6 percentage points in fiscal 2012 compared to fiscal 2011 primarily related to a higher quantity of mid-range products purchased by a large retail customer with lower than average gross margins. We also experienced the impact from cost increases related to higher material costs incurred to support higher density storage requirements for our recent release of FortioOS 5.0, our next generation operating system. From time to time, we have experienced sales of previously reserved inventory. During fiscal 2012, we experienced a positive impact to gross margin of 0.2 percentage points due to the sale of fully reserved inventory compared to a positive impact to gross margin of 0.4 percentage points in the prior year. Services gross margin decreased by 2.4 percentage points during fiscal 2012 primarily due to our continued investments in our technical support organization to accommodate our expanding customer base and higher service level expectations from our enterprise customers. In addition, we experienced growth in our professional consulting services which have lower gross margins than our support and subscription businesses. Cost of services revenue increased by $15.2 million primarily due to an $8.6 million increase in cash-based personnel costs related to headcount increases, a $1.9 million increase in stock-based compensation expense, a $1.8 million increase in costs associated with extended support contracts, a $0.7 million increase in occupancy-related costs, a $0.5 million increase in professional services expenses, a $0.5 million increase in travel expenses, and a $1.1 million increase in depreciation and other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gridSpan w:val="3"/>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w w:val="97"/>
              </w:rPr>
              <w:t>Fiscal Year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w w:val="93"/>
              </w:rPr>
              <w:t>2012</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0" w:type="dxa"/>
            <w:vAlign w:val="bottom"/>
            <w:gridSpan w:val="3"/>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3"/>
              </w:rPr>
              <w:t>2011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rPr>
              <w:t>% of</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2"/>
        </w:trPr>
        <w:tc>
          <w:tcPr>
            <w:tcW w:w="334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left="259"/>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36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 amounts in 000’s)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17,501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33,623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3,546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285,744</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231,074</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54,670</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by $17.5 million, or 28%, in fiscal 2012 compared to fiscal 2011 primarily due to an increase of $9.3 million in cash-based personnel costs as a result of increased headcount to support the development of new products and continued enhancements of our existing products. In addition, we incurred higher stock-based compensation expense of $4.5 million, product development expenses of $1.2 million, depreciation expense of $0.9 million, supplies expense of $0.6 million, occupancy-related costs of $0.4 million, and other expenses of $0.5 million. The increase in research and development expense was partially offset by a 2% year-over-year increase in the U.S. dollar exchange rate against the CAD, as a majority of our research and development personnel are located in Canada.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 increased by $33.6 million, or 23%, in fiscal 2012 compared to fiscal 2011, primarily due to an increase of $21.6 million in cash-based personnel costs as we continued to increase our sales headcount in order to expand our global footprint. In addition, we incurred increases in stock-based compensation expense of $3.5 million, marketing-related expenses of $3.2 million, depreciation expenses of $1.6 million, occupancy-related costs of $0.7 million, travel expenses of $1.0 million, supplies expense of $0.4 million, and other expenses of $1.2 million. As a percentage of revenue, sales and marketing expenses remained flat as we accelerated the investment in our sales force during the past year to support future growth. The increase in sales and marketing expense was partially offset by a 9% year-over-year increase in the U.S. dollar exchange rate against the Euro.</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220" w:firstLine="648"/>
        <w:spacing w:after="0" w:line="313" w:lineRule="auto"/>
        <w:rPr>
          <w:sz w:val="20"/>
          <w:szCs w:val="20"/>
          <w:color w:val="auto"/>
        </w:rPr>
      </w:pPr>
      <w:r>
        <w:rPr>
          <w:rFonts w:ascii="Times New Roman" w:cs="Times New Roman" w:eastAsia="Times New Roman" w:hAnsi="Times New Roman"/>
          <w:sz w:val="17"/>
          <w:szCs w:val="17"/>
          <w:color w:val="auto"/>
        </w:rPr>
        <w:t>General and administrative expense increased by $3.5 million, or 16%, in fiscal 2012 compared to fiscal 2011. Stock-based compensation expense increased by $1.6 million and cash-based personnel costs increased by $0.7 million. In addition, we incurred $1.0 million of litigation settlement expense.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expense, net</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80" w:type="dxa"/>
            <w:vAlign w:val="bottom"/>
          </w:tcPr>
          <w:p>
            <w:pPr>
              <w:jc w:val="right"/>
              <w:ind w:right="694"/>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1"/>
        </w:trPr>
        <w:tc>
          <w:tcPr>
            <w:tcW w:w="4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2012</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2011</w:t>
            </w: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80" w:type="dxa"/>
            <w:vAlign w:val="bottom"/>
          </w:tcPr>
          <w:p>
            <w:pPr>
              <w:jc w:val="right"/>
              <w:ind w:right="873"/>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162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 amounts in 000’s)</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880" w:type="dxa"/>
            <w:vAlign w:val="bottom"/>
            <w:tcBorders>
              <w:bottom w:val="single" w:sz="8" w:color="CCEEFF"/>
            </w:tcBorders>
            <w:shd w:val="clear" w:color="auto" w:fill="CCEEFF"/>
          </w:tcPr>
          <w:p>
            <w:pPr>
              <w:jc w:val="right"/>
              <w:ind w:right="1274"/>
              <w:spacing w:after="0"/>
              <w:rPr>
                <w:sz w:val="20"/>
                <w:szCs w:val="20"/>
                <w:color w:val="auto"/>
              </w:rPr>
            </w:pPr>
            <w:r>
              <w:rPr>
                <w:rFonts w:ascii="Times New Roman" w:cs="Times New Roman" w:eastAsia="Times New Roman" w:hAnsi="Times New Roman"/>
                <w:sz w:val="18"/>
                <w:szCs w:val="18"/>
                <w:color w:val="auto"/>
              </w:rPr>
              <w:t>5,006</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3,523</w:t>
            </w:r>
          </w:p>
        </w:tc>
        <w:tc>
          <w:tcPr>
            <w:tcW w:w="7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rPr>
              <w:t>1,483</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4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1880" w:type="dxa"/>
            <w:vAlign w:val="bottom"/>
          </w:tcPr>
          <w:p>
            <w:pPr>
              <w:jc w:val="right"/>
              <w:ind w:right="1214"/>
              <w:spacing w:after="0"/>
              <w:rPr>
                <w:sz w:val="20"/>
                <w:szCs w:val="20"/>
                <w:color w:val="auto"/>
              </w:rPr>
            </w:pPr>
            <w:r>
              <w:rPr>
                <w:rFonts w:ascii="Times New Roman" w:cs="Times New Roman" w:eastAsia="Times New Roman" w:hAnsi="Times New Roman"/>
                <w:sz w:val="18"/>
                <w:szCs w:val="18"/>
                <w:color w:val="auto"/>
              </w:rPr>
              <w:t>(485)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740" w:type="dxa"/>
            <w:vAlign w:val="bottom"/>
          </w:tcPr>
          <w:p>
            <w:pPr>
              <w:spacing w:after="0"/>
              <w:rPr>
                <w:sz w:val="21"/>
                <w:szCs w:val="21"/>
                <w:color w:val="auto"/>
              </w:rPr>
            </w:pPr>
          </w:p>
        </w:tc>
        <w:tc>
          <w:tcPr>
            <w:tcW w:w="1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(131)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$1.5 million increase in interest income in fiscal 2012 compared to fiscal 2011 was primarily due to interest earned on higher invested balances of cash, cash equivalents and investments. The change in other expense, net, for fiscal 2012 when compared to fiscal 2011, was the result of higher foreign exchange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40" w:type="dxa"/>
            <w:vAlign w:val="bottom"/>
          </w:tcPr>
          <w:p>
            <w:pPr>
              <w:jc w:val="right"/>
              <w:ind w:right="694"/>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1"/>
        </w:trPr>
        <w:tc>
          <w:tcPr>
            <w:tcW w:w="4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2012</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2011</w:t>
            </w: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40" w:type="dxa"/>
            <w:vAlign w:val="bottom"/>
          </w:tcPr>
          <w:p>
            <w:pPr>
              <w:jc w:val="right"/>
              <w:ind w:right="833"/>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166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 amounts in 000’s)</w:t>
            </w: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40" w:type="dxa"/>
            <w:vAlign w:val="bottom"/>
            <w:tcBorders>
              <w:bottom w:val="single" w:sz="8" w:color="CCEEFF"/>
            </w:tcBorders>
            <w:shd w:val="clear" w:color="auto" w:fill="CCEEFF"/>
          </w:tcPr>
          <w:p>
            <w:pPr>
              <w:jc w:val="right"/>
              <w:ind w:right="1274"/>
              <w:spacing w:after="0"/>
              <w:rPr>
                <w:sz w:val="20"/>
                <w:szCs w:val="20"/>
                <w:color w:val="auto"/>
              </w:rPr>
            </w:pPr>
            <w:r>
              <w:rPr>
                <w:rFonts w:ascii="Times New Roman" w:cs="Times New Roman" w:eastAsia="Times New Roman" w:hAnsi="Times New Roman"/>
                <w:sz w:val="18"/>
                <w:szCs w:val="18"/>
                <w:color w:val="auto"/>
              </w:rPr>
              <w:t>38,160</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29,581</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rPr>
              <w:t>8,579</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Effective tax rate (%)</w:t>
            </w:r>
          </w:p>
        </w:tc>
        <w:tc>
          <w:tcPr>
            <w:tcW w:w="1940" w:type="dxa"/>
            <w:vAlign w:val="bottom"/>
          </w:tcPr>
          <w:p>
            <w:pPr>
              <w:jc w:val="right"/>
              <w:ind w:right="1274"/>
              <w:spacing w:after="0"/>
              <w:rPr>
                <w:sz w:val="20"/>
                <w:szCs w:val="20"/>
                <w:color w:val="auto"/>
              </w:rPr>
            </w:pPr>
            <w:r>
              <w:rPr>
                <w:rFonts w:ascii="Times New Roman" w:cs="Times New Roman" w:eastAsia="Times New Roman" w:hAnsi="Times New Roman"/>
                <w:sz w:val="18"/>
                <w:szCs w:val="18"/>
                <w:color w:val="auto"/>
              </w:rPr>
              <w:t>36</w:t>
            </w:r>
          </w:p>
        </w:tc>
        <w:tc>
          <w:tcPr>
            <w:tcW w:w="7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32</w:t>
            </w:r>
          </w:p>
        </w:tc>
        <w:tc>
          <w:tcPr>
            <w:tcW w:w="740" w:type="dxa"/>
            <w:vAlign w:val="bottom"/>
          </w:tcPr>
          <w:p>
            <w:pPr>
              <w:spacing w:after="0"/>
              <w:rPr>
                <w:sz w:val="21"/>
                <w:szCs w:val="21"/>
                <w:color w:val="auto"/>
              </w:rPr>
            </w:pPr>
          </w:p>
        </w:tc>
        <w:tc>
          <w:tcPr>
            <w:tcW w:w="14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4</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Our effective tax rate was 36% for fiscal 2012, compared with an effective tax rate of 32% for fiscal 2011. The provision for income taxes for fiscal 2012 was comprised primarily of federal, state and foreign income taxes as well as the inclusion of stock option benefits, which affected the transfer pricing calculations between some of our foreign subsidiaries. The 2011 effective tax rate was impacted by the inclusion of stock option benefits, which affected the transfer pricing calculations between some of our foreign subsidiaries, as well as research and development tax credit. The increase in the provision for income taxes for fiscal 2012 compared to fiscal 2011 was primarily due to an increase in profits subject to U.S. tax, a decrease in stock option benefits, and their corresponding impact on the transfer pricing calculations between some of our foreign subsidiaries, and the reduction in U.S. Federal Research and Development Tax Credit that was reinstated in fiscal 2013, but not recognized in fiscal 2012.</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Results of Operations</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unaudited quarterly statements of operations data for the last eight fiscal quarters. The information for each of these quarters has been prepared on the same basis as the audited annual financial statements included elsewhere in this Annual Report and, in the opinion of management, includes all adjustments, which includes only normal recurring adjustments, necessary for the fair presentation of the results of operations for these periods. This data should be read in conjunction with our audited consolidated financial statements and related notes included elsewhere in this annual report. These quarterly operating results are not necessarily indicative of our operating results for any future period.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42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 31,</w:t>
            </w: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 30,</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Sept 30,</w:t>
            </w: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 31,</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 30,</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Sept 30,</w:t>
            </w:r>
          </w:p>
        </w:tc>
        <w:tc>
          <w:tcPr>
            <w:tcW w:w="10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104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2012</w:t>
            </w:r>
          </w:p>
        </w:tc>
        <w:tc>
          <w:tcPr>
            <w:tcW w:w="120" w:type="dxa"/>
            <w:vAlign w:val="bottom"/>
          </w:tcPr>
          <w:p>
            <w:pPr>
              <w:spacing w:after="0"/>
              <w:rPr>
                <w:sz w:val="18"/>
                <w:szCs w:val="18"/>
                <w:color w:val="auto"/>
              </w:rPr>
            </w:pPr>
          </w:p>
        </w:tc>
        <w:tc>
          <w:tcPr>
            <w:tcW w:w="104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2012</w:t>
            </w:r>
          </w:p>
        </w:tc>
        <w:tc>
          <w:tcPr>
            <w:tcW w:w="120" w:type="dxa"/>
            <w:vAlign w:val="bottom"/>
          </w:tcPr>
          <w:p>
            <w:pPr>
              <w:spacing w:after="0"/>
              <w:rPr>
                <w:sz w:val="18"/>
                <w:szCs w:val="18"/>
                <w:color w:val="auto"/>
              </w:rPr>
            </w:pPr>
          </w:p>
        </w:tc>
        <w:tc>
          <w:tcPr>
            <w:tcW w:w="104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2012</w:t>
            </w:r>
          </w:p>
        </w:tc>
        <w:tc>
          <w:tcPr>
            <w:tcW w:w="120" w:type="dxa"/>
            <w:vAlign w:val="bottom"/>
          </w:tcPr>
          <w:p>
            <w:pPr>
              <w:spacing w:after="0"/>
              <w:rPr>
                <w:sz w:val="18"/>
                <w:szCs w:val="18"/>
                <w:color w:val="auto"/>
              </w:rPr>
            </w:pPr>
          </w:p>
        </w:tc>
        <w:tc>
          <w:tcPr>
            <w:tcW w:w="104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18"/>
                <w:szCs w:val="18"/>
                <w:color w:val="auto"/>
              </w:rPr>
            </w:pPr>
          </w:p>
        </w:tc>
        <w:tc>
          <w:tcPr>
            <w:tcW w:w="102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102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102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102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2013</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gridSpan w:val="8"/>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40" w:type="dxa"/>
            <w:vAlign w:val="bottom"/>
            <w:gridSpan w:val="8"/>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 amounts in 000’s, except per share amounts)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Statements of</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Operations Data:</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53,204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61,692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63,027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71,025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57,950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66,525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69,687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83,884</w:t>
            </w:r>
          </w:p>
        </w:tc>
        <w:tc>
          <w:tcPr>
            <w:tcW w:w="0" w:type="dxa"/>
            <w:vAlign w:val="bottom"/>
          </w:tcPr>
          <w:p>
            <w:pPr>
              <w:spacing w:after="0"/>
              <w:rPr>
                <w:sz w:val="1"/>
                <w:szCs w:val="1"/>
                <w:color w:val="auto"/>
              </w:rPr>
            </w:pPr>
          </w:p>
        </w:tc>
      </w:tr>
      <w:tr>
        <w:trPr>
          <w:trHeight w:val="243"/>
        </w:trPr>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Services</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62,138</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65,412</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69,782</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76,711</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75,896</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79,668</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83,883</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90,276</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4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Ratable and other revenue</w:t>
            </w:r>
          </w:p>
        </w:tc>
        <w:tc>
          <w:tcPr>
            <w:tcW w:w="10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1,905</w:t>
            </w:r>
          </w:p>
        </w:tc>
        <w:tc>
          <w:tcPr>
            <w:tcW w:w="12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1,858</w:t>
            </w:r>
          </w:p>
        </w:tc>
        <w:tc>
          <w:tcPr>
            <w:tcW w:w="12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3,459</w:t>
            </w:r>
          </w:p>
        </w:tc>
        <w:tc>
          <w:tcPr>
            <w:tcW w:w="12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3,190</w:t>
            </w:r>
          </w:p>
        </w:tc>
        <w:tc>
          <w:tcPr>
            <w:tcW w:w="0" w:type="dxa"/>
            <w:vAlign w:val="bottom"/>
          </w:tcPr>
          <w:p>
            <w:pPr>
              <w:spacing w:after="0"/>
              <w:rPr>
                <w:sz w:val="1"/>
                <w:szCs w:val="1"/>
                <w:color w:val="auto"/>
              </w:rPr>
            </w:pPr>
          </w:p>
        </w:tc>
      </w:tr>
      <w:tr>
        <w:trPr>
          <w:trHeight w:val="144"/>
        </w:trPr>
        <w:tc>
          <w:tcPr>
            <w:tcW w:w="24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9"/>
                <w:szCs w:val="9"/>
                <w:color w:val="auto"/>
              </w:rPr>
              <w:t>(1)</w:t>
            </w: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117,247</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128,962</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136,268</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151,162</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135,820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147,428</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154,699</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177,350</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xml:space="preserve">Product </w:t>
            </w:r>
            <w:r>
              <w:rPr>
                <w:rFonts w:ascii="Times New Roman" w:cs="Times New Roman" w:eastAsia="Times New Roman" w:hAnsi="Times New Roman"/>
                <w:sz w:val="18"/>
                <w:szCs w:val="18"/>
                <w:color w:val="auto"/>
                <w:vertAlign w:val="superscript"/>
              </w:rPr>
              <w:t>(2)(3)</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19,067</w:t>
            </w:r>
          </w:p>
        </w:tc>
        <w:tc>
          <w:tcPr>
            <w:tcW w:w="1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23,935</w:t>
            </w:r>
          </w:p>
        </w:tc>
        <w:tc>
          <w:tcPr>
            <w:tcW w:w="1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23,995</w:t>
            </w:r>
          </w:p>
        </w:tc>
        <w:tc>
          <w:tcPr>
            <w:tcW w:w="1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26,974</w:t>
            </w:r>
          </w:p>
        </w:tc>
        <w:tc>
          <w:tcPr>
            <w:tcW w:w="10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22,958</w:t>
            </w:r>
          </w:p>
        </w:tc>
        <w:tc>
          <w:tcPr>
            <w:tcW w:w="1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26,948</w:t>
            </w:r>
          </w:p>
        </w:tc>
        <w:tc>
          <w:tcPr>
            <w:tcW w:w="1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27,126</w:t>
            </w:r>
          </w:p>
        </w:tc>
        <w:tc>
          <w:tcPr>
            <w:tcW w:w="1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37,579</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xml:space="preserve">Services </w:t>
            </w:r>
            <w:r>
              <w:rPr>
                <w:rFonts w:ascii="Times New Roman" w:cs="Times New Roman" w:eastAsia="Times New Roman" w:hAnsi="Times New Roman"/>
                <w:sz w:val="18"/>
                <w:szCs w:val="18"/>
                <w:color w:val="auto"/>
                <w:vertAlign w:val="superscript"/>
              </w:rPr>
              <w:t>(2)</w:t>
            </w: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11,213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12,467</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13,166</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13,836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15,574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16,259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16,374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15,916</w:t>
            </w:r>
          </w:p>
        </w:tc>
        <w:tc>
          <w:tcPr>
            <w:tcW w:w="0" w:type="dxa"/>
            <w:vAlign w:val="bottom"/>
          </w:tcPr>
          <w:p>
            <w:pPr>
              <w:spacing w:after="0"/>
              <w:rPr>
                <w:sz w:val="1"/>
                <w:szCs w:val="1"/>
                <w:color w:val="auto"/>
              </w:rPr>
            </w:pPr>
          </w:p>
        </w:tc>
      </w:tr>
      <w:tr>
        <w:trPr>
          <w:trHeight w:val="243"/>
        </w:trPr>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Ratable and other revenue</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 of revenue</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31,043</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37,127</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37,808</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41,442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39,128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43,708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43,930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53,877</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gross profit</w:t>
            </w: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86,204</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91,835</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98,460</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109,720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96,692</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103,720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110,769</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123,473</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Research and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xml:space="preserve">development </w:t>
            </w:r>
            <w:r>
              <w:rPr>
                <w:rFonts w:ascii="Times New Roman" w:cs="Times New Roman" w:eastAsia="Times New Roman" w:hAnsi="Times New Roman"/>
                <w:sz w:val="18"/>
                <w:szCs w:val="18"/>
                <w:color w:val="auto"/>
                <w:vertAlign w:val="superscript"/>
              </w:rPr>
              <w:t>(2)</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19,667</w:t>
            </w:r>
          </w:p>
        </w:tc>
        <w:tc>
          <w:tcPr>
            <w:tcW w:w="1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20,388</w:t>
            </w:r>
          </w:p>
        </w:tc>
        <w:tc>
          <w:tcPr>
            <w:tcW w:w="1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20,498</w:t>
            </w:r>
          </w:p>
        </w:tc>
        <w:tc>
          <w:tcPr>
            <w:tcW w:w="1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20,525</w:t>
            </w:r>
          </w:p>
        </w:tc>
        <w:tc>
          <w:tcPr>
            <w:tcW w:w="10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23,334</w:t>
            </w:r>
          </w:p>
        </w:tc>
        <w:tc>
          <w:tcPr>
            <w:tcW w:w="1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25,158</w:t>
            </w:r>
          </w:p>
        </w:tc>
        <w:tc>
          <w:tcPr>
            <w:tcW w:w="1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26,421</w:t>
            </w:r>
          </w:p>
        </w:tc>
        <w:tc>
          <w:tcPr>
            <w:tcW w:w="10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27,747</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18"/>
                <w:szCs w:val="18"/>
                <w:color w:val="auto"/>
                <w:vertAlign w:val="superscript"/>
              </w:rPr>
              <w:t>(2)</w:t>
            </w: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42,036</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44,259</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44,743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48,117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49,976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55,997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56,687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62,331</w:t>
            </w:r>
          </w:p>
        </w:tc>
        <w:tc>
          <w:tcPr>
            <w:tcW w:w="0" w:type="dxa"/>
            <w:vAlign w:val="bottom"/>
          </w:tcPr>
          <w:p>
            <w:pPr>
              <w:spacing w:after="0"/>
              <w:rPr>
                <w:sz w:val="1"/>
                <w:szCs w:val="1"/>
                <w:color w:val="auto"/>
              </w:rPr>
            </w:pPr>
          </w:p>
        </w:tc>
      </w:tr>
      <w:tr>
        <w:trPr>
          <w:trHeight w:val="225"/>
        </w:trPr>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General and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4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 xml:space="preserve">administrative </w:t>
            </w:r>
            <w:r>
              <w:rPr>
                <w:rFonts w:ascii="Times New Roman" w:cs="Times New Roman" w:eastAsia="Times New Roman" w:hAnsi="Times New Roman"/>
                <w:sz w:val="18"/>
                <w:szCs w:val="18"/>
                <w:color w:val="auto"/>
                <w:vertAlign w:val="superscript"/>
              </w:rPr>
              <w:t>(2)(4)</w:t>
            </w: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5,786</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6,238</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7,449</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7,991</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8,788</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9,382</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8,752</w:t>
            </w:r>
          </w:p>
        </w:tc>
        <w:tc>
          <w:tcPr>
            <w:tcW w:w="0" w:type="dxa"/>
            <w:vAlign w:val="bottom"/>
          </w:tcPr>
          <w:p>
            <w:pPr>
              <w:spacing w:after="0"/>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67,489</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70,885</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72,690</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74,680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81,301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89,943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92,490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98,830</w:t>
            </w:r>
          </w:p>
        </w:tc>
        <w:tc>
          <w:tcPr>
            <w:tcW w:w="0" w:type="dxa"/>
            <w:vAlign w:val="bottom"/>
          </w:tcPr>
          <w:p>
            <w:pPr>
              <w:spacing w:after="0"/>
              <w:rPr>
                <w:sz w:val="1"/>
                <w:szCs w:val="1"/>
                <w:color w:val="auto"/>
              </w:rPr>
            </w:pPr>
          </w:p>
        </w:tc>
      </w:tr>
      <w:tr>
        <w:trPr>
          <w:trHeight w:val="256"/>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Operating income </w:t>
            </w:r>
            <w:r>
              <w:rPr>
                <w:rFonts w:ascii="Times New Roman" w:cs="Times New Roman" w:eastAsia="Times New Roman" w:hAnsi="Times New Roman"/>
                <w:sz w:val="18"/>
                <w:szCs w:val="18"/>
                <w:color w:val="auto"/>
                <w:vertAlign w:val="superscript"/>
              </w:rPr>
              <w:t>(5)</w:t>
            </w: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18,715</w:t>
            </w:r>
          </w:p>
        </w:tc>
        <w:tc>
          <w:tcPr>
            <w:tcW w:w="120" w:type="dxa"/>
            <w:vAlign w:val="bottom"/>
          </w:tcPr>
          <w:p>
            <w:pPr>
              <w:spacing w:after="0"/>
              <w:rPr>
                <w:sz w:val="22"/>
                <w:szCs w:val="22"/>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20,950</w:t>
            </w:r>
          </w:p>
        </w:tc>
        <w:tc>
          <w:tcPr>
            <w:tcW w:w="120" w:type="dxa"/>
            <w:vAlign w:val="bottom"/>
          </w:tcPr>
          <w:p>
            <w:pPr>
              <w:spacing w:after="0"/>
              <w:rPr>
                <w:sz w:val="22"/>
                <w:szCs w:val="22"/>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25,770</w:t>
            </w:r>
          </w:p>
        </w:tc>
        <w:tc>
          <w:tcPr>
            <w:tcW w:w="120" w:type="dxa"/>
            <w:vAlign w:val="bottom"/>
          </w:tcPr>
          <w:p>
            <w:pPr>
              <w:spacing w:after="0"/>
              <w:rPr>
                <w:sz w:val="22"/>
                <w:szCs w:val="22"/>
                <w:color w:val="auto"/>
              </w:rPr>
            </w:pPr>
          </w:p>
        </w:tc>
        <w:tc>
          <w:tcPr>
            <w:tcW w:w="10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35,040</w:t>
            </w:r>
          </w:p>
        </w:tc>
        <w:tc>
          <w:tcPr>
            <w:tcW w:w="100" w:type="dxa"/>
            <w:vAlign w:val="bottom"/>
          </w:tcPr>
          <w:p>
            <w:pPr>
              <w:spacing w:after="0"/>
              <w:rPr>
                <w:sz w:val="22"/>
                <w:szCs w:val="22"/>
                <w:color w:val="auto"/>
              </w:rPr>
            </w:pPr>
          </w:p>
        </w:tc>
        <w:tc>
          <w:tcPr>
            <w:tcW w:w="10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15,391</w:t>
            </w:r>
          </w:p>
        </w:tc>
        <w:tc>
          <w:tcPr>
            <w:tcW w:w="100" w:type="dxa"/>
            <w:vAlign w:val="bottom"/>
          </w:tcPr>
          <w:p>
            <w:pPr>
              <w:spacing w:after="0"/>
              <w:rPr>
                <w:sz w:val="22"/>
                <w:szCs w:val="22"/>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13,777</w:t>
            </w:r>
          </w:p>
        </w:tc>
        <w:tc>
          <w:tcPr>
            <w:tcW w:w="100" w:type="dxa"/>
            <w:vAlign w:val="bottom"/>
          </w:tcPr>
          <w:p>
            <w:pPr>
              <w:spacing w:after="0"/>
              <w:rPr>
                <w:sz w:val="22"/>
                <w:szCs w:val="22"/>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18,279</w:t>
            </w:r>
          </w:p>
        </w:tc>
        <w:tc>
          <w:tcPr>
            <w:tcW w:w="100" w:type="dxa"/>
            <w:vAlign w:val="bottom"/>
          </w:tcPr>
          <w:p>
            <w:pPr>
              <w:spacing w:after="0"/>
              <w:rPr>
                <w:sz w:val="22"/>
                <w:szCs w:val="22"/>
                <w:color w:val="auto"/>
              </w:rPr>
            </w:pP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24,643</w:t>
            </w:r>
          </w:p>
        </w:tc>
        <w:tc>
          <w:tcPr>
            <w:tcW w:w="0" w:type="dxa"/>
            <w:vAlign w:val="bottom"/>
          </w:tcPr>
          <w:p>
            <w:pPr>
              <w:spacing w:after="0"/>
              <w:rPr>
                <w:sz w:val="1"/>
                <w:szCs w:val="1"/>
                <w:color w:val="auto"/>
              </w:rPr>
            </w:pPr>
          </w:p>
        </w:tc>
      </w:tr>
      <w:tr>
        <w:trPr>
          <w:trHeight w:val="258"/>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1,318</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19,729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22,226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26,771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36,270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18,410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25,542</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5,556</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8,276</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9,565</w:t>
            </w: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14,763</w:t>
            </w:r>
          </w:p>
        </w:tc>
        <w:tc>
          <w:tcPr>
            <w:tcW w:w="1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6,035</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7,381</w:t>
            </w:r>
          </w:p>
        </w:tc>
        <w:tc>
          <w:tcPr>
            <w:tcW w:w="1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13,526</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18"/>
                <w:szCs w:val="18"/>
                <w:color w:val="auto"/>
                <w:vertAlign w:val="superscript"/>
              </w:rPr>
              <w:t>(5)</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14,173</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13,950</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17,206</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21,507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12,249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8,979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11,029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12,016</w:t>
            </w:r>
          </w:p>
        </w:tc>
        <w:tc>
          <w:tcPr>
            <w:tcW w:w="0" w:type="dxa"/>
            <w:vAlign w:val="bottom"/>
          </w:tcPr>
          <w:p>
            <w:pPr>
              <w:spacing w:after="0"/>
              <w:rPr>
                <w:sz w:val="1"/>
                <w:szCs w:val="1"/>
                <w:color w:val="auto"/>
              </w:rPr>
            </w:pPr>
          </w:p>
        </w:tc>
      </w:tr>
      <w:tr>
        <w:trPr>
          <w:trHeight w:val="20"/>
        </w:trPr>
        <w:tc>
          <w:tcPr>
            <w:tcW w:w="2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per share</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42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attributable to common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14"/>
                <w:szCs w:val="14"/>
                <w:color w:val="auto"/>
              </w:rPr>
              <w:t>:</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4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Times New Roman" w:cs="Times New Roman" w:eastAsia="Times New Roman" w:hAnsi="Times New Roman"/>
                <w:sz w:val="9"/>
                <w:szCs w:val="9"/>
                <w:color w:val="auto"/>
              </w:rPr>
              <w:t>__________________________</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2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660" w:right="140" w:hanging="652"/>
        <w:spacing w:after="0" w:line="258" w:lineRule="auto"/>
        <w:tabs>
          <w:tab w:leader="none" w:pos="660" w:val="left"/>
        </w:tabs>
        <w:numPr>
          <w:ilvl w:val="0"/>
          <w:numId w:val="3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Ratable and other revenue included the sales of previously-acquired patents of $1.8 million, $1.9 million, $0.6 million, and $2.2 million for the three months ended September 30, 2012, December 31, 2012, March 31, 2013, and December 31, 2013, respectively.</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8" w:right="239" w:bottom="1440" w:gutter="0" w:footer="0" w:header="0"/>
          <w:type w:val="continuous"/>
        </w:sectPr>
      </w:pPr>
    </w:p>
    <w:bookmarkStart w:id="55" w:name="page56"/>
    <w:bookmarkEnd w:id="5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3"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stock-based compensation expense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420" w:type="dxa"/>
            <w:vAlign w:val="bottom"/>
          </w:tcPr>
          <w:p>
            <w:pPr>
              <w:spacing w:after="0"/>
              <w:rPr>
                <w:sz w:val="18"/>
                <w:szCs w:val="18"/>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 31,</w:t>
            </w: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 30,</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Sept 30,</w:t>
            </w: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 31,</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 30,</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Sept 30,</w:t>
            </w: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0" w:type="dxa"/>
            <w:vAlign w:val="bottom"/>
          </w:tcPr>
          <w:p>
            <w:pPr>
              <w:spacing w:after="0"/>
              <w:rPr>
                <w:sz w:val="1"/>
                <w:szCs w:val="1"/>
                <w:color w:val="auto"/>
              </w:rPr>
            </w:pPr>
          </w:p>
        </w:tc>
      </w:tr>
      <w:tr>
        <w:trPr>
          <w:trHeight w:val="212"/>
        </w:trPr>
        <w:tc>
          <w:tcPr>
            <w:tcW w:w="242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2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2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2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2013</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 amounts in 000’s)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Cost of product revenue</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37"/>
        </w:trPr>
        <w:tc>
          <w:tcPr>
            <w:tcW w:w="24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Cost of services revenue</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745</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941</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1,018</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1,226</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1,297</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1,298</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1,957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2,292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2,525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2,452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2,766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3,291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3,548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3,666</w:t>
            </w:r>
          </w:p>
        </w:tc>
        <w:tc>
          <w:tcPr>
            <w:tcW w:w="0" w:type="dxa"/>
            <w:vAlign w:val="bottom"/>
          </w:tcPr>
          <w:p>
            <w:pPr>
              <w:spacing w:after="0"/>
              <w:rPr>
                <w:sz w:val="1"/>
                <w:szCs w:val="1"/>
                <w:color w:val="auto"/>
              </w:rPr>
            </w:pPr>
          </w:p>
        </w:tc>
      </w:tr>
      <w:tr>
        <w:trPr>
          <w:trHeight w:val="237"/>
        </w:trPr>
        <w:tc>
          <w:tcPr>
            <w:tcW w:w="24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Sales and marketing</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3,443</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3,475</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3,879</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1,996</w:t>
            </w:r>
          </w:p>
        </w:tc>
        <w:tc>
          <w:tcPr>
            <w:tcW w:w="1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4,118</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4,594</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5,215</w:t>
            </w:r>
          </w:p>
        </w:tc>
        <w:tc>
          <w:tcPr>
            <w:tcW w:w="1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5,599</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1,037</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1,056</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1,323</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1,186</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1,305</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1,627</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2,018</w:t>
            </w:r>
          </w:p>
        </w:tc>
        <w:tc>
          <w:tcPr>
            <w:tcW w:w="0" w:type="dxa"/>
            <w:vAlign w:val="bottom"/>
          </w:tcPr>
          <w:p>
            <w:pPr>
              <w:spacing w:after="0"/>
              <w:rPr>
                <w:sz w:val="1"/>
                <w:szCs w:val="1"/>
                <w:color w:val="auto"/>
              </w:rPr>
            </w:pPr>
          </w:p>
        </w:tc>
      </w:tr>
      <w:tr>
        <w:trPr>
          <w:trHeight w:val="196"/>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104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7,246</w:t>
            </w:r>
          </w:p>
        </w:tc>
        <w:tc>
          <w:tcPr>
            <w:tcW w:w="120" w:type="dxa"/>
            <w:vAlign w:val="bottom"/>
          </w:tcPr>
          <w:p>
            <w:pPr>
              <w:spacing w:after="0"/>
              <w:rPr>
                <w:sz w:val="17"/>
                <w:szCs w:val="17"/>
                <w:color w:val="auto"/>
              </w:rPr>
            </w:pPr>
          </w:p>
        </w:tc>
        <w:tc>
          <w:tcPr>
            <w:tcW w:w="104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7,852</w:t>
            </w:r>
          </w:p>
        </w:tc>
        <w:tc>
          <w:tcPr>
            <w:tcW w:w="120" w:type="dxa"/>
            <w:vAlign w:val="bottom"/>
          </w:tcPr>
          <w:p>
            <w:pPr>
              <w:spacing w:after="0"/>
              <w:rPr>
                <w:sz w:val="17"/>
                <w:szCs w:val="17"/>
                <w:color w:val="auto"/>
              </w:rPr>
            </w:pPr>
          </w:p>
        </w:tc>
        <w:tc>
          <w:tcPr>
            <w:tcW w:w="104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8,830</w:t>
            </w:r>
          </w:p>
        </w:tc>
        <w:tc>
          <w:tcPr>
            <w:tcW w:w="120" w:type="dxa"/>
            <w:vAlign w:val="bottom"/>
          </w:tcPr>
          <w:p>
            <w:pPr>
              <w:spacing w:after="0"/>
              <w:rPr>
                <w:sz w:val="17"/>
                <w:szCs w:val="17"/>
                <w:color w:val="auto"/>
              </w:rPr>
            </w:pPr>
          </w:p>
        </w:tc>
        <w:tc>
          <w:tcPr>
            <w:tcW w:w="104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6,762</w:t>
            </w:r>
          </w:p>
        </w:tc>
        <w:tc>
          <w:tcPr>
            <w:tcW w:w="100" w:type="dxa"/>
            <w:vAlign w:val="bottom"/>
          </w:tcPr>
          <w:p>
            <w:pPr>
              <w:spacing w:after="0"/>
              <w:rPr>
                <w:sz w:val="17"/>
                <w:szCs w:val="17"/>
                <w:color w:val="auto"/>
              </w:rPr>
            </w:pPr>
          </w:p>
        </w:tc>
        <w:tc>
          <w:tcPr>
            <w:tcW w:w="102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9,299</w:t>
            </w:r>
          </w:p>
        </w:tc>
        <w:tc>
          <w:tcPr>
            <w:tcW w:w="100" w:type="dxa"/>
            <w:vAlign w:val="bottom"/>
          </w:tcPr>
          <w:p>
            <w:pPr>
              <w:spacing w:after="0"/>
              <w:rPr>
                <w:sz w:val="17"/>
                <w:szCs w:val="17"/>
                <w:color w:val="auto"/>
              </w:rPr>
            </w:pPr>
          </w:p>
        </w:tc>
        <w:tc>
          <w:tcPr>
            <w:tcW w:w="102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10,707</w:t>
            </w:r>
          </w:p>
        </w:tc>
        <w:tc>
          <w:tcPr>
            <w:tcW w:w="100" w:type="dxa"/>
            <w:vAlign w:val="bottom"/>
          </w:tcPr>
          <w:p>
            <w:pPr>
              <w:spacing w:after="0"/>
              <w:rPr>
                <w:sz w:val="17"/>
                <w:szCs w:val="17"/>
                <w:color w:val="auto"/>
              </w:rPr>
            </w:pPr>
          </w:p>
        </w:tc>
        <w:tc>
          <w:tcPr>
            <w:tcW w:w="102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11,778</w:t>
            </w:r>
          </w:p>
        </w:tc>
        <w:tc>
          <w:tcPr>
            <w:tcW w:w="100" w:type="dxa"/>
            <w:vAlign w:val="bottom"/>
          </w:tcPr>
          <w:p>
            <w:pPr>
              <w:spacing w:after="0"/>
              <w:rPr>
                <w:sz w:val="17"/>
                <w:szCs w:val="17"/>
                <w:color w:val="auto"/>
              </w:rPr>
            </w:pPr>
          </w:p>
        </w:tc>
        <w:tc>
          <w:tcPr>
            <w:tcW w:w="102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12,687</w:t>
            </w:r>
          </w:p>
        </w:tc>
        <w:tc>
          <w:tcPr>
            <w:tcW w:w="0" w:type="dxa"/>
            <w:vAlign w:val="bottom"/>
          </w:tcPr>
          <w:p>
            <w:pPr>
              <w:spacing w:after="0"/>
              <w:rPr>
                <w:sz w:val="1"/>
                <w:szCs w:val="1"/>
                <w:color w:val="auto"/>
              </w:rPr>
            </w:pPr>
          </w:p>
        </w:tc>
      </w:tr>
      <w:tr>
        <w:trPr>
          <w:trHeight w:val="228"/>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expense</w:t>
            </w: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_______________________________________________</w:t>
      </w:r>
    </w:p>
    <w:p>
      <w:pPr>
        <w:spacing w:after="0" w:line="7"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amortization expense and impairment charges related to certain intangible assets as follows:</w:t>
      </w:r>
    </w:p>
    <w:p>
      <w:pPr>
        <w:spacing w:after="0" w:line="316"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2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6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226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 31,</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Jun 30,</w:t>
            </w: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Sept 30,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 31,</w:t>
            </w: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Jun 30,</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Sept 30,</w:t>
            </w: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 31,</w:t>
            </w:r>
          </w:p>
        </w:tc>
        <w:tc>
          <w:tcPr>
            <w:tcW w:w="0" w:type="dxa"/>
            <w:vAlign w:val="bottom"/>
          </w:tcPr>
          <w:p>
            <w:pPr>
              <w:spacing w:after="0"/>
              <w:rPr>
                <w:sz w:val="1"/>
                <w:szCs w:val="1"/>
                <w:color w:val="auto"/>
              </w:rPr>
            </w:pPr>
          </w:p>
        </w:tc>
      </w:tr>
      <w:tr>
        <w:trPr>
          <w:trHeight w:val="212"/>
        </w:trPr>
        <w:tc>
          <w:tcPr>
            <w:tcW w:w="226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20" w:type="dxa"/>
            <w:vAlign w:val="bottom"/>
          </w:tcPr>
          <w:p>
            <w:pPr>
              <w:spacing w:after="0"/>
              <w:rPr>
                <w:sz w:val="18"/>
                <w:szCs w:val="18"/>
                <w:color w:val="auto"/>
              </w:rPr>
            </w:pP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20" w:type="dxa"/>
            <w:vAlign w:val="bottom"/>
          </w:tcPr>
          <w:p>
            <w:pPr>
              <w:spacing w:after="0"/>
              <w:rPr>
                <w:sz w:val="18"/>
                <w:szCs w:val="18"/>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2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2012</w:t>
            </w:r>
          </w:p>
        </w:tc>
        <w:tc>
          <w:tcPr>
            <w:tcW w:w="120" w:type="dxa"/>
            <w:vAlign w:val="bottom"/>
          </w:tcPr>
          <w:p>
            <w:pPr>
              <w:spacing w:after="0"/>
              <w:rPr>
                <w:sz w:val="18"/>
                <w:szCs w:val="18"/>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18"/>
                <w:szCs w:val="18"/>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2013</w:t>
            </w:r>
          </w:p>
        </w:tc>
        <w:tc>
          <w:tcPr>
            <w:tcW w:w="0" w:type="dxa"/>
            <w:vAlign w:val="bottom"/>
          </w:tcPr>
          <w:p>
            <w:pPr>
              <w:spacing w:after="0"/>
              <w:rPr>
                <w:sz w:val="1"/>
                <w:szCs w:val="1"/>
                <w:color w:val="auto"/>
              </w:rPr>
            </w:pPr>
          </w:p>
        </w:tc>
      </w:tr>
      <w:tr>
        <w:trPr>
          <w:trHeight w:val="33"/>
        </w:trPr>
        <w:tc>
          <w:tcPr>
            <w:tcW w:w="2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4"/>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 amounts in 000’s)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 of certain</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508</w:t>
            </w:r>
          </w:p>
        </w:tc>
        <w:tc>
          <w:tcPr>
            <w:tcW w:w="0" w:type="dxa"/>
            <w:vAlign w:val="bottom"/>
          </w:tcPr>
          <w:p>
            <w:pPr>
              <w:spacing w:after="0"/>
              <w:rPr>
                <w:sz w:val="1"/>
                <w:szCs w:val="1"/>
                <w:color w:val="auto"/>
              </w:rPr>
            </w:pPr>
          </w:p>
        </w:tc>
      </w:tr>
      <w:tr>
        <w:trPr>
          <w:trHeight w:val="216"/>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charges related to</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certain intangible assets</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469</w:t>
            </w:r>
          </w:p>
        </w:tc>
        <w:tc>
          <w:tcPr>
            <w:tcW w:w="0" w:type="dxa"/>
            <w:vAlign w:val="bottom"/>
          </w:tcPr>
          <w:p>
            <w:pPr>
              <w:spacing w:after="0"/>
              <w:rPr>
                <w:sz w:val="1"/>
                <w:szCs w:val="1"/>
                <w:color w:val="auto"/>
              </w:rPr>
            </w:pPr>
          </w:p>
        </w:tc>
      </w:tr>
      <w:tr>
        <w:trPr>
          <w:trHeight w:val="33"/>
        </w:trPr>
        <w:tc>
          <w:tcPr>
            <w:tcW w:w="22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amortization expense and</w:t>
            </w: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charges related to</w:t>
            </w:r>
          </w:p>
        </w:tc>
        <w:tc>
          <w:tcPr>
            <w:tcW w:w="9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977</w:t>
            </w:r>
          </w:p>
        </w:tc>
        <w:tc>
          <w:tcPr>
            <w:tcW w:w="0" w:type="dxa"/>
            <w:vAlign w:val="bottom"/>
          </w:tcPr>
          <w:p>
            <w:pPr>
              <w:spacing w:after="0"/>
              <w:rPr>
                <w:sz w:val="1"/>
                <w:szCs w:val="1"/>
                <w:color w:val="auto"/>
              </w:rPr>
            </w:pPr>
          </w:p>
        </w:tc>
      </w:tr>
      <w:tr>
        <w:trPr>
          <w:trHeight w:val="223"/>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certain intangible assets</w:t>
            </w: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_______________________________________________</w:t>
      </w:r>
    </w:p>
    <w:p>
      <w:pPr>
        <w:spacing w:after="0" w:line="7"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quarterly patent settlement income of $0.5 million.</w:t>
      </w:r>
    </w:p>
    <w:p>
      <w:pPr>
        <w:spacing w:after="0" w:line="147" w:lineRule="exact"/>
        <w:rPr>
          <w:rFonts w:ascii="Times New Roman" w:cs="Times New Roman" w:eastAsia="Times New Roman" w:hAnsi="Times New Roman"/>
          <w:sz w:val="9"/>
          <w:szCs w:val="9"/>
          <w:color w:val="auto"/>
        </w:rPr>
      </w:pPr>
    </w:p>
    <w:p>
      <w:pPr>
        <w:ind w:left="660" w:right="100" w:hanging="652"/>
        <w:spacing w:after="0" w:line="261" w:lineRule="auto"/>
        <w:tabs>
          <w:tab w:leader="none" w:pos="660" w:val="left"/>
        </w:tabs>
        <w:numPr>
          <w:ilvl w:val="0"/>
          <w:numId w:val="3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During the three months ended December 31, 2012, we recorded a $1.5 million non-recurring cumulative out-of-period adjustment to reflect a true-up related to forfeitures of stock awards granted to employees. Of this amount, $0.9 million and $0.6 million were related to fiscal 2011 and the first three quarters of fiscal 2012, respectively. The adjustment resulted in lower stock-based compensation expense and higher operating income and net income during the three months ended December 31, 2012.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Cyclicality and Quarterly Revenue Trends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quarterly results reflect seasonality in the sale of our products, subscriptions and services. In general, a pattern of increased customer buying at year-end has positively impacted sales activity in the fourth quarter. In the first quarter we generally experience lower sequential billings and product revenues, which results in lower revenue. In the third quarter, we generally experience lower revenue in Europe compared to the second quarter due to reduced economic activity in Europe during the summer months, but this may not always be the case. Similarly, our operating income has been affected by these historical trends because operating expenses are relatively fixed in the near-term. Although these seasonal factors are common in the technology sector, historical patterns should not be considered a reliable indicator of our future sales activity or performance. On a quarterly basis, we have usually generated the majority of our product revenue in the final month of each quarter and a significant amount in the last two weeks of a quarter. We believe this is due to customer buying patterns typical in this industry.</w:t>
      </w:r>
    </w:p>
    <w:p>
      <w:pPr>
        <w:spacing w:after="0" w:line="18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total quarterly revenue over the past eight quarters has increased sequentially in each quarter except the first quarter of fiscal 2013 which was down due to the seasonality referenced above and macro-economic challenges experienced in Europe. Product revenue in all of the quarters of fiscal 2013 was higher as compared to the same periods in fiscal 2012, which we believe was due in part to the investments made in our sales organization and continued product innovation.</w:t>
      </w:r>
    </w:p>
    <w:p>
      <w:pPr>
        <w:spacing w:after="0" w:line="180"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Total gross margin has fluctuated on a quarterly basis primarily due to shifts in the mix of sales between products and services. Product gross margins were lower in each quarter of fiscal 2013 compared to the same quarter of fiscal 2012 due to a higher mix of sales of entry-level products. Product gross margin varies based on the types of products sold and the average selling prices of our products. Services gross margins were lower in the first three quarters of fiscal 2013 compared to the same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 of fiscal 2012 as we made investments in our support organizations at a rate slightly greater than the increase in services revenue.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100" w:type="dxa"/>
            <w:vAlign w:val="bottom"/>
          </w:tcPr>
          <w:p>
            <w:pPr>
              <w:spacing w:after="0"/>
              <w:rPr>
                <w:sz w:val="20"/>
                <w:szCs w:val="20"/>
                <w:color w:val="auto"/>
              </w:rPr>
            </w:pPr>
          </w:p>
        </w:tc>
        <w:tc>
          <w:tcPr>
            <w:tcW w:w="148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2011</w:t>
            </w: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amounts in 000’s)</w:t>
            </w:r>
          </w:p>
        </w:tc>
        <w:tc>
          <w:tcPr>
            <w:tcW w:w="14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115,873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122,975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71,990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727,172</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616,611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466,697</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cash, cash equivalents and investments</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843,045</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739,586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538,687</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1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322,485</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249,970</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256,706</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710"/>
        </w:trPr>
        <w:tc>
          <w:tcPr>
            <w:tcW w:w="6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Fiscal Year</w:t>
            </w:r>
          </w:p>
        </w:tc>
        <w:tc>
          <w:tcPr>
            <w:tcW w:w="148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100" w:type="dxa"/>
            <w:vAlign w:val="bottom"/>
          </w:tcPr>
          <w:p>
            <w:pPr>
              <w:spacing w:after="0"/>
              <w:rPr>
                <w:sz w:val="20"/>
                <w:szCs w:val="20"/>
                <w:color w:val="auto"/>
              </w:rPr>
            </w:pPr>
          </w:p>
        </w:tc>
        <w:tc>
          <w:tcPr>
            <w:tcW w:w="148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2011</w:t>
            </w: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amounts in 000’s)</w:t>
            </w:r>
          </w:p>
        </w:tc>
        <w:tc>
          <w:tcPr>
            <w:tcW w:w="14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147,384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183,866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132,842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(146,734)</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(182,711)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(166,826)</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50,156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39,797</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50,985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5,131</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Liquidity and capital resources may be impacted by our operating activities, as well as acquisitions, capital expenditures and investments in strategic relationships that we have made or may make in the future. We expect to spend approximately $15.0 million related to the improvement of our new corporate headquarters in fiscal 2014. Additionally, our liquidity may be impacted, if we were to repurchase additional shares of our common stock under our Share Repurchase Program. As of December 31, 2013, $161.1 million remains available for future share repurchases under this program, which will be financed through our available working capital.</w:t>
      </w:r>
    </w:p>
    <w:p>
      <w:pPr>
        <w:spacing w:after="0" w:line="18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2013, our cash, cash equivalents, and investments of $843.0 million were held for working-capital purposes and were invested primarily in corporate debt securities, commercial paper, municipal bonds, certificates of deposit and term deposits, money market funds, and U.S. government and agency debt securities. It is our investment policy to invest excess cash in a manner that preserves capital, provides liquidity and maximizes return.</w:t>
      </w:r>
    </w:p>
    <w:p>
      <w:pPr>
        <w:spacing w:after="0" w:line="18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2013, $88.9 million of our cash and investments was held by our international subsidiaries and is therefore not immediately available to fund domestic operations unless the cash is repatriated. While we do not intend to do so, should this amount be repatriated, it would be subject to U.S. federal income tax which would be partially offset by foreign tax credits. We do not enter into investments for trading or speculative purposes. We believe that our existing cash and cash equivalents will be sufficient to meet our anticipated cash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products and services offerings, the costs to ensure access to adequate manufacturing capacity and the continuing market acceptance of our products. Historically, we have required capital principally to fund our working capital needs, capital expenditures, share repurchases, and acquisition activities.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Fiscal Year</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150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100" w:type="dxa"/>
            <w:vAlign w:val="bottom"/>
          </w:tcPr>
          <w:p>
            <w:pPr>
              <w:spacing w:after="0"/>
              <w:rPr>
                <w:sz w:val="20"/>
                <w:szCs w:val="20"/>
                <w:color w:val="auto"/>
              </w:rPr>
            </w:pPr>
          </w:p>
        </w:tc>
        <w:tc>
          <w:tcPr>
            <w:tcW w:w="148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amounts in 000’s)</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44,273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66,836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62,492</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 xml:space="preserve">Adjustments for non-cash charges </w:t>
            </w:r>
            <w:r>
              <w:rPr>
                <w:rFonts w:ascii="Times New Roman" w:cs="Times New Roman" w:eastAsia="Times New Roman" w:hAnsi="Times New Roman"/>
                <w:sz w:val="18"/>
                <w:szCs w:val="18"/>
                <w:color w:val="auto"/>
                <w:vertAlign w:val="superscript"/>
              </w:rPr>
              <w:t>(1)</w:t>
            </w: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69,153</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44,028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18,712</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before non-cash charges</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113,426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110,864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81,204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deferred revenue</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68,871</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68,292</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42,177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income taxes payable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22,522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28,265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35,964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accounts payable and accrued liabilities, net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12,139</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8,566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accrued payroll and compensation</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6,013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4,599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4,773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 other assets</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inventory</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accounts receivable—net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deferred tax assets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prepaid expenses and other current assets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147,384</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183,866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132,842</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240" w:hanging="652"/>
        <w:spacing w:after="0" w:line="250" w:lineRule="auto"/>
        <w:tabs>
          <w:tab w:leader="none" w:pos="660" w:val="left"/>
        </w:tabs>
        <w:numPr>
          <w:ilvl w:val="0"/>
          <w:numId w:val="3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Non-cash charges consist of stock-based compensation expense, depreciation and amortization, amortization of investment premiums, an excess tax benefit from our employee stock option plans, and other non-cash items, net. For additional information regarding such non-cash charges, see our consolidated statements of cash flows in Part II, Item 8 of this Annual Report on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fiscal 2013, operating activities provided $147.4 million in cash as a result of our billings growth, profitability, and the ability to successfully manage our working capital. Net income was $44.3 million, increased by non-cash adjustments of $69.2 million and sources of cash of $110.8 million partially offset by uses of cash of $76.8 million from changes in operating assets and liabilities. Non-cash adjustments consist of stock-based compensation expense of $43.9 million, amortization of investment premiums of $11.6 million, depreciation and amortization of $15.6 million, and other non-cash items, net, of $1.0 million, partially offset by an excess tax benefit from employee stock option plans of $3.0 million. Sources of cash were related to a $68.9 million increase in deferred revenue which was attributable primarily to increased sales of our subscription and support services, which have yet to be recognized as income, a $22.5 million increase in income tax payable, due to our continued profitability and timing of tax payments, a $6.0 million increase in accrued payroll and compensation primarily related to increased headcount and employer taxes related to the exercise of stock options, a $1.2 million decrease in other assets, a $12.1 million increase in accounts payable and accrued liabilities related to timing of payments. Uses of cash were related to a $22.1 million increase in accounts receivable due to the overall growth of our business, a $35.1 million increase in inventory due to investing in adequate levels of inventory to reduce the risk of product stockouts to support new product releases combined with the overall growth in the business, a $18.8 million increase in deferred tax assets, and a $0.9 million increase in prepaid expenses and other current assets.</w:t>
      </w:r>
    </w:p>
    <w:p>
      <w:pPr>
        <w:spacing w:after="0" w:line="19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fiscal 2012, operating activities provided $183.9 million in cash as a result of our billings growth, profitability, and the ability to successfully manage our working capital. Net income was $66.8 million, increased by non-cash adjustments of $44.0 million and sources of cash of $105.7 million partially offset by uses of cash of $32.7 million from changes in operating assets and liabilities. Non-cash adjustments consist of stock-based compensation expense of $30.7 million, amortization of investment premiums of $13.0 million, depreciation and amortization of $11.6 million, and other non-cash items, net, of $0.9 million, partially offset by an excess tax benefit from employee stock option plans of $12.1 million. Sources of cash were related to a $68.3 million increase in deferred revenue which was attributable primarily to increased sales of our subscription and support services, which have yet to be recognized in income, a $28.3 million increase in income tax payable, due to our continued profitability and timing of tax payments, a $4.6 million increase in accrued payroll and compensation primarily related to increased headcount and employer taxes related to the exercise of stock options, a $2.5 million decrease in other assets, a $1.3 million increase in accounts payable and accrued liabilities related to timing of payments, and a $0.8 million decrease in prepaid expenses and other current assets. Uses of cash were related to a $12.1 million increase in accounts receivable due to the overall growth of our business and stronger collections experience, a $11.3 million increase in inventory primarily to support new product releases combined with the overall growth of our business, and a $9.3 million increase in deferred tax assets.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fiscal 2011, operating activities provided $132.8 million in cash as a result of our strong performance primarily driven by billings growth, profitability, and the ability to successfully manage our working capital. Net income was $62.5 million, increased by non-cash adjustments of $18.7 million and sources of cash of $91.5 million partially offset by uses of cash of $39.8 million from changes in operating assets and liabilities. Non-cash adjustments consist of stock-based compensation expense of $19.0 million, amortization of investment premiums of $12.5 million, and depreciation and amortization of $7.0 million, partially offset by an excess tax benefit from employee stock option plans of $19.8 million. Sources of cash were related to a $42.2 million increase in deferred revenue which was attributable primarily to increased sales of our subscription and support services, which have yet to be recognized in income, a $36.0 million increase in income tax payable, due to our continued profitability and timing of tax payments, an $8.6 million increase in accrued liabilities and accounts payable related to timing of payments, a $4.7 million increase in accrued payroll and compensation primarily related to increased headcount and employer taxes related to the exercise of stock options, and a $0.2 million decrease in other assets. Uses of cash were related to a $23.2 million increase in accounts receivable due to the overall growth of our business, a $7.9 million increase in deferred tax assets, a $6.0 million increase in inventory primarily to support new product releases combined with the overall growth of our business, and a $2.9 million increase in prepaid expenses and current other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In fiscal 2013, our investing activities consisted primarily of purchases and sales of investments, and to a much lesser extent, capital expenditures. The $146.7 million of cash used by investing activities was due to net purchases of investments of $125.2 million, purchases of property and equipment of $13.9 million and acquisitions for $7.6 million.</w:t>
      </w:r>
    </w:p>
    <w:p>
      <w:pPr>
        <w:spacing w:after="0" w:line="176"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In fiscal 2012, our investing activities consisted primarily of purchases and sales of investments, and to a much lesser extent, capital expenditures. The $182.7 million of cash used by investing activities was due to net purchases of investments of $159.4 million, purchases of property and equipment of $22.1 million (including $14.5 million to purchase land and building to support the growth in our business operations) and acquisitions for $1.2 million.</w:t>
      </w:r>
    </w:p>
    <w:p>
      <w:pPr>
        <w:spacing w:after="0" w:line="176"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In fiscal 2011, our investing activities consisted primarily of purchases and sales of investments, and to a much lesser extent, capital expenditures. The $166.8 million of cash used by investing activities was due to net purchases of investments of $160.6 million, purchases of property and equipment of $3.6 million, and an acquisition for $2.6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fiscal 2013, our financing activities resulted in net cash used of $6.4 million as a result of our repurchase and retirement of $33.5 million of common stock and our net-share settlement of equity awards of $1.5 million. This was offset by receiving proceeds of $12.9 million and $12.7 million from the issuance of common stock under our stock option plans and ESPP, respectively, and an excess tax benefit from employee stock option exercises of $3.0 million.</w:t>
      </w:r>
    </w:p>
    <w:p>
      <w:pPr>
        <w:spacing w:after="0" w:line="180"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In fiscal 2012, our financing activities resulted in net cash provided of $50.2 million as a result of receiving proceeds of $27.2 million and $10.9 million from the issuance of common stock under our stock option plans and ESPP, respectively, and an excess tax benefit from employee stock option exercises of $12.1 million.</w:t>
      </w:r>
    </w:p>
    <w:p>
      <w:pPr>
        <w:spacing w:after="0" w:line="17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In fiscal 2011, our financing activities resulted in net cash provided of $39.8 million as a result of receiving proceeds of $20.0 million from the issuance of common stock under our stock option plans and an excess tax benefit from employee stock exercises of $19.8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our contractual obligations as of December 31, 2013:</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5"/>
          </w:tcPr>
          <w:p>
            <w:pPr>
              <w:jc w:val="center"/>
              <w:ind w:left="933"/>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46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7"/>
        </w:trPr>
        <w:tc>
          <w:tcPr>
            <w:tcW w:w="4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More than 5</w:t>
            </w:r>
          </w:p>
        </w:tc>
      </w:tr>
      <w:tr>
        <w:trPr>
          <w:trHeight w:val="212"/>
        </w:trPr>
        <w:tc>
          <w:tcPr>
            <w:tcW w:w="4640" w:type="dxa"/>
            <w:vAlign w:val="bottom"/>
          </w:tcPr>
          <w:p>
            <w:pPr>
              <w:spacing w:after="0"/>
              <w:rPr>
                <w:sz w:val="18"/>
                <w:szCs w:val="18"/>
                <w:color w:val="auto"/>
              </w:rPr>
            </w:pPr>
          </w:p>
        </w:tc>
        <w:tc>
          <w:tcPr>
            <w:tcW w:w="138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Less than 1 year</w:t>
            </w:r>
          </w:p>
        </w:tc>
        <w:tc>
          <w:tcPr>
            <w:tcW w:w="100" w:type="dxa"/>
            <w:vAlign w:val="bottom"/>
          </w:tcPr>
          <w:p>
            <w:pPr>
              <w:spacing w:after="0"/>
              <w:rPr>
                <w:sz w:val="18"/>
                <w:szCs w:val="18"/>
                <w:color w:val="auto"/>
              </w:rPr>
            </w:pPr>
          </w:p>
        </w:tc>
        <w:tc>
          <w:tcPr>
            <w:tcW w:w="15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1 - 3 years</w:t>
            </w: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3 - 5 years</w:t>
            </w:r>
          </w:p>
        </w:tc>
        <w:tc>
          <w:tcPr>
            <w:tcW w:w="124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years</w:t>
            </w:r>
          </w:p>
        </w:tc>
      </w:tr>
      <w:tr>
        <w:trPr>
          <w:trHeight w:val="33"/>
        </w:trPr>
        <w:tc>
          <w:tcPr>
            <w:tcW w:w="46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4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2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 amounts in 000’s)</w:t>
            </w: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4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18"/>
                <w:szCs w:val="18"/>
                <w:color w:val="auto"/>
                <w:vertAlign w:val="superscript"/>
              </w:rPr>
              <w:t>(1)</w:t>
            </w: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31,905</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8,759</w:t>
            </w:r>
          </w:p>
        </w:tc>
        <w:tc>
          <w:tcPr>
            <w:tcW w:w="134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15,291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6,230</w:t>
            </w:r>
          </w:p>
        </w:tc>
        <w:tc>
          <w:tcPr>
            <w:tcW w:w="12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1,625</w:t>
            </w:r>
          </w:p>
        </w:tc>
      </w:tr>
      <w:tr>
        <w:trPr>
          <w:trHeight w:val="262"/>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Purchase commitments </w:t>
            </w:r>
            <w:r>
              <w:rPr>
                <w:rFonts w:ascii="Times New Roman" w:cs="Times New Roman" w:eastAsia="Times New Roman" w:hAnsi="Times New Roman"/>
                <w:sz w:val="18"/>
                <w:szCs w:val="18"/>
                <w:color w:val="auto"/>
                <w:vertAlign w:val="superscript"/>
              </w:rPr>
              <w:t>(2)</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37,794</w:t>
            </w:r>
          </w:p>
        </w:tc>
        <w:tc>
          <w:tcPr>
            <w:tcW w:w="120" w:type="dxa"/>
            <w:vAlign w:val="bottom"/>
          </w:tcPr>
          <w:p>
            <w:pPr>
              <w:spacing w:after="0"/>
              <w:rPr>
                <w:sz w:val="22"/>
                <w:szCs w:val="22"/>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37,794</w:t>
            </w:r>
          </w:p>
        </w:tc>
        <w:tc>
          <w:tcPr>
            <w:tcW w:w="100" w:type="dxa"/>
            <w:vAlign w:val="bottom"/>
          </w:tcPr>
          <w:p>
            <w:pPr>
              <w:spacing w:after="0"/>
              <w:rPr>
                <w:sz w:val="22"/>
                <w:szCs w:val="22"/>
                <w:color w:val="auto"/>
              </w:rPr>
            </w:pPr>
          </w:p>
        </w:tc>
        <w:tc>
          <w:tcPr>
            <w:tcW w:w="15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2"/>
        </w:trPr>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Other contracts </w:t>
            </w:r>
            <w:r>
              <w:rPr>
                <w:rFonts w:ascii="Times New Roman" w:cs="Times New Roman" w:eastAsia="Times New Roman" w:hAnsi="Times New Roman"/>
                <w:sz w:val="18"/>
                <w:szCs w:val="18"/>
                <w:color w:val="auto"/>
                <w:vertAlign w:val="superscript"/>
              </w:rPr>
              <w:t>(3)</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9,946</w:t>
            </w:r>
          </w:p>
        </w:tc>
        <w:tc>
          <w:tcPr>
            <w:tcW w:w="12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9,632</w:t>
            </w:r>
          </w:p>
        </w:tc>
        <w:tc>
          <w:tcPr>
            <w:tcW w:w="10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79,645</w:t>
            </w:r>
          </w:p>
        </w:tc>
        <w:tc>
          <w:tcPr>
            <w:tcW w:w="120" w:type="dxa"/>
            <w:vAlign w:val="bottom"/>
          </w:tcPr>
          <w:p>
            <w:pPr>
              <w:spacing w:after="0"/>
              <w:rPr>
                <w:sz w:val="22"/>
                <w:szCs w:val="22"/>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56,185</w:t>
            </w:r>
          </w:p>
        </w:tc>
        <w:tc>
          <w:tcPr>
            <w:tcW w:w="134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15,555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6,280</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1,625</w:t>
            </w:r>
          </w:p>
        </w:tc>
      </w:tr>
      <w:tr>
        <w:trPr>
          <w:trHeight w:val="20"/>
        </w:trPr>
        <w:tc>
          <w:tcPr>
            <w:tcW w:w="46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640" w:type="dxa"/>
            <w:vAlign w:val="bottom"/>
          </w:tcPr>
          <w:p>
            <w:pPr>
              <w:spacing w:after="0"/>
              <w:rPr>
                <w:sz w:val="24"/>
                <w:szCs w:val="24"/>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21"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Consists of contractual obligations from non-cancelable office space under operating leases.</w:t>
      </w:r>
    </w:p>
    <w:p>
      <w:pPr>
        <w:spacing w:after="0" w:line="1" w:lineRule="exact"/>
        <w:rPr>
          <w:rFonts w:ascii="Times New Roman" w:cs="Times New Roman" w:eastAsia="Times New Roman" w:hAnsi="Times New Roman"/>
          <w:sz w:val="9"/>
          <w:szCs w:val="9"/>
          <w:color w:val="auto"/>
        </w:rPr>
      </w:pPr>
    </w:p>
    <w:p>
      <w:pPr>
        <w:ind w:left="660" w:hanging="652"/>
        <w:spacing w:after="0"/>
        <w:tabs>
          <w:tab w:leader="none" w:pos="660" w:val="left"/>
        </w:tabs>
        <w:numPr>
          <w:ilvl w:val="0"/>
          <w:numId w:val="3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Consists of minimum purchase commitments with independent contract manufacturers.</w:t>
      </w:r>
    </w:p>
    <w:p>
      <w:pPr>
        <w:spacing w:after="0" w:line="1" w:lineRule="exact"/>
        <w:rPr>
          <w:rFonts w:ascii="Times New Roman" w:cs="Times New Roman" w:eastAsia="Times New Roman" w:hAnsi="Times New Roman"/>
          <w:sz w:val="9"/>
          <w:szCs w:val="9"/>
          <w:color w:val="auto"/>
        </w:rPr>
      </w:pPr>
    </w:p>
    <w:p>
      <w:pPr>
        <w:ind w:left="660" w:right="100" w:hanging="652"/>
        <w:spacing w:after="0" w:line="244" w:lineRule="auto"/>
        <w:tabs>
          <w:tab w:leader="none" w:pos="660" w:val="left"/>
        </w:tabs>
        <w:numPr>
          <w:ilvl w:val="0"/>
          <w:numId w:val="3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Consists of an estimate of all open purchase orders and contractual obligations in the ordinary course of business, other than commitments with contract manufacturers and suppliers, for which we have not received the goods or services. Purchase obligations do not include contracts that may be cancelled without penalty. Although open purchase orders are considered enforceable and legally binding, the terms generally allow us the option to cancel, reschedule, and adjust our requirements based on our business needs prior to the delivery of goods or performance of services. No tax liabilities related to uncertain tax positions have been included in the table. As of December 31, 2013, we had $30.2 million of long-term tax liabilities, including interest, related to uncertain tax positions. Because of the high degree of uncertainty regarding the settlement of these liabilities, we are unable to estimate the years in which future cash outflows may occur.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During fiscal 2013, 2012 and 2011,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See Note 1 of the notes to our consolidated financial statements in Part II, Item 8 of this Annual Report on Form 10-K for a full description of recently adopted accounting pronouncements.</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primary objectives of our investment activities are to preserve principal,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 portfolio of cash, cash equivalents and investments in a variety of securities, including commercial paper, money market funds, government and corporate debt securities and certificates of deposit. The risk associated with fluctuating interest rates is limited to our investment portfolio. A 10% decrease in interest rates in fiscal 2013, 2012 and 2011 would have resulted in a decrease in our interest income by $0.5 million, $0.5 million, and $0.4 million,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right="220" w:firstLine="648"/>
        <w:spacing w:after="0" w:line="254" w:lineRule="auto"/>
        <w:rPr>
          <w:sz w:val="20"/>
          <w:szCs w:val="20"/>
          <w:color w:val="auto"/>
        </w:rPr>
      </w:pPr>
      <w:r>
        <w:rPr>
          <w:rFonts w:ascii="Times New Roman" w:cs="Times New Roman" w:eastAsia="Times New Roman" w:hAnsi="Times New Roman"/>
          <w:sz w:val="18"/>
          <w:szCs w:val="18"/>
          <w:color w:val="auto"/>
        </w:rPr>
        <w:t>Our sales contracts are primarily denominated in U.S. dollars and therefore substantially all of our revenue is not subject to foreign currency translation risk. However, a substantial portion of our operating expenses incurred outside the U.S. are denominated in foreign currencies and are subject to fluctuations due to changes in foreign currency exchange rates, particularly changes in the Canadian dollar (CAD). To help protect against significant fluctuations in value and the volatility of future cash flows caused by changes in currency exchange rates, we engage in foreign currency risk management activities to hedge balance sheet items denominated in CAD. We do not use these contracts for speculative or trading purposes. All of the derivative instruments are with high quality financial institutions, and we monitor the creditworthiness of these parties. These contracts typically have maturities between one and three months. We record changes in the fair value of forward exchange contracts related to balance sheet accounts as other expense, net in the consolidated statement of operations. We recognized an expense of $1.5 million in other expense, net, in fiscal 2013 due to foreign currency transaction losses.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hedging activities are intended to reduce, but not eliminate, the impact of currency exchange rate movements. As our hedging activities are relatively short-term in nature and are focused on CAD, long-term material changes in the value of the U.S. dollar against other foreign currencies, such as the Euro (EUR), British pound (GBP), and Japanese yen (JPY) could adversely impact our operating expenses in the future. We assessed the risk of loss in fair values from the impact of hypothetical changes in foreign currency exchange rates. For foreign currency exchange rate risk, a 10% increase or decrease of foreign currency exchange rates against the U.S. dollar with all other variables held constant would have resulted in a $1.7 million change in the value of our foreign currency cash accounts as of December 31, 2013.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monetary assets, consisting primarily of cash, cash equivalents and short-term investments, are not affected significantly by inflation because they are short-term. We believe the impact of inflation on replacement costs of equipment, furniture and leasehold improvements will not materially affect our operations. The rate of inflation, however, affects our cost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revenue and expenses, such as those for employee compensation, which may not be readily recoverable in the price of products and services offered by us.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Financial Statements and Supplementary Data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2013, 2012, and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2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68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33"/>
        </w:trPr>
        <w:tc>
          <w:tcPr>
            <w:tcW w:w="2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534"/>
        </w:trPr>
        <w:tc>
          <w:tcPr>
            <w:tcW w:w="4220" w:type="dxa"/>
            <w:vAlign w:val="bottom"/>
            <w:gridSpan w:val="7"/>
          </w:tcPr>
          <w:p>
            <w:pPr>
              <w:spacing w:after="0"/>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Report of Independent Registered Public Accounting Firm</w:t>
              </w:r>
            </w:hyperlink>
          </w:p>
        </w:tc>
        <w:tc>
          <w:tcPr>
            <w:tcW w:w="6480" w:type="dxa"/>
            <w:vAlign w:val="bottom"/>
          </w:tcPr>
          <w:p>
            <w:pPr>
              <w:spacing w:after="0"/>
              <w:rPr>
                <w:sz w:val="24"/>
                <w:szCs w:val="24"/>
                <w:color w:val="auto"/>
              </w:rPr>
            </w:pPr>
          </w:p>
        </w:tc>
        <w:tc>
          <w:tcPr>
            <w:tcW w:w="6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59</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220" w:type="dxa"/>
            <w:vAlign w:val="bottom"/>
            <w:gridSpan w:val="7"/>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Consolidated Balance Sheets</w:t>
              </w:r>
            </w:hyperlink>
          </w:p>
        </w:tc>
        <w:tc>
          <w:tcPr>
            <w:tcW w:w="6480" w:type="dxa"/>
            <w:vAlign w:val="bottom"/>
          </w:tcPr>
          <w:p>
            <w:pPr>
              <w:spacing w:after="0"/>
              <w:rPr>
                <w:sz w:val="21"/>
                <w:szCs w:val="21"/>
                <w:color w:val="auto"/>
              </w:rPr>
            </w:pPr>
          </w:p>
        </w:tc>
        <w:tc>
          <w:tcPr>
            <w:tcW w:w="6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60</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gridSpan w:val="8"/>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Consolidated Statements of Operations</w:t>
              </w:r>
            </w:hyperlink>
          </w:p>
        </w:tc>
        <w:tc>
          <w:tcPr>
            <w:tcW w:w="6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61</w:t>
              </w:r>
            </w:hyperlink>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6"/>
          </w:tcPr>
          <w:p>
            <w:pPr>
              <w:spacing w:after="0"/>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Consolidated Statements of Comprehensive Income</w:t>
              </w:r>
            </w:hyperlink>
          </w:p>
        </w:tc>
        <w:tc>
          <w:tcPr>
            <w:tcW w:w="6960" w:type="dxa"/>
            <w:vAlign w:val="bottom"/>
            <w:gridSpan w:val="2"/>
          </w:tcPr>
          <w:p>
            <w:pPr>
              <w:spacing w:after="0"/>
              <w:rPr>
                <w:sz w:val="21"/>
                <w:szCs w:val="21"/>
                <w:color w:val="auto"/>
              </w:rPr>
            </w:pPr>
          </w:p>
        </w:tc>
        <w:tc>
          <w:tcPr>
            <w:tcW w:w="6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62</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6"/>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Consolidated Statements of Stockholders’ Equity</w:t>
              </w:r>
            </w:hyperlink>
          </w:p>
        </w:tc>
        <w:tc>
          <w:tcPr>
            <w:tcW w:w="6960" w:type="dxa"/>
            <w:vAlign w:val="bottom"/>
            <w:gridSpan w:val="2"/>
          </w:tcPr>
          <w:p>
            <w:pPr>
              <w:spacing w:after="0"/>
              <w:rPr>
                <w:sz w:val="21"/>
                <w:szCs w:val="21"/>
                <w:color w:val="auto"/>
              </w:rPr>
            </w:pPr>
          </w:p>
        </w:tc>
        <w:tc>
          <w:tcPr>
            <w:tcW w:w="6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63</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1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40" w:type="dxa"/>
            <w:vAlign w:val="bottom"/>
            <w:gridSpan w:val="5"/>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Consolidated Statements of Cash Flows</w:t>
              </w:r>
            </w:hyperlink>
          </w:p>
        </w:tc>
        <w:tc>
          <w:tcPr>
            <w:tcW w:w="7160" w:type="dxa"/>
            <w:vAlign w:val="bottom"/>
            <w:gridSpan w:val="3"/>
          </w:tcPr>
          <w:p>
            <w:pPr>
              <w:spacing w:after="0"/>
              <w:rPr>
                <w:sz w:val="21"/>
                <w:szCs w:val="21"/>
                <w:color w:val="auto"/>
              </w:rPr>
            </w:pPr>
          </w:p>
        </w:tc>
        <w:tc>
          <w:tcPr>
            <w:tcW w:w="6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64</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gridSpan w:val="8"/>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Notes to Consolidated Financial Statements</w:t>
              </w:r>
            </w:hyperlink>
          </w:p>
        </w:tc>
        <w:tc>
          <w:tcPr>
            <w:tcW w:w="680" w:type="dxa"/>
            <w:vAlign w:val="bottom"/>
            <w:gridSpan w:val="3"/>
          </w:tcPr>
          <w:p>
            <w:pPr>
              <w:jc w:val="right"/>
              <w:ind w:right="20"/>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65</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supplementary financial information required by this Item 8 is included in Part II, Item 7 of this Annual Report on Form 10-K under the caption “Quarterly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Fortinet,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Sunnyvale, California</w:t>
      </w:r>
    </w:p>
    <w:p>
      <w:pPr>
        <w:spacing w:after="0" w:line="20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Fortinet, Inc. and subsidiaries (“Company”) as of December 31, 2013 and 2012, and the related consolidated statements of operations, comprehensive income, stockholders’ equity, and cash flows for each of the three years in the period ended December 31, 2013.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8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In our opinion, such consolidated financial statements present fairly, in all material respects, the financial position of Fortinet, Inc. and subsidiaries as of December 31, 2013 and 2012, and the results of their operations and their cash flows for each of the three years in the period ended December 31, 2013,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38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the Company’s internal control over financial reporting as of December 31, 2013, based on </w:t>
      </w:r>
      <w:r>
        <w:rPr>
          <w:rFonts w:ascii="Times New Roman" w:cs="Times New Roman" w:eastAsia="Times New Roman" w:hAnsi="Times New Roman"/>
          <w:sz w:val="18"/>
          <w:szCs w:val="18"/>
          <w:i w:val="1"/>
          <w:iCs w:val="1"/>
          <w:color w:val="auto"/>
        </w:rPr>
        <w:t>Internal Control-Integrated Framework (1992)</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27, 2014 expressed an unqualified opinion on the Company’s internal control over financial reporting.</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60"/>
          </w:cols>
          <w:pgMar w:left="240" w:top="118" w:right="29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466"/>
        </w:trPr>
        <w:tc>
          <w:tcPr>
            <w:tcW w:w="1020" w:type="dxa"/>
            <w:vAlign w:val="bottom"/>
            <w:tcBorders>
              <w:top w:val="single" w:sz="8" w:color="0000EE"/>
            </w:tcBorders>
          </w:tcPr>
          <w:p>
            <w:pPr>
              <w:spacing w:after="0"/>
              <w:rPr>
                <w:sz w:val="24"/>
                <w:szCs w:val="24"/>
                <w:color w:val="auto"/>
              </w:rPr>
            </w:pPr>
          </w:p>
        </w:tc>
        <w:tc>
          <w:tcPr>
            <w:tcW w:w="73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8"/>
              </w:rPr>
              <w:t>FORTINET, INC.</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5"/>
        </w:trPr>
        <w:tc>
          <w:tcPr>
            <w:tcW w:w="1020" w:type="dxa"/>
            <w:vAlign w:val="bottom"/>
          </w:tcPr>
          <w:p>
            <w:pPr>
              <w:spacing w:after="0"/>
              <w:rPr>
                <w:sz w:val="23"/>
                <w:szCs w:val="23"/>
                <w:color w:val="auto"/>
              </w:rPr>
            </w:pPr>
          </w:p>
        </w:tc>
        <w:tc>
          <w:tcPr>
            <w:tcW w:w="732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8"/>
        </w:trPr>
        <w:tc>
          <w:tcPr>
            <w:tcW w:w="1020" w:type="dxa"/>
            <w:vAlign w:val="bottom"/>
          </w:tcPr>
          <w:p>
            <w:pPr>
              <w:spacing w:after="0"/>
              <w:rPr>
                <w:sz w:val="20"/>
                <w:szCs w:val="20"/>
                <w:color w:val="auto"/>
              </w:rPr>
            </w:pPr>
          </w:p>
        </w:tc>
        <w:tc>
          <w:tcPr>
            <w:tcW w:w="73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45"/>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0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2012</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115,873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122,975</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375,497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290,719</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83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and sales returns of $4,605 and $2,382 as of</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December 31, 2013 and 2012,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130,471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107,642</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48,672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21,060</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13,663</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13,215</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735,546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569,274</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25,638</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ASSETS—Non-current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48,525</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INVESTMENTS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351,675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325,892</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2,117</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4,051</w:t>
            </w:r>
          </w:p>
        </w:tc>
      </w:tr>
      <w:tr>
        <w:trPr>
          <w:trHeight w:val="257"/>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1,168,464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975,497</w:t>
            </w:r>
          </w:p>
        </w:tc>
      </w:tr>
      <w:tr>
        <w:trPr>
          <w:trHeight w:val="20"/>
        </w:trPr>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6"/>
        </w:trPr>
        <w:tc>
          <w:tcPr>
            <w:tcW w:w="10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20,816</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18,481</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payroll and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28,957</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3,782</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293,664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247,268</w:t>
            </w:r>
          </w:p>
        </w:tc>
      </w:tr>
      <w:tr>
        <w:trPr>
          <w:trHeight w:val="237"/>
        </w:trPr>
        <w:tc>
          <w:tcPr>
            <w:tcW w:w="8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413,061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319,304</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REVENUE—Non-current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138,964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115,917</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TAXES PAYABLE—Non-current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28,778</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w:t>
            </w:r>
          </w:p>
        </w:tc>
      </w:tr>
      <w:tr>
        <w:trPr>
          <w:trHeight w:val="237"/>
        </w:trPr>
        <w:tc>
          <w:tcPr>
            <w:tcW w:w="8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582,704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464,563</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83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Common stock, $0.001 par value — 300,000 shares authorized; 161,535 and 161,757 shares issued and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161,535 and 160,348 shares outstanding as of December 31, 2013 and December 31, 2012,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462,644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400,075</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Treasury stock</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r>
      <w:tr>
        <w:trPr>
          <w:trHeight w:val="243"/>
        </w:trPr>
        <w:tc>
          <w:tcPr>
            <w:tcW w:w="83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3,091</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121,863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110,601</w:t>
            </w:r>
          </w:p>
        </w:tc>
      </w:tr>
      <w:tr>
        <w:trPr>
          <w:trHeight w:val="237"/>
        </w:trPr>
        <w:tc>
          <w:tcPr>
            <w:tcW w:w="8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585,760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510,934</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1,168,464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975,497</w:t>
            </w:r>
          </w:p>
        </w:tc>
      </w:tr>
      <w:tr>
        <w:trPr>
          <w:trHeight w:val="20"/>
        </w:trPr>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14" w:right="239" w:bottom="1440" w:gutter="0" w:footer="0" w:header="0"/>
          <w:type w:val="continuous"/>
        </w:sectPr>
      </w:pPr>
    </w:p>
    <w:bookmarkStart w:id="63" w:name="page64"/>
    <w:bookmarkEnd w:id="6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2013</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Times New Roman" w:cs="Times New Roman" w:eastAsia="Times New Roman" w:hAnsi="Times New Roman"/>
                <w:sz w:val="16"/>
                <w:szCs w:val="16"/>
                <w:b w:val="1"/>
                <w:bCs w:val="1"/>
                <w:color w:val="auto"/>
              </w:rPr>
              <w:t>2011</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112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278,046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248,948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197,408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Services</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329,723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274,043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220,268</w:t>
            </w:r>
          </w:p>
        </w:tc>
        <w:tc>
          <w:tcPr>
            <w:tcW w:w="0" w:type="dxa"/>
            <w:vAlign w:val="bottom"/>
          </w:tcPr>
          <w:p>
            <w:pPr>
              <w:spacing w:after="0"/>
              <w:rPr>
                <w:sz w:val="1"/>
                <w:szCs w:val="1"/>
                <w:color w:val="auto"/>
              </w:rPr>
            </w:pPr>
          </w:p>
        </w:tc>
      </w:tr>
      <w:tr>
        <w:trPr>
          <w:trHeight w:val="243"/>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Ratable and other revenue</w:t>
            </w:r>
          </w:p>
        </w:tc>
        <w:tc>
          <w:tcPr>
            <w:tcW w:w="1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15,900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Total revenue</w:t>
            </w:r>
          </w:p>
        </w:tc>
        <w:tc>
          <w:tcPr>
            <w:tcW w:w="1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615,297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533,639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433,576</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1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114,611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93,971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73,201</w:t>
            </w:r>
          </w:p>
        </w:tc>
        <w:tc>
          <w:tcPr>
            <w:tcW w:w="0" w:type="dxa"/>
            <w:vAlign w:val="bottom"/>
          </w:tcPr>
          <w:p>
            <w:pPr>
              <w:spacing w:after="0"/>
              <w:rPr>
                <w:sz w:val="1"/>
                <w:szCs w:val="1"/>
                <w:color w:val="auto"/>
              </w:rPr>
            </w:pPr>
          </w:p>
        </w:tc>
      </w:tr>
      <w:tr>
        <w:trPr>
          <w:trHeight w:val="243"/>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Services</w:t>
            </w:r>
          </w:p>
        </w:tc>
        <w:tc>
          <w:tcPr>
            <w:tcW w:w="1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50,682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35,486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Ratable and other revenue</w:t>
            </w:r>
          </w:p>
        </w:tc>
        <w:tc>
          <w:tcPr>
            <w:tcW w:w="1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4,911</w:t>
            </w:r>
          </w:p>
        </w:tc>
        <w:tc>
          <w:tcPr>
            <w:tcW w:w="0" w:type="dxa"/>
            <w:vAlign w:val="bottom"/>
          </w:tcPr>
          <w:p>
            <w:pPr>
              <w:spacing w:after="0"/>
              <w:rPr>
                <w:sz w:val="1"/>
                <w:szCs w:val="1"/>
                <w:color w:val="auto"/>
              </w:rPr>
            </w:pPr>
          </w:p>
        </w:tc>
      </w:tr>
      <w:tr>
        <w:trPr>
          <w:trHeight w:val="237"/>
        </w:trPr>
        <w:tc>
          <w:tcPr>
            <w:tcW w:w="50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cost of revenue</w:t>
            </w:r>
          </w:p>
        </w:tc>
        <w:tc>
          <w:tcPr>
            <w:tcW w:w="1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180,643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147,420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113,598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Product</w:t>
            </w:r>
          </w:p>
        </w:tc>
        <w:tc>
          <w:tcPr>
            <w:tcW w:w="1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163,435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154,977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124,207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Services</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265,600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223,361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184,782</w:t>
            </w:r>
          </w:p>
        </w:tc>
        <w:tc>
          <w:tcPr>
            <w:tcW w:w="0" w:type="dxa"/>
            <w:vAlign w:val="bottom"/>
          </w:tcPr>
          <w:p>
            <w:pPr>
              <w:spacing w:after="0"/>
              <w:rPr>
                <w:sz w:val="1"/>
                <w:szCs w:val="1"/>
                <w:color w:val="auto"/>
              </w:rPr>
            </w:pPr>
          </w:p>
        </w:tc>
      </w:tr>
      <w:tr>
        <w:trPr>
          <w:trHeight w:val="243"/>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Ratable and other revenue</w:t>
            </w:r>
          </w:p>
        </w:tc>
        <w:tc>
          <w:tcPr>
            <w:tcW w:w="1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10,989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Total gross profit</w:t>
            </w:r>
          </w:p>
        </w:tc>
        <w:tc>
          <w:tcPr>
            <w:tcW w:w="1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434,654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386,219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319,978</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102,660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81,078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63,577</w:t>
            </w:r>
          </w:p>
        </w:tc>
        <w:tc>
          <w:tcPr>
            <w:tcW w:w="0" w:type="dxa"/>
            <w:vAlign w:val="bottom"/>
          </w:tcPr>
          <w:p>
            <w:pPr>
              <w:spacing w:after="0"/>
              <w:rPr>
                <w:sz w:val="1"/>
                <w:szCs w:val="1"/>
                <w:color w:val="auto"/>
              </w:rPr>
            </w:pPr>
          </w:p>
        </w:tc>
      </w:tr>
      <w:tr>
        <w:trPr>
          <w:trHeight w:val="243"/>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224,991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179,155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145,532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34,913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21,965</w:t>
            </w:r>
          </w:p>
        </w:tc>
        <w:tc>
          <w:tcPr>
            <w:tcW w:w="0" w:type="dxa"/>
            <w:vAlign w:val="bottom"/>
          </w:tcPr>
          <w:p>
            <w:pPr>
              <w:spacing w:after="0"/>
              <w:rPr>
                <w:sz w:val="1"/>
                <w:szCs w:val="1"/>
                <w:color w:val="auto"/>
              </w:rPr>
            </w:pPr>
          </w:p>
        </w:tc>
      </w:tr>
      <w:tr>
        <w:trPr>
          <w:trHeight w:val="237"/>
        </w:trPr>
        <w:tc>
          <w:tcPr>
            <w:tcW w:w="50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362,564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285,744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231,074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100,475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88,904</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EXPENSE—Net</w:t>
            </w:r>
          </w:p>
        </w:tc>
        <w:tc>
          <w:tcPr>
            <w:tcW w:w="1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75,941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104,996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92,073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31,668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38,160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29,581</w:t>
            </w:r>
          </w:p>
        </w:tc>
        <w:tc>
          <w:tcPr>
            <w:tcW w:w="0" w:type="dxa"/>
            <w:vAlign w:val="bottom"/>
          </w:tcPr>
          <w:p>
            <w:pPr>
              <w:spacing w:after="0"/>
              <w:rPr>
                <w:sz w:val="1"/>
                <w:szCs w:val="1"/>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top w:val="single" w:sz="8" w:color="auto"/>
              <w:bottom w:val="single" w:sz="8" w:color="auto"/>
            </w:tcBorders>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44,273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66,836</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62,492</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(Note 8):</w:t>
            </w:r>
          </w:p>
        </w:tc>
        <w:tc>
          <w:tcPr>
            <w:tcW w:w="1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0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51"/>
        </w:trPr>
        <w:tc>
          <w:tcPr>
            <w:tcW w:w="5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Borders>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4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162,435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158,074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152,581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168,183</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166,329</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163,781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720"/>
          </w:cols>
          <w:pgMar w:left="240" w:top="118" w:right="93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6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71" w:lineRule="exact"/>
        <w:rPr>
          <w:sz w:val="20"/>
          <w:szCs w:val="20"/>
          <w:color w:val="auto"/>
        </w:rPr>
      </w:pPr>
    </w:p>
    <w:tbl>
      <w:tblPr>
        <w:tblLayout w:type="fixed"/>
        <w:tblInd w:w="68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5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5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2011</w:t>
            </w:r>
          </w:p>
        </w:tc>
      </w:tr>
      <w:tr>
        <w:trPr>
          <w:trHeight w:val="33"/>
        </w:trPr>
        <w:tc>
          <w:tcPr>
            <w:tcW w:w="5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44,273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66,836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62,492</w:t>
            </w:r>
          </w:p>
        </w:tc>
      </w:tr>
      <w:tr>
        <w:trPr>
          <w:trHeight w:val="243"/>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(losses) gains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43"/>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(losses) gains on investments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r>
      <w:tr>
        <w:trPr>
          <w:trHeight w:val="27"/>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losses on cash flow hedges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5"/>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benefit (provision) related to items of other comprehensive income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5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or loss</w:t>
            </w: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7"/>
        </w:trPr>
        <w:tc>
          <w:tcPr>
            <w:tcW w:w="5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57"/>
        </w:trPr>
        <w:tc>
          <w:tcPr>
            <w:tcW w:w="5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42,274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69,525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60,713</w:t>
            </w: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740"/>
          </w:cols>
          <w:pgMar w:left="240" w:top="118" w:right="919" w:bottom="1440" w:gutter="0" w:footer="0" w:header="0"/>
        </w:sectPr>
      </w:pPr>
    </w:p>
    <w:bookmarkStart w:id="65" w:name="page66"/>
    <w:bookmarkEnd w:id="6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1280" w:type="dxa"/>
            <w:vAlign w:val="bottom"/>
            <w:gridSpan w:val="4"/>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vMerge w:val="restart"/>
          </w:tcPr>
          <w:p>
            <w:pPr>
              <w:spacing w:after="0"/>
              <w:rPr>
                <w:sz w:val="13"/>
                <w:szCs w:val="13"/>
                <w:color w:val="auto"/>
              </w:rPr>
            </w:pPr>
          </w:p>
        </w:tc>
        <w:tc>
          <w:tcPr>
            <w:tcW w:w="1240" w:type="dxa"/>
            <w:vAlign w:val="bottom"/>
            <w:gridSpan w:val="4"/>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vMerge w:val="restart"/>
          </w:tcPr>
          <w:p>
            <w:pPr>
              <w:spacing w:after="0"/>
              <w:rPr>
                <w:sz w:val="13"/>
                <w:szCs w:val="13"/>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3"/>
                <w:szCs w:val="13"/>
                <w:color w:val="auto"/>
              </w:rPr>
            </w:pPr>
          </w:p>
        </w:tc>
        <w:tc>
          <w:tcPr>
            <w:tcW w:w="7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3"/>
                <w:szCs w:val="13"/>
                <w:color w:val="auto"/>
              </w:rPr>
            </w:pPr>
          </w:p>
        </w:tc>
        <w:tc>
          <w:tcPr>
            <w:tcW w:w="128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4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020" w:type="dxa"/>
            <w:vAlign w:val="bottom"/>
          </w:tcPr>
          <w:p>
            <w:pPr>
              <w:spacing w:after="0"/>
              <w:rPr>
                <w:sz w:val="10"/>
                <w:szCs w:val="10"/>
                <w:color w:val="auto"/>
              </w:rPr>
            </w:pP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12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20" w:type="dxa"/>
            <w:vAlign w:val="bottom"/>
            <w:gridSpan w:val="3"/>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95"/>
        </w:trPr>
        <w:tc>
          <w:tcPr>
            <w:tcW w:w="30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8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55"/>
        </w:trPr>
        <w:tc>
          <w:tcPr>
            <w:tcW w:w="30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BALANCE—December 31, 2010</w:t>
            </w:r>
          </w:p>
        </w:tc>
        <w:tc>
          <w:tcPr>
            <w:tcW w:w="6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150,172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(2,995)</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251,844</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2,181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232,453</w:t>
            </w:r>
          </w:p>
        </w:tc>
        <w:tc>
          <w:tcPr>
            <w:tcW w:w="0" w:type="dxa"/>
            <w:vAlign w:val="bottom"/>
          </w:tcPr>
          <w:p>
            <w:pPr>
              <w:spacing w:after="0"/>
              <w:rPr>
                <w:sz w:val="1"/>
                <w:szCs w:val="1"/>
                <w:color w:val="auto"/>
              </w:rPr>
            </w:pPr>
          </w:p>
        </w:tc>
      </w:tr>
      <w:tr>
        <w:trPr>
          <w:trHeight w:val="265"/>
        </w:trPr>
        <w:tc>
          <w:tcPr>
            <w:tcW w:w="3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19,962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19,968</w:t>
            </w:r>
          </w:p>
        </w:tc>
        <w:tc>
          <w:tcPr>
            <w:tcW w:w="0" w:type="dxa"/>
            <w:vAlign w:val="bottom"/>
          </w:tcPr>
          <w:p>
            <w:pPr>
              <w:spacing w:after="0"/>
              <w:rPr>
                <w:sz w:val="1"/>
                <w:szCs w:val="1"/>
                <w:color w:val="auto"/>
              </w:rPr>
            </w:pPr>
          </w:p>
        </w:tc>
      </w:tr>
      <w:tr>
        <w:trPr>
          <w:trHeight w:val="275"/>
        </w:trPr>
        <w:tc>
          <w:tcPr>
            <w:tcW w:w="3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19,015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19,015</w:t>
            </w:r>
          </w:p>
        </w:tc>
        <w:tc>
          <w:tcPr>
            <w:tcW w:w="0" w:type="dxa"/>
            <w:vAlign w:val="bottom"/>
          </w:tcPr>
          <w:p>
            <w:pPr>
              <w:spacing w:after="0"/>
              <w:rPr>
                <w:sz w:val="1"/>
                <w:szCs w:val="1"/>
                <w:color w:val="auto"/>
              </w:rPr>
            </w:pPr>
          </w:p>
        </w:tc>
      </w:tr>
      <w:tr>
        <w:trPr>
          <w:trHeight w:val="153"/>
        </w:trPr>
        <w:tc>
          <w:tcPr>
            <w:tcW w:w="3020" w:type="dxa"/>
            <w:vAlign w:val="bottom"/>
          </w:tcPr>
          <w:p>
            <w:pPr>
              <w:ind w:left="280"/>
              <w:spacing w:after="0" w:line="153" w:lineRule="exact"/>
              <w:rPr>
                <w:sz w:val="20"/>
                <w:szCs w:val="20"/>
                <w:color w:val="auto"/>
              </w:rPr>
            </w:pPr>
            <w:r>
              <w:rPr>
                <w:rFonts w:ascii="Times New Roman" w:cs="Times New Roman" w:eastAsia="Times New Roman" w:hAnsi="Times New Roman"/>
                <w:sz w:val="14"/>
                <w:szCs w:val="14"/>
                <w:color w:val="auto"/>
              </w:rPr>
              <w:t>Income tax benefit associated with stock-based</w:t>
            </w: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5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26,205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26,205</w:t>
            </w:r>
          </w:p>
        </w:tc>
        <w:tc>
          <w:tcPr>
            <w:tcW w:w="0" w:type="dxa"/>
            <w:vAlign w:val="bottom"/>
          </w:tcPr>
          <w:p>
            <w:pPr>
              <w:spacing w:after="0"/>
              <w:rPr>
                <w:sz w:val="1"/>
                <w:szCs w:val="1"/>
                <w:color w:val="auto"/>
              </w:rPr>
            </w:pPr>
          </w:p>
        </w:tc>
      </w:tr>
      <w:tr>
        <w:trPr>
          <w:trHeight w:val="193"/>
        </w:trPr>
        <w:tc>
          <w:tcPr>
            <w:tcW w:w="3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compensation</w:t>
            </w: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20" w:type="dxa"/>
            <w:vAlign w:val="bottom"/>
            <w:shd w:val="clear" w:color="auto" w:fill="CCEEFF"/>
          </w:tcPr>
          <w:p>
            <w:pPr>
              <w:ind w:left="280"/>
              <w:spacing w:after="0" w:line="158" w:lineRule="exact"/>
              <w:rPr>
                <w:sz w:val="20"/>
                <w:szCs w:val="20"/>
                <w:color w:val="auto"/>
              </w:rPr>
            </w:pPr>
            <w:r>
              <w:rPr>
                <w:rFonts w:ascii="Times New Roman" w:cs="Times New Roman" w:eastAsia="Times New Roman" w:hAnsi="Times New Roman"/>
                <w:sz w:val="14"/>
                <w:szCs w:val="14"/>
                <w:color w:val="auto"/>
              </w:rPr>
              <w:t>Net unrealized loss on investments - net of</w:t>
            </w:r>
          </w:p>
        </w:tc>
        <w:tc>
          <w:tcPr>
            <w:tcW w:w="7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0" w:type="dxa"/>
            <w:vAlign w:val="bottom"/>
          </w:tcPr>
          <w:p>
            <w:pPr>
              <w:spacing w:after="0"/>
              <w:rPr>
                <w:sz w:val="1"/>
                <w:szCs w:val="1"/>
                <w:color w:val="auto"/>
              </w:rPr>
            </w:pPr>
          </w:p>
        </w:tc>
      </w:tr>
      <w:tr>
        <w:trPr>
          <w:trHeight w:val="198"/>
        </w:trPr>
        <w:tc>
          <w:tcPr>
            <w:tcW w:w="3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taxes</w:t>
            </w:r>
          </w:p>
        </w:tc>
        <w:tc>
          <w:tcPr>
            <w:tcW w:w="7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020" w:type="dxa"/>
            <w:vAlign w:val="bottom"/>
          </w:tcPr>
          <w:p>
            <w:pPr>
              <w:ind w:left="280"/>
              <w:spacing w:after="0" w:line="153" w:lineRule="exact"/>
              <w:rPr>
                <w:sz w:val="20"/>
                <w:szCs w:val="20"/>
                <w:color w:val="auto"/>
              </w:rPr>
            </w:pPr>
            <w:r>
              <w:rPr>
                <w:rFonts w:ascii="Times New Roman" w:cs="Times New Roman" w:eastAsia="Times New Roman" w:hAnsi="Times New Roman"/>
                <w:sz w:val="14"/>
                <w:szCs w:val="14"/>
                <w:color w:val="auto"/>
              </w:rPr>
              <w:t>Net unrealized loss on derivatives qualifying</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93"/>
        </w:trPr>
        <w:tc>
          <w:tcPr>
            <w:tcW w:w="3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as cash flow hedges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20" w:type="dxa"/>
            <w:vAlign w:val="bottom"/>
            <w:shd w:val="clear" w:color="auto" w:fill="CCEEFF"/>
          </w:tcPr>
          <w:p>
            <w:pPr>
              <w:ind w:left="280"/>
              <w:spacing w:after="0" w:line="158" w:lineRule="exact"/>
              <w:rPr>
                <w:sz w:val="20"/>
                <w:szCs w:val="20"/>
                <w:color w:val="auto"/>
              </w:rPr>
            </w:pPr>
            <w:r>
              <w:rPr>
                <w:rFonts w:ascii="Times New Roman" w:cs="Times New Roman" w:eastAsia="Times New Roman" w:hAnsi="Times New Roman"/>
                <w:sz w:val="14"/>
                <w:szCs w:val="14"/>
                <w:color w:val="auto"/>
              </w:rPr>
              <w:t>Net change in cumulative translation</w:t>
            </w:r>
          </w:p>
        </w:tc>
        <w:tc>
          <w:tcPr>
            <w:tcW w:w="7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198"/>
        </w:trPr>
        <w:tc>
          <w:tcPr>
            <w:tcW w:w="3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adjustments</w:t>
            </w:r>
          </w:p>
        </w:tc>
        <w:tc>
          <w:tcPr>
            <w:tcW w:w="7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62,492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62,492</w:t>
            </w:r>
          </w:p>
        </w:tc>
        <w:tc>
          <w:tcPr>
            <w:tcW w:w="0" w:type="dxa"/>
            <w:vAlign w:val="bottom"/>
          </w:tcPr>
          <w:p>
            <w:pPr>
              <w:spacing w:after="0"/>
              <w:rPr>
                <w:sz w:val="1"/>
                <w:szCs w:val="1"/>
                <w:color w:val="auto"/>
              </w:rPr>
            </w:pPr>
          </w:p>
        </w:tc>
      </w:tr>
      <w:tr>
        <w:trPr>
          <w:trHeight w:val="255"/>
        </w:trPr>
        <w:tc>
          <w:tcPr>
            <w:tcW w:w="30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BALANCE—December 31, 2011</w:t>
            </w:r>
          </w:p>
        </w:tc>
        <w:tc>
          <w:tcPr>
            <w:tcW w:w="6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156,401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(2,995)</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317,026</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43,765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358,354</w:t>
            </w:r>
          </w:p>
        </w:tc>
        <w:tc>
          <w:tcPr>
            <w:tcW w:w="0" w:type="dxa"/>
            <w:vAlign w:val="bottom"/>
          </w:tcPr>
          <w:p>
            <w:pPr>
              <w:spacing w:after="0"/>
              <w:rPr>
                <w:sz w:val="1"/>
                <w:szCs w:val="1"/>
                <w:color w:val="auto"/>
              </w:rPr>
            </w:pPr>
          </w:p>
        </w:tc>
      </w:tr>
      <w:tr>
        <w:trPr>
          <w:trHeight w:val="153"/>
        </w:trPr>
        <w:tc>
          <w:tcPr>
            <w:tcW w:w="3020" w:type="dxa"/>
            <w:vAlign w:val="bottom"/>
          </w:tcPr>
          <w:p>
            <w:pPr>
              <w:ind w:left="280"/>
              <w:spacing w:after="0" w:line="153"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4,779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3"/>
                <w:szCs w:val="13"/>
                <w:color w:val="auto"/>
              </w:rPr>
            </w:pP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27,178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27,183</w:t>
            </w:r>
          </w:p>
        </w:tc>
        <w:tc>
          <w:tcPr>
            <w:tcW w:w="0" w:type="dxa"/>
            <w:vAlign w:val="bottom"/>
          </w:tcPr>
          <w:p>
            <w:pPr>
              <w:spacing w:after="0"/>
              <w:rPr>
                <w:sz w:val="1"/>
                <w:szCs w:val="1"/>
                <w:color w:val="auto"/>
              </w:rPr>
            </w:pPr>
          </w:p>
        </w:tc>
      </w:tr>
      <w:tr>
        <w:trPr>
          <w:trHeight w:val="193"/>
        </w:trPr>
        <w:tc>
          <w:tcPr>
            <w:tcW w:w="3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 options</w:t>
            </w: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20" w:type="dxa"/>
            <w:vAlign w:val="bottom"/>
            <w:shd w:val="clear" w:color="auto" w:fill="CCEEFF"/>
          </w:tcPr>
          <w:p>
            <w:pPr>
              <w:ind w:left="280"/>
              <w:spacing w:after="0" w:line="158"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10,903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10,904</w:t>
            </w:r>
          </w:p>
        </w:tc>
        <w:tc>
          <w:tcPr>
            <w:tcW w:w="0" w:type="dxa"/>
            <w:vAlign w:val="bottom"/>
          </w:tcPr>
          <w:p>
            <w:pPr>
              <w:spacing w:after="0"/>
              <w:rPr>
                <w:sz w:val="1"/>
                <w:szCs w:val="1"/>
                <w:color w:val="auto"/>
              </w:rPr>
            </w:pPr>
          </w:p>
        </w:tc>
      </w:tr>
      <w:tr>
        <w:trPr>
          <w:trHeight w:val="198"/>
        </w:trPr>
        <w:tc>
          <w:tcPr>
            <w:tcW w:w="3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30,690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30,690</w:t>
            </w:r>
          </w:p>
        </w:tc>
        <w:tc>
          <w:tcPr>
            <w:tcW w:w="0" w:type="dxa"/>
            <w:vAlign w:val="bottom"/>
          </w:tcPr>
          <w:p>
            <w:pPr>
              <w:spacing w:after="0"/>
              <w:rPr>
                <w:sz w:val="1"/>
                <w:szCs w:val="1"/>
                <w:color w:val="auto"/>
              </w:rPr>
            </w:pPr>
          </w:p>
        </w:tc>
      </w:tr>
      <w:tr>
        <w:trPr>
          <w:trHeight w:val="158"/>
        </w:trPr>
        <w:tc>
          <w:tcPr>
            <w:tcW w:w="3020" w:type="dxa"/>
            <w:vAlign w:val="bottom"/>
            <w:shd w:val="clear" w:color="auto" w:fill="CCEEFF"/>
          </w:tcPr>
          <w:p>
            <w:pPr>
              <w:ind w:left="280"/>
              <w:spacing w:after="0" w:line="158" w:lineRule="exact"/>
              <w:rPr>
                <w:sz w:val="20"/>
                <w:szCs w:val="20"/>
                <w:color w:val="auto"/>
              </w:rPr>
            </w:pPr>
            <w:r>
              <w:rPr>
                <w:rFonts w:ascii="Times New Roman" w:cs="Times New Roman" w:eastAsia="Times New Roman" w:hAnsi="Times New Roman"/>
                <w:sz w:val="14"/>
                <w:szCs w:val="14"/>
                <w:color w:val="auto"/>
              </w:rPr>
              <w:t>Income tax benefit associated with stock-based</w:t>
            </w:r>
          </w:p>
        </w:tc>
        <w:tc>
          <w:tcPr>
            <w:tcW w:w="7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14,278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14,278</w:t>
            </w:r>
          </w:p>
        </w:tc>
        <w:tc>
          <w:tcPr>
            <w:tcW w:w="0" w:type="dxa"/>
            <w:vAlign w:val="bottom"/>
          </w:tcPr>
          <w:p>
            <w:pPr>
              <w:spacing w:after="0"/>
              <w:rPr>
                <w:sz w:val="1"/>
                <w:szCs w:val="1"/>
                <w:color w:val="auto"/>
              </w:rPr>
            </w:pPr>
          </w:p>
        </w:tc>
      </w:tr>
      <w:tr>
        <w:trPr>
          <w:trHeight w:val="198"/>
        </w:trPr>
        <w:tc>
          <w:tcPr>
            <w:tcW w:w="3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compensation</w:t>
            </w:r>
          </w:p>
        </w:tc>
        <w:tc>
          <w:tcPr>
            <w:tcW w:w="7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020" w:type="dxa"/>
            <w:vAlign w:val="bottom"/>
          </w:tcPr>
          <w:p>
            <w:pPr>
              <w:ind w:left="280"/>
              <w:spacing w:after="0" w:line="153" w:lineRule="exact"/>
              <w:rPr>
                <w:sz w:val="20"/>
                <w:szCs w:val="20"/>
                <w:color w:val="auto"/>
              </w:rPr>
            </w:pPr>
            <w:r>
              <w:rPr>
                <w:rFonts w:ascii="Times New Roman" w:cs="Times New Roman" w:eastAsia="Times New Roman" w:hAnsi="Times New Roman"/>
                <w:sz w:val="14"/>
                <w:szCs w:val="14"/>
                <w:color w:val="auto"/>
              </w:rPr>
              <w:t>Net unrealized gain on investments - net of</w:t>
            </w: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5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2,165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2,165</w:t>
            </w:r>
          </w:p>
        </w:tc>
        <w:tc>
          <w:tcPr>
            <w:tcW w:w="0" w:type="dxa"/>
            <w:vAlign w:val="bottom"/>
          </w:tcPr>
          <w:p>
            <w:pPr>
              <w:spacing w:after="0"/>
              <w:rPr>
                <w:sz w:val="1"/>
                <w:szCs w:val="1"/>
                <w:color w:val="auto"/>
              </w:rPr>
            </w:pPr>
          </w:p>
        </w:tc>
      </w:tr>
      <w:tr>
        <w:trPr>
          <w:trHeight w:val="193"/>
        </w:trPr>
        <w:tc>
          <w:tcPr>
            <w:tcW w:w="3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taxes</w:t>
            </w: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20" w:type="dxa"/>
            <w:vAlign w:val="bottom"/>
            <w:shd w:val="clear" w:color="auto" w:fill="CCEEFF"/>
          </w:tcPr>
          <w:p>
            <w:pPr>
              <w:ind w:left="280"/>
              <w:spacing w:after="0" w:line="158" w:lineRule="exact"/>
              <w:rPr>
                <w:sz w:val="20"/>
                <w:szCs w:val="20"/>
                <w:color w:val="auto"/>
              </w:rPr>
            </w:pPr>
            <w:r>
              <w:rPr>
                <w:rFonts w:ascii="Times New Roman" w:cs="Times New Roman" w:eastAsia="Times New Roman" w:hAnsi="Times New Roman"/>
                <w:sz w:val="14"/>
                <w:szCs w:val="14"/>
                <w:color w:val="auto"/>
              </w:rPr>
              <w:t>Net change in cumulative translation</w:t>
            </w:r>
          </w:p>
        </w:tc>
        <w:tc>
          <w:tcPr>
            <w:tcW w:w="7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524</w:t>
            </w:r>
          </w:p>
        </w:tc>
        <w:tc>
          <w:tcPr>
            <w:tcW w:w="0" w:type="dxa"/>
            <w:vAlign w:val="bottom"/>
          </w:tcPr>
          <w:p>
            <w:pPr>
              <w:spacing w:after="0"/>
              <w:rPr>
                <w:sz w:val="1"/>
                <w:szCs w:val="1"/>
                <w:color w:val="auto"/>
              </w:rPr>
            </w:pPr>
          </w:p>
        </w:tc>
      </w:tr>
      <w:tr>
        <w:trPr>
          <w:trHeight w:val="198"/>
        </w:trPr>
        <w:tc>
          <w:tcPr>
            <w:tcW w:w="3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adjustments</w:t>
            </w:r>
          </w:p>
        </w:tc>
        <w:tc>
          <w:tcPr>
            <w:tcW w:w="7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66,836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66,836</w:t>
            </w:r>
          </w:p>
        </w:tc>
        <w:tc>
          <w:tcPr>
            <w:tcW w:w="0" w:type="dxa"/>
            <w:vAlign w:val="bottom"/>
          </w:tcPr>
          <w:p>
            <w:pPr>
              <w:spacing w:after="0"/>
              <w:rPr>
                <w:sz w:val="1"/>
                <w:szCs w:val="1"/>
                <w:color w:val="auto"/>
              </w:rPr>
            </w:pPr>
          </w:p>
        </w:tc>
      </w:tr>
      <w:tr>
        <w:trPr>
          <w:trHeight w:val="255"/>
        </w:trPr>
        <w:tc>
          <w:tcPr>
            <w:tcW w:w="30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BALANCE—December 31, 2012</w:t>
            </w:r>
          </w:p>
        </w:tc>
        <w:tc>
          <w:tcPr>
            <w:tcW w:w="6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161,757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(2,995)</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$ 400,075</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3,091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110,601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510,934</w:t>
            </w:r>
          </w:p>
        </w:tc>
        <w:tc>
          <w:tcPr>
            <w:tcW w:w="0" w:type="dxa"/>
            <w:vAlign w:val="bottom"/>
          </w:tcPr>
          <w:p>
            <w:pPr>
              <w:spacing w:after="0"/>
              <w:rPr>
                <w:sz w:val="1"/>
                <w:szCs w:val="1"/>
                <w:color w:val="auto"/>
              </w:rPr>
            </w:pPr>
          </w:p>
        </w:tc>
      </w:tr>
      <w:tr>
        <w:trPr>
          <w:trHeight w:val="153"/>
        </w:trPr>
        <w:tc>
          <w:tcPr>
            <w:tcW w:w="3020" w:type="dxa"/>
            <w:vAlign w:val="bottom"/>
          </w:tcPr>
          <w:p>
            <w:pPr>
              <w:ind w:left="280"/>
              <w:spacing w:after="0" w:line="153"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2,488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3"/>
                <w:szCs w:val="13"/>
                <w:color w:val="auto"/>
              </w:rPr>
            </w:pP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12,886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12,888</w:t>
            </w:r>
          </w:p>
        </w:tc>
        <w:tc>
          <w:tcPr>
            <w:tcW w:w="0" w:type="dxa"/>
            <w:vAlign w:val="bottom"/>
          </w:tcPr>
          <w:p>
            <w:pPr>
              <w:spacing w:after="0"/>
              <w:rPr>
                <w:sz w:val="1"/>
                <w:szCs w:val="1"/>
                <w:color w:val="auto"/>
              </w:rPr>
            </w:pPr>
          </w:p>
        </w:tc>
      </w:tr>
      <w:tr>
        <w:trPr>
          <w:trHeight w:val="193"/>
        </w:trPr>
        <w:tc>
          <w:tcPr>
            <w:tcW w:w="3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 options</w:t>
            </w: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20" w:type="dxa"/>
            <w:vAlign w:val="bottom"/>
            <w:shd w:val="clear" w:color="auto" w:fill="CCEEFF"/>
          </w:tcPr>
          <w:p>
            <w:pPr>
              <w:ind w:left="280"/>
              <w:spacing w:after="0" w:line="158"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12,695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12,696</w:t>
            </w:r>
          </w:p>
        </w:tc>
        <w:tc>
          <w:tcPr>
            <w:tcW w:w="0" w:type="dxa"/>
            <w:vAlign w:val="bottom"/>
          </w:tcPr>
          <w:p>
            <w:pPr>
              <w:spacing w:after="0"/>
              <w:rPr>
                <w:sz w:val="1"/>
                <w:szCs w:val="1"/>
                <w:color w:val="auto"/>
              </w:rPr>
            </w:pPr>
          </w:p>
        </w:tc>
      </w:tr>
      <w:tr>
        <w:trPr>
          <w:trHeight w:val="198"/>
        </w:trPr>
        <w:tc>
          <w:tcPr>
            <w:tcW w:w="3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020" w:type="dxa"/>
            <w:vAlign w:val="bottom"/>
          </w:tcPr>
          <w:p>
            <w:pPr>
              <w:ind w:left="280"/>
              <w:spacing w:after="0" w:line="153" w:lineRule="exact"/>
              <w:rPr>
                <w:sz w:val="20"/>
                <w:szCs w:val="20"/>
                <w:color w:val="auto"/>
              </w:rPr>
            </w:pPr>
            <w:r>
              <w:rPr>
                <w:rFonts w:ascii="Times New Roman" w:cs="Times New Roman" w:eastAsia="Times New Roman" w:hAnsi="Times New Roman"/>
                <w:sz w:val="14"/>
                <w:szCs w:val="14"/>
                <w:color w:val="auto"/>
              </w:rPr>
              <w:t>Issuance of common stock upon vesting of</w:t>
            </w: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restricted stock units</w:t>
            </w: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20" w:type="dxa"/>
            <w:vAlign w:val="bottom"/>
            <w:shd w:val="clear" w:color="auto" w:fill="CCEEFF"/>
          </w:tcPr>
          <w:p>
            <w:pPr>
              <w:ind w:left="280"/>
              <w:spacing w:after="0" w:line="158" w:lineRule="exact"/>
              <w:rPr>
                <w:sz w:val="20"/>
                <w:szCs w:val="20"/>
                <w:color w:val="auto"/>
              </w:rPr>
            </w:pPr>
            <w:r>
              <w:rPr>
                <w:rFonts w:ascii="Times New Roman" w:cs="Times New Roman" w:eastAsia="Times New Roman" w:hAnsi="Times New Roman"/>
                <w:sz w:val="14"/>
                <w:szCs w:val="14"/>
                <w:color w:val="auto"/>
              </w:rPr>
              <w:t>Tax withholding upon vesting of restricted</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0" w:type="dxa"/>
            <w:vAlign w:val="bottom"/>
          </w:tcPr>
          <w:p>
            <w:pPr>
              <w:spacing w:after="0"/>
              <w:rPr>
                <w:sz w:val="1"/>
                <w:szCs w:val="1"/>
                <w:color w:val="auto"/>
              </w:rPr>
            </w:pPr>
          </w:p>
        </w:tc>
      </w:tr>
      <w:tr>
        <w:trPr>
          <w:trHeight w:val="198"/>
        </w:trPr>
        <w:tc>
          <w:tcPr>
            <w:tcW w:w="3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 awards</w:t>
            </w: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3"/>
                <w:szCs w:val="23"/>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2,995</w:t>
            </w: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(38,949)</w:t>
            </w:r>
          </w:p>
        </w:tc>
        <w:tc>
          <w:tcPr>
            <w:tcW w:w="0" w:type="dxa"/>
            <w:vAlign w:val="bottom"/>
          </w:tcPr>
          <w:p>
            <w:pPr>
              <w:spacing w:after="0"/>
              <w:rPr>
                <w:sz w:val="1"/>
                <w:szCs w:val="1"/>
                <w:color w:val="auto"/>
              </w:rPr>
            </w:pPr>
          </w:p>
        </w:tc>
      </w:tr>
      <w:tr>
        <w:trPr>
          <w:trHeight w:val="275"/>
        </w:trPr>
        <w:tc>
          <w:tcPr>
            <w:tcW w:w="3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43,909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43,909</w:t>
            </w:r>
          </w:p>
        </w:tc>
        <w:tc>
          <w:tcPr>
            <w:tcW w:w="0" w:type="dxa"/>
            <w:vAlign w:val="bottom"/>
          </w:tcPr>
          <w:p>
            <w:pPr>
              <w:spacing w:after="0"/>
              <w:rPr>
                <w:sz w:val="1"/>
                <w:szCs w:val="1"/>
                <w:color w:val="auto"/>
              </w:rPr>
            </w:pPr>
          </w:p>
        </w:tc>
      </w:tr>
      <w:tr>
        <w:trPr>
          <w:trHeight w:val="153"/>
        </w:trPr>
        <w:tc>
          <w:tcPr>
            <w:tcW w:w="3020" w:type="dxa"/>
            <w:vAlign w:val="bottom"/>
          </w:tcPr>
          <w:p>
            <w:pPr>
              <w:ind w:left="280"/>
              <w:spacing w:after="0" w:line="153" w:lineRule="exact"/>
              <w:rPr>
                <w:sz w:val="20"/>
                <w:szCs w:val="20"/>
                <w:color w:val="auto"/>
              </w:rPr>
            </w:pPr>
            <w:r>
              <w:rPr>
                <w:rFonts w:ascii="Times New Roman" w:cs="Times New Roman" w:eastAsia="Times New Roman" w:hAnsi="Times New Roman"/>
                <w:sz w:val="14"/>
                <w:szCs w:val="14"/>
                <w:color w:val="auto"/>
              </w:rPr>
              <w:t>Income tax benefit associated with stock-based</w:t>
            </w: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5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3,460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3,460</w:t>
            </w:r>
          </w:p>
        </w:tc>
        <w:tc>
          <w:tcPr>
            <w:tcW w:w="0" w:type="dxa"/>
            <w:vAlign w:val="bottom"/>
          </w:tcPr>
          <w:p>
            <w:pPr>
              <w:spacing w:after="0"/>
              <w:rPr>
                <w:sz w:val="1"/>
                <w:szCs w:val="1"/>
                <w:color w:val="auto"/>
              </w:rPr>
            </w:pPr>
          </w:p>
        </w:tc>
      </w:tr>
      <w:tr>
        <w:trPr>
          <w:trHeight w:val="193"/>
        </w:trPr>
        <w:tc>
          <w:tcPr>
            <w:tcW w:w="3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compensation</w:t>
            </w: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20" w:type="dxa"/>
            <w:vAlign w:val="bottom"/>
            <w:shd w:val="clear" w:color="auto" w:fill="CCEEFF"/>
          </w:tcPr>
          <w:p>
            <w:pPr>
              <w:ind w:left="280"/>
              <w:spacing w:after="0" w:line="158" w:lineRule="exact"/>
              <w:rPr>
                <w:sz w:val="20"/>
                <w:szCs w:val="20"/>
                <w:color w:val="auto"/>
              </w:rPr>
            </w:pPr>
            <w:r>
              <w:rPr>
                <w:rFonts w:ascii="Times New Roman" w:cs="Times New Roman" w:eastAsia="Times New Roman" w:hAnsi="Times New Roman"/>
                <w:sz w:val="14"/>
                <w:szCs w:val="14"/>
                <w:color w:val="auto"/>
              </w:rPr>
              <w:t>Net unrealized loss on investments - net of</w:t>
            </w:r>
          </w:p>
        </w:tc>
        <w:tc>
          <w:tcPr>
            <w:tcW w:w="7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0" w:type="dxa"/>
            <w:vAlign w:val="bottom"/>
          </w:tcPr>
          <w:p>
            <w:pPr>
              <w:spacing w:after="0"/>
              <w:rPr>
                <w:sz w:val="1"/>
                <w:szCs w:val="1"/>
                <w:color w:val="auto"/>
              </w:rPr>
            </w:pPr>
          </w:p>
        </w:tc>
      </w:tr>
      <w:tr>
        <w:trPr>
          <w:trHeight w:val="198"/>
        </w:trPr>
        <w:tc>
          <w:tcPr>
            <w:tcW w:w="3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taxes</w:t>
            </w:r>
          </w:p>
        </w:tc>
        <w:tc>
          <w:tcPr>
            <w:tcW w:w="7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020" w:type="dxa"/>
            <w:vAlign w:val="bottom"/>
          </w:tcPr>
          <w:p>
            <w:pPr>
              <w:ind w:left="280"/>
              <w:spacing w:after="0" w:line="153" w:lineRule="exact"/>
              <w:rPr>
                <w:sz w:val="20"/>
                <w:szCs w:val="20"/>
                <w:color w:val="auto"/>
              </w:rPr>
            </w:pPr>
            <w:r>
              <w:rPr>
                <w:rFonts w:ascii="Times New Roman" w:cs="Times New Roman" w:eastAsia="Times New Roman" w:hAnsi="Times New Roman"/>
                <w:sz w:val="14"/>
                <w:szCs w:val="14"/>
                <w:color w:val="auto"/>
              </w:rPr>
              <w:t>Net change in cumulative translation</w:t>
            </w: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5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0" w:type="dxa"/>
            <w:vAlign w:val="bottom"/>
          </w:tcPr>
          <w:p>
            <w:pPr>
              <w:spacing w:after="0"/>
              <w:rPr>
                <w:sz w:val="1"/>
                <w:szCs w:val="1"/>
                <w:color w:val="auto"/>
              </w:rPr>
            </w:pPr>
          </w:p>
        </w:tc>
      </w:tr>
      <w:tr>
        <w:trPr>
          <w:trHeight w:val="193"/>
        </w:trPr>
        <w:tc>
          <w:tcPr>
            <w:tcW w:w="3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adjustments</w:t>
            </w: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w:t>
            </w: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44,273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44,273</w:t>
            </w:r>
          </w:p>
        </w:tc>
        <w:tc>
          <w:tcPr>
            <w:tcW w:w="0" w:type="dxa"/>
            <w:vAlign w:val="bottom"/>
          </w:tcPr>
          <w:p>
            <w:pPr>
              <w:spacing w:after="0"/>
              <w:rPr>
                <w:sz w:val="1"/>
                <w:szCs w:val="1"/>
                <w:color w:val="auto"/>
              </w:rPr>
            </w:pPr>
          </w:p>
        </w:tc>
      </w:tr>
      <w:tr>
        <w:trPr>
          <w:trHeight w:val="242"/>
        </w:trPr>
        <w:tc>
          <w:tcPr>
            <w:tcW w:w="3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BALANCE—December 31, 2013</w:t>
            </w: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161,535</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$ 462,644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121,863</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585,760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219"/>
          </w:cols>
          <w:pgMar w:left="240" w:top="118" w:right="1440" w:bottom="1440" w:gutter="0" w:footer="0" w:header="0"/>
        </w:sectPr>
      </w:pPr>
    </w:p>
    <w:bookmarkStart w:id="66" w:name="page67"/>
    <w:bookmarkEnd w:id="6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69"/>
        </w:trPr>
        <w:tc>
          <w:tcPr>
            <w:tcW w:w="7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0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44,273</w:t>
            </w:r>
          </w:p>
        </w:tc>
        <w:tc>
          <w:tcPr>
            <w:tcW w:w="12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66,836</w:t>
            </w:r>
          </w:p>
        </w:tc>
        <w:tc>
          <w:tcPr>
            <w:tcW w:w="10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62,492</w:t>
            </w:r>
          </w:p>
        </w:tc>
        <w:tc>
          <w:tcPr>
            <w:tcW w:w="0" w:type="dxa"/>
            <w:vAlign w:val="bottom"/>
          </w:tcPr>
          <w:p>
            <w:pPr>
              <w:spacing w:after="0"/>
              <w:rPr>
                <w:sz w:val="1"/>
                <w:szCs w:val="1"/>
                <w:color w:val="auto"/>
              </w:rPr>
            </w:pPr>
          </w:p>
        </w:tc>
      </w:tr>
      <w:tr>
        <w:trPr>
          <w:trHeight w:val="275"/>
        </w:trPr>
        <w:tc>
          <w:tcPr>
            <w:tcW w:w="7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00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15,623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11,564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6,989</w:t>
            </w:r>
          </w:p>
        </w:tc>
        <w:tc>
          <w:tcPr>
            <w:tcW w:w="0" w:type="dxa"/>
            <w:vAlign w:val="bottom"/>
          </w:tcPr>
          <w:p>
            <w:pPr>
              <w:spacing w:after="0"/>
              <w:rPr>
                <w:sz w:val="1"/>
                <w:szCs w:val="1"/>
                <w:color w:val="auto"/>
              </w:rPr>
            </w:pPr>
          </w:p>
        </w:tc>
      </w:tr>
      <w:tr>
        <w:trPr>
          <w:trHeight w:val="275"/>
        </w:trPr>
        <w:tc>
          <w:tcPr>
            <w:tcW w:w="70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Amortization of investment premiums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11,634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12,962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12,515</w:t>
            </w:r>
          </w:p>
        </w:tc>
        <w:tc>
          <w:tcPr>
            <w:tcW w:w="0" w:type="dxa"/>
            <w:vAlign w:val="bottom"/>
          </w:tcPr>
          <w:p>
            <w:pPr>
              <w:spacing w:after="0"/>
              <w:rPr>
                <w:sz w:val="1"/>
                <w:szCs w:val="1"/>
                <w:color w:val="auto"/>
              </w:rPr>
            </w:pPr>
          </w:p>
        </w:tc>
      </w:tr>
      <w:tr>
        <w:trPr>
          <w:trHeight w:val="265"/>
        </w:trPr>
        <w:tc>
          <w:tcPr>
            <w:tcW w:w="700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43,909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30,690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19,015</w:t>
            </w:r>
          </w:p>
        </w:tc>
        <w:tc>
          <w:tcPr>
            <w:tcW w:w="0" w:type="dxa"/>
            <w:vAlign w:val="bottom"/>
          </w:tcPr>
          <w:p>
            <w:pPr>
              <w:spacing w:after="0"/>
              <w:rPr>
                <w:sz w:val="1"/>
                <w:szCs w:val="1"/>
                <w:color w:val="auto"/>
              </w:rPr>
            </w:pPr>
          </w:p>
        </w:tc>
      </w:tr>
      <w:tr>
        <w:trPr>
          <w:trHeight w:val="275"/>
        </w:trPr>
        <w:tc>
          <w:tcPr>
            <w:tcW w:w="70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Excess tax benefit from stock-based compensation</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(2,974)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(19,829)</w:t>
            </w:r>
          </w:p>
        </w:tc>
        <w:tc>
          <w:tcPr>
            <w:tcW w:w="0" w:type="dxa"/>
            <w:vAlign w:val="bottom"/>
          </w:tcPr>
          <w:p>
            <w:pPr>
              <w:spacing w:after="0"/>
              <w:rPr>
                <w:sz w:val="1"/>
                <w:szCs w:val="1"/>
                <w:color w:val="auto"/>
              </w:rPr>
            </w:pPr>
          </w:p>
        </w:tc>
      </w:tr>
      <w:tr>
        <w:trPr>
          <w:trHeight w:val="265"/>
        </w:trPr>
        <w:tc>
          <w:tcPr>
            <w:tcW w:w="700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Other non-cash items, net</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75"/>
        </w:trPr>
        <w:tc>
          <w:tcPr>
            <w:tcW w:w="70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00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Accounts receivable—net</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(22,080)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(23,246)</w:t>
            </w:r>
          </w:p>
        </w:tc>
        <w:tc>
          <w:tcPr>
            <w:tcW w:w="0" w:type="dxa"/>
            <w:vAlign w:val="bottom"/>
          </w:tcPr>
          <w:p>
            <w:pPr>
              <w:spacing w:after="0"/>
              <w:rPr>
                <w:sz w:val="1"/>
                <w:szCs w:val="1"/>
                <w:color w:val="auto"/>
              </w:rPr>
            </w:pPr>
          </w:p>
        </w:tc>
      </w:tr>
      <w:tr>
        <w:trPr>
          <w:trHeight w:val="275"/>
        </w:trPr>
        <w:tc>
          <w:tcPr>
            <w:tcW w:w="700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Inventory</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(35,093)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(6,034)</w:t>
            </w:r>
          </w:p>
        </w:tc>
        <w:tc>
          <w:tcPr>
            <w:tcW w:w="0" w:type="dxa"/>
            <w:vAlign w:val="bottom"/>
          </w:tcPr>
          <w:p>
            <w:pPr>
              <w:spacing w:after="0"/>
              <w:rPr>
                <w:sz w:val="1"/>
                <w:szCs w:val="1"/>
                <w:color w:val="auto"/>
              </w:rPr>
            </w:pPr>
          </w:p>
        </w:tc>
      </w:tr>
      <w:tr>
        <w:trPr>
          <w:trHeight w:val="265"/>
        </w:trPr>
        <w:tc>
          <w:tcPr>
            <w:tcW w:w="700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Deferred tax assets</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(18,750)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(7,874)</w:t>
            </w:r>
          </w:p>
        </w:tc>
        <w:tc>
          <w:tcPr>
            <w:tcW w:w="0" w:type="dxa"/>
            <w:vAlign w:val="bottom"/>
          </w:tcPr>
          <w:p>
            <w:pPr>
              <w:spacing w:after="0"/>
              <w:rPr>
                <w:sz w:val="1"/>
                <w:szCs w:val="1"/>
                <w:color w:val="auto"/>
              </w:rPr>
            </w:pPr>
          </w:p>
        </w:tc>
      </w:tr>
      <w:tr>
        <w:trPr>
          <w:trHeight w:val="275"/>
        </w:trPr>
        <w:tc>
          <w:tcPr>
            <w:tcW w:w="700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0" w:type="dxa"/>
            <w:vAlign w:val="bottom"/>
          </w:tcPr>
          <w:p>
            <w:pPr>
              <w:spacing w:after="0"/>
              <w:rPr>
                <w:sz w:val="1"/>
                <w:szCs w:val="1"/>
                <w:color w:val="auto"/>
              </w:rPr>
            </w:pPr>
          </w:p>
        </w:tc>
      </w:tr>
      <w:tr>
        <w:trPr>
          <w:trHeight w:val="265"/>
        </w:trPr>
        <w:tc>
          <w:tcPr>
            <w:tcW w:w="700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2,470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275"/>
        </w:trPr>
        <w:tc>
          <w:tcPr>
            <w:tcW w:w="700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10,485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6,801</w:t>
            </w:r>
          </w:p>
        </w:tc>
        <w:tc>
          <w:tcPr>
            <w:tcW w:w="0" w:type="dxa"/>
            <w:vAlign w:val="bottom"/>
          </w:tcPr>
          <w:p>
            <w:pPr>
              <w:spacing w:after="0"/>
              <w:rPr>
                <w:sz w:val="1"/>
                <w:szCs w:val="1"/>
                <w:color w:val="auto"/>
              </w:rPr>
            </w:pPr>
          </w:p>
        </w:tc>
      </w:tr>
      <w:tr>
        <w:trPr>
          <w:trHeight w:val="265"/>
        </w:trPr>
        <w:tc>
          <w:tcPr>
            <w:tcW w:w="700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Accrued liabilities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1,654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1,765</w:t>
            </w:r>
          </w:p>
        </w:tc>
        <w:tc>
          <w:tcPr>
            <w:tcW w:w="0" w:type="dxa"/>
            <w:vAlign w:val="bottom"/>
          </w:tcPr>
          <w:p>
            <w:pPr>
              <w:spacing w:after="0"/>
              <w:rPr>
                <w:sz w:val="1"/>
                <w:szCs w:val="1"/>
                <w:color w:val="auto"/>
              </w:rPr>
            </w:pPr>
          </w:p>
        </w:tc>
      </w:tr>
      <w:tr>
        <w:trPr>
          <w:trHeight w:val="275"/>
        </w:trPr>
        <w:tc>
          <w:tcPr>
            <w:tcW w:w="700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Accrued payroll and compensation</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6,013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4,599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4,773</w:t>
            </w:r>
          </w:p>
        </w:tc>
        <w:tc>
          <w:tcPr>
            <w:tcW w:w="0" w:type="dxa"/>
            <w:vAlign w:val="bottom"/>
          </w:tcPr>
          <w:p>
            <w:pPr>
              <w:spacing w:after="0"/>
              <w:rPr>
                <w:sz w:val="1"/>
                <w:szCs w:val="1"/>
                <w:color w:val="auto"/>
              </w:rPr>
            </w:pPr>
          </w:p>
        </w:tc>
      </w:tr>
      <w:tr>
        <w:trPr>
          <w:trHeight w:val="265"/>
        </w:trPr>
        <w:tc>
          <w:tcPr>
            <w:tcW w:w="700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68,871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68,292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42,177</w:t>
            </w:r>
          </w:p>
        </w:tc>
        <w:tc>
          <w:tcPr>
            <w:tcW w:w="0" w:type="dxa"/>
            <w:vAlign w:val="bottom"/>
          </w:tcPr>
          <w:p>
            <w:pPr>
              <w:spacing w:after="0"/>
              <w:rPr>
                <w:sz w:val="1"/>
                <w:szCs w:val="1"/>
                <w:color w:val="auto"/>
              </w:rPr>
            </w:pPr>
          </w:p>
        </w:tc>
      </w:tr>
      <w:tr>
        <w:trPr>
          <w:trHeight w:val="270"/>
        </w:trPr>
        <w:tc>
          <w:tcPr>
            <w:tcW w:w="700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4"/>
                <w:szCs w:val="14"/>
                <w:color w:val="auto"/>
              </w:rPr>
              <w:t>Income taxes payable</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22,522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28,265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35,964</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tcPr>
          <w:p>
            <w:pPr>
              <w:ind w:left="19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147,384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183,866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132,842</w:t>
            </w:r>
          </w:p>
        </w:tc>
        <w:tc>
          <w:tcPr>
            <w:tcW w:w="0" w:type="dxa"/>
            <w:vAlign w:val="bottom"/>
          </w:tcPr>
          <w:p>
            <w:pPr>
              <w:spacing w:after="0"/>
              <w:rPr>
                <w:sz w:val="1"/>
                <w:szCs w:val="1"/>
                <w:color w:val="auto"/>
              </w:rPr>
            </w:pPr>
          </w:p>
        </w:tc>
      </w:tr>
      <w:tr>
        <w:trPr>
          <w:trHeight w:val="269"/>
        </w:trPr>
        <w:tc>
          <w:tcPr>
            <w:tcW w:w="7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0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Purchase of investments</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(552,778)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(601,087)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(516,906)</w:t>
            </w:r>
          </w:p>
        </w:tc>
        <w:tc>
          <w:tcPr>
            <w:tcW w:w="0" w:type="dxa"/>
            <w:vAlign w:val="bottom"/>
          </w:tcPr>
          <w:p>
            <w:pPr>
              <w:spacing w:after="0"/>
              <w:rPr>
                <w:sz w:val="1"/>
                <w:szCs w:val="1"/>
                <w:color w:val="auto"/>
              </w:rPr>
            </w:pPr>
          </w:p>
        </w:tc>
      </w:tr>
      <w:tr>
        <w:trPr>
          <w:trHeight w:val="275"/>
        </w:trPr>
        <w:tc>
          <w:tcPr>
            <w:tcW w:w="7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Sales of investments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57,897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26,268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44,503</w:t>
            </w:r>
          </w:p>
        </w:tc>
        <w:tc>
          <w:tcPr>
            <w:tcW w:w="0" w:type="dxa"/>
            <w:vAlign w:val="bottom"/>
          </w:tcPr>
          <w:p>
            <w:pPr>
              <w:spacing w:after="0"/>
              <w:rPr>
                <w:sz w:val="1"/>
                <w:szCs w:val="1"/>
                <w:color w:val="auto"/>
              </w:rPr>
            </w:pPr>
          </w:p>
        </w:tc>
      </w:tr>
      <w:tr>
        <w:trPr>
          <w:trHeight w:val="265"/>
        </w:trPr>
        <w:tc>
          <w:tcPr>
            <w:tcW w:w="70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Maturities of investments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369,659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415,440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311,824</w:t>
            </w:r>
          </w:p>
        </w:tc>
        <w:tc>
          <w:tcPr>
            <w:tcW w:w="0" w:type="dxa"/>
            <w:vAlign w:val="bottom"/>
          </w:tcPr>
          <w:p>
            <w:pPr>
              <w:spacing w:after="0"/>
              <w:rPr>
                <w:sz w:val="1"/>
                <w:szCs w:val="1"/>
                <w:color w:val="auto"/>
              </w:rPr>
            </w:pPr>
          </w:p>
        </w:tc>
      </w:tr>
      <w:tr>
        <w:trPr>
          <w:trHeight w:val="275"/>
        </w:trPr>
        <w:tc>
          <w:tcPr>
            <w:tcW w:w="7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(13,877)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w:t>
            </w:r>
          </w:p>
        </w:tc>
        <w:tc>
          <w:tcPr>
            <w:tcW w:w="0" w:type="dxa"/>
            <w:vAlign w:val="bottom"/>
          </w:tcPr>
          <w:p>
            <w:pPr>
              <w:spacing w:after="0"/>
              <w:rPr>
                <w:sz w:val="1"/>
                <w:szCs w:val="1"/>
                <w:color w:val="auto"/>
              </w:rPr>
            </w:pPr>
          </w:p>
        </w:tc>
      </w:tr>
      <w:tr>
        <w:trPr>
          <w:trHeight w:val="265"/>
        </w:trPr>
        <w:tc>
          <w:tcPr>
            <w:tcW w:w="70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4"/>
                <w:szCs w:val="14"/>
                <w:color w:val="auto"/>
              </w:rPr>
              <w:t>Payments made in connection with acquisitions, net of cash acquired</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(7,635)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(2,623)</w:t>
            </w:r>
          </w:p>
        </w:tc>
        <w:tc>
          <w:tcPr>
            <w:tcW w:w="0" w:type="dxa"/>
            <w:vAlign w:val="bottom"/>
          </w:tcPr>
          <w:p>
            <w:pPr>
              <w:spacing w:after="0"/>
              <w:rPr>
                <w:sz w:val="1"/>
                <w:szCs w:val="1"/>
                <w:color w:val="auto"/>
              </w:rPr>
            </w:pPr>
          </w:p>
        </w:tc>
      </w:tr>
      <w:tr>
        <w:trPr>
          <w:trHeight w:val="255"/>
        </w:trPr>
        <w:tc>
          <w:tcPr>
            <w:tcW w:w="7000" w:type="dxa"/>
            <w:vAlign w:val="bottom"/>
            <w:shd w:val="clear" w:color="auto" w:fill="CCEEFF"/>
          </w:tcPr>
          <w:p>
            <w:pPr>
              <w:ind w:left="19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(146,734)</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(182,711)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(166,826)</w:t>
            </w:r>
          </w:p>
        </w:tc>
        <w:tc>
          <w:tcPr>
            <w:tcW w:w="0" w:type="dxa"/>
            <w:vAlign w:val="bottom"/>
          </w:tcPr>
          <w:p>
            <w:pPr>
              <w:spacing w:after="0"/>
              <w:rPr>
                <w:sz w:val="1"/>
                <w:szCs w:val="1"/>
                <w:color w:val="auto"/>
              </w:rPr>
            </w:pPr>
          </w:p>
        </w:tc>
      </w:tr>
      <w:tr>
        <w:trPr>
          <w:trHeight w:val="259"/>
        </w:trPr>
        <w:tc>
          <w:tcPr>
            <w:tcW w:w="7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7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25,584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38,087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19,968</w:t>
            </w:r>
          </w:p>
        </w:tc>
        <w:tc>
          <w:tcPr>
            <w:tcW w:w="0" w:type="dxa"/>
            <w:vAlign w:val="bottom"/>
          </w:tcPr>
          <w:p>
            <w:pPr>
              <w:spacing w:after="0"/>
              <w:rPr>
                <w:sz w:val="1"/>
                <w:szCs w:val="1"/>
                <w:color w:val="auto"/>
              </w:rPr>
            </w:pPr>
          </w:p>
        </w:tc>
      </w:tr>
      <w:tr>
        <w:trPr>
          <w:trHeight w:val="265"/>
        </w:trPr>
        <w:tc>
          <w:tcPr>
            <w:tcW w:w="70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(1,452)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7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Excess tax benefit from stock-based compensation</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2,974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12,069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19,829</w:t>
            </w:r>
          </w:p>
        </w:tc>
        <w:tc>
          <w:tcPr>
            <w:tcW w:w="0" w:type="dxa"/>
            <w:vAlign w:val="bottom"/>
          </w:tcPr>
          <w:p>
            <w:pPr>
              <w:spacing w:after="0"/>
              <w:rPr>
                <w:sz w:val="1"/>
                <w:szCs w:val="1"/>
                <w:color w:val="auto"/>
              </w:rPr>
            </w:pPr>
          </w:p>
        </w:tc>
      </w:tr>
      <w:tr>
        <w:trPr>
          <w:trHeight w:val="265"/>
        </w:trPr>
        <w:tc>
          <w:tcPr>
            <w:tcW w:w="70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(33,529)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7000" w:type="dxa"/>
            <w:vAlign w:val="bottom"/>
            <w:tcBorders>
              <w:top w:val="single" w:sz="8" w:color="CCEEFF"/>
            </w:tcBorders>
            <w:shd w:val="clear" w:color="auto" w:fill="CCEEFF"/>
          </w:tcPr>
          <w:p>
            <w:pPr>
              <w:ind w:left="190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(6,423)</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50,156</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39,797</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(1,329)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0" w:type="dxa"/>
            <w:vAlign w:val="bottom"/>
          </w:tcPr>
          <w:p>
            <w:pPr>
              <w:spacing w:after="0"/>
              <w:rPr>
                <w:sz w:val="1"/>
                <w:szCs w:val="1"/>
                <w:color w:val="auto"/>
              </w:rPr>
            </w:pPr>
          </w:p>
        </w:tc>
      </w:tr>
      <w:tr>
        <w:trPr>
          <w:trHeight w:val="255"/>
        </w:trPr>
        <w:tc>
          <w:tcPr>
            <w:tcW w:w="7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(7,102)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50,985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5,131</w:t>
            </w:r>
          </w:p>
        </w:tc>
        <w:tc>
          <w:tcPr>
            <w:tcW w:w="0" w:type="dxa"/>
            <w:vAlign w:val="bottom"/>
          </w:tcPr>
          <w:p>
            <w:pPr>
              <w:spacing w:after="0"/>
              <w:rPr>
                <w:sz w:val="1"/>
                <w:szCs w:val="1"/>
                <w:color w:val="auto"/>
              </w:rPr>
            </w:pPr>
          </w:p>
        </w:tc>
      </w:tr>
      <w:tr>
        <w:trPr>
          <w:trHeight w:val="265"/>
        </w:trPr>
        <w:tc>
          <w:tcPr>
            <w:tcW w:w="7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EQUIVALENTS—Beginning of year</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122,975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71,990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66,859</w:t>
            </w:r>
          </w:p>
        </w:tc>
        <w:tc>
          <w:tcPr>
            <w:tcW w:w="0" w:type="dxa"/>
            <w:vAlign w:val="bottom"/>
          </w:tcPr>
          <w:p>
            <w:pPr>
              <w:spacing w:after="0"/>
              <w:rPr>
                <w:sz w:val="1"/>
                <w:szCs w:val="1"/>
                <w:color w:val="auto"/>
              </w:rPr>
            </w:pPr>
          </w:p>
        </w:tc>
      </w:tr>
      <w:tr>
        <w:trPr>
          <w:trHeight w:val="242"/>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EQUIVALENTS—End of year</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115,873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122,975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71,990</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700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Cash paid (refunded) for income taxes, net</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25,445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17,088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700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Purchase of property and equipment not yet paid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440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4"/>
                <w:szCs w:val="14"/>
                <w:color w:val="auto"/>
              </w:rPr>
              <w:t>Liability incurred in connection with business acquisition</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Liability incurred for repurchase of common stock</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80"/>
          </w:cols>
          <w:pgMar w:left="240" w:top="118" w:right="379" w:bottom="1440" w:gutter="0" w:footer="0" w:header="0"/>
        </w:sectPr>
      </w:pPr>
    </w:p>
    <w:p>
      <w:pPr>
        <w:spacing w:after="0" w:line="2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80"/>
          </w:cols>
          <w:pgMar w:left="240" w:top="118" w:right="379" w:bottom="1440" w:gutter="0" w:footer="0" w:header="0"/>
          <w:type w:val="continuous"/>
        </w:sectPr>
      </w:pPr>
    </w:p>
    <w:bookmarkStart w:id="67" w:name="page68"/>
    <w:bookmarkEnd w:id="6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—Fortinet, Inc. (“Fortinet”) was incorporated in Delaware in November 2000 and is a leading provider of network security appliances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UTM network security solutions to enterprises, service providers and governmental entities worldwide. Fortinet’s solutions are designed to integrate multiple levels of security protection, including firewall, virtual private networking, application control, anti-malware, intrusion prevention, web filtering, vulnerability management, anti-spam and WAN acceleration.</w:t>
      </w:r>
    </w:p>
    <w:p>
      <w:pPr>
        <w:spacing w:after="0" w:line="177" w:lineRule="exact"/>
        <w:rPr>
          <w:sz w:val="20"/>
          <w:szCs w:val="20"/>
          <w:color w:val="auto"/>
        </w:rPr>
      </w:pPr>
    </w:p>
    <w:p>
      <w:pPr>
        <w:ind w:right="4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Basis of Presentation and Preparation</w:t>
      </w:r>
      <w:r>
        <w:rPr>
          <w:rFonts w:ascii="Times New Roman" w:cs="Times New Roman" w:eastAsia="Times New Roman" w:hAnsi="Times New Roman"/>
          <w:sz w:val="18"/>
          <w:szCs w:val="18"/>
          <w:color w:val="auto"/>
        </w:rPr>
        <w:t>—The consolidated financial statements of Fortinet and its wholly owned subsidiaries (collectively,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“we,” “us” or “our”) have been prepared in accordance with GAAP. All intercompany transactions and balances have been eliminated in consolidation.</w:t>
      </w:r>
    </w:p>
    <w:p>
      <w:pPr>
        <w:spacing w:after="0" w:line="17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During the third quarter of fiscal 2013, we recorded an out-of-period adjustment of $3.0 million to correct the presentation on our consolidated balance sheets relating to our repurchase of 1,409,264 shares during fiscal 2009. This reclassification adjustment resulted in a decrease to the outstanding treasury stock balance and a corresponding decrease to additional paid-in capital. We believe the impact of the correction is not material to the current or prior fiscal periods. The shares that we repurchased in fiscal 2009 were retired immediately after repurchase. There was no outstanding treasury stock balance as of December 31, 2013.</w:t>
      </w:r>
    </w:p>
    <w:p>
      <w:pPr>
        <w:spacing w:after="0" w:line="180"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consolidated financial statements in accordance with GAAP requires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amounts reported in the consolidated financial statements and accompanying notes. Such management estimates include implicit service periods for revenue recognition, litigation and settlement costs and other loss contingencies, sales returns and allowances, reserve for bad debt, inventory valuation, warranty reserve, goodwill and other long-lived assets, investments, stock-based compensation, the accounting for income taxes related to deferred tax asset balances and reserves, and the accounting for business combinations. We base our estimates on historical experience and also on assumptions that we believe are reasonable. Actual results could differ from those estimates.</w:t>
      </w:r>
    </w:p>
    <w:p>
      <w:pPr>
        <w:spacing w:after="0" w:line="18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Certain Significant Risks and Uncertainties</w:t>
      </w:r>
      <w:r>
        <w:rPr>
          <w:rFonts w:ascii="Times New Roman" w:cs="Times New Roman" w:eastAsia="Times New Roman" w:hAnsi="Times New Roman"/>
          <w:sz w:val="18"/>
          <w:szCs w:val="18"/>
          <w:color w:val="auto"/>
        </w:rPr>
        <w:t>—We are subject to certain risks and uncertainties that could have a material adverse effect on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financial position or results of operations, such as the following: changes in level of demand for our products and services, the timing and success of new product and service introductions by us or our competitors, price and sales competition and our ability to adapt to changing market conditions and dynamics such as changes in end-customer, distributor or reseller requirements or market needs, changes in expenses caused, for example, by fluctuations in foreign currency exchange rates, management of inventory, internal control over financial reporting, market acceptance of our new products and services, demand for UTM products and services in general, seasonality, failure of our channel partners to perform or other disruption in our channel, the quality of our products and services and the market perception of our response to new viruses or security breaches, general economic conditions, challenges in doing business outside of the United States, changes in customer relationships, litigation, or claims against us based on intellectual property, patent, product regulatory or other factors, product obsolescence, and our ability to attract and retain qualified employees.</w:t>
      </w:r>
    </w:p>
    <w:p>
      <w:pPr>
        <w:spacing w:after="0" w:line="186"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We rely solely on suppliers and independent contract manufacturers for certain of our components and one third-party logistics company for distribution of certain of our products, which is located outside of U.S. The inability of any of these parties to fulfill our supply and logistics requirements could negatively impact our future operating results.</w:t>
      </w:r>
    </w:p>
    <w:p>
      <w:pPr>
        <w:spacing w:after="0" w:line="172"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Concentration of Credit Risk</w:t>
      </w:r>
      <w:r>
        <w:rPr>
          <w:rFonts w:ascii="Times New Roman" w:cs="Times New Roman" w:eastAsia="Times New Roman" w:hAnsi="Times New Roman"/>
          <w:sz w:val="18"/>
          <w:szCs w:val="18"/>
          <w:color w:val="auto"/>
        </w:rPr>
        <w:t>—Financial instruments that subject us to concentrations of credit risk consist primarily of cash, cash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short-term and long-term investments, and accounts receivable. We maintain our cash, cash equivalents, and investments in fixed income securities with major financial institutions, which our management assesses to be of high credit quality, in order to limit the exposure of each investment. Deposits held with banks may exceed the amount of insurance provided on such deposits.</w:t>
      </w:r>
    </w:p>
    <w:p>
      <w:pPr>
        <w:spacing w:after="0" w:line="18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Credit risk with respect to accounts receivable in general is diversified due to the number of different entities comprising our customer base and their location throughout the world. We perform ongoing credit evaluations of our customers and generally do not require collateral on accounts receivable. We maintain reserves for estimated potential credit losses.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00"/>
          </w:cols>
          <w:pgMar w:left="240" w:top="118" w:right="25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2013, one distributor, Exclusive Networks Group accounted for 13% of total accounts receivable. As of December 31, 2012, no single customer accounted for more than 10% of total accounts receivable.</w:t>
      </w:r>
    </w:p>
    <w:p>
      <w:pPr>
        <w:spacing w:after="0" w:line="16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During fiscal 2013 and fiscal 2012, one distributor, Exclusive Networks Group accounted for 12% and 11% of total revenue, respectively. During fiscal 2011, no single customer or distributor accounted for more than 10% of total revenue.</w:t>
      </w:r>
    </w:p>
    <w:p>
      <w:pPr>
        <w:spacing w:after="0" w:line="158"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Financial Instruments and Fair Value</w:t>
      </w:r>
      <w:r>
        <w:rPr>
          <w:rFonts w:ascii="Times New Roman" w:cs="Times New Roman" w:eastAsia="Times New Roman" w:hAnsi="Times New Roman"/>
          <w:sz w:val="18"/>
          <w:szCs w:val="18"/>
          <w:color w:val="auto"/>
        </w:rPr>
        <w:t>—We apply fair value accounting for all financial assets and liabilities and non-financial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recognized or disclosed at fair value in the financial statements on a recurring basis. Due to their short-term nature, the carrying amounts reported in the consolidated financial statements approximate the fair value for accounts receivable, accounts payable, accrued liabilities, and accrued payroll and compensation.</w:t>
      </w:r>
    </w:p>
    <w:p>
      <w:pPr>
        <w:spacing w:after="0" w:line="177"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Comprehensive Income</w:t>
      </w:r>
      <w:r>
        <w:rPr>
          <w:rFonts w:ascii="Times New Roman" w:cs="Times New Roman" w:eastAsia="Times New Roman" w:hAnsi="Times New Roman"/>
          <w:sz w:val="18"/>
          <w:szCs w:val="18"/>
          <w:color w:val="auto"/>
        </w:rPr>
        <w:t>—Comprehensive income includes certain changes in equity from non-owner sources that are excluded from net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Specifically, cumulative foreign currency translation adjustments, unrealized gains and losses on available-for-sale investments, and unrealized gains and losses on cash flow hedges are included in comprehensive income.</w:t>
      </w:r>
    </w:p>
    <w:p>
      <w:pPr>
        <w:spacing w:after="0" w:line="171"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Foreign Currency Translation and Transaction Gains and Losses</w:t>
      </w:r>
      <w:r>
        <w:rPr>
          <w:rFonts w:ascii="Times New Roman" w:cs="Times New Roman" w:eastAsia="Times New Roman" w:hAnsi="Times New Roman"/>
          <w:sz w:val="18"/>
          <w:szCs w:val="18"/>
          <w:color w:val="auto"/>
        </w:rPr>
        <w:t>—Assets and liabilities of foreign subsidiaries with non-U.S. dollar functional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currency are translated into U.S. dollars using the exchange rates in effect at the balance sheet dates and expenses are translated using average exchange rates during the period. The resulting foreign translation adjustments are included in the consolidated balance sheets in the stockholders' equity section as a component of accumulated other comprehensive income (loss) and are included in the consolidated statements of comprehensive income. Foreign currency transaction losses of $1.5 million, $0.5 million and $0.4 million, are included in other expense, net for fiscal 2013, 2012 and 2011, respectively.</w:t>
      </w:r>
    </w:p>
    <w:p>
      <w:pPr>
        <w:spacing w:after="0" w:line="180"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Cash, Cash Equivalents and Available-for-sale Investments</w:t>
      </w:r>
      <w:r>
        <w:rPr>
          <w:rFonts w:ascii="Times New Roman" w:cs="Times New Roman" w:eastAsia="Times New Roman" w:hAnsi="Times New Roman"/>
          <w:sz w:val="18"/>
          <w:szCs w:val="18"/>
          <w:color w:val="auto"/>
        </w:rPr>
        <w:t>—We consider all highly liquid investments, purchased with original maturities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months or less, to be cash equivalents. Cash and cash equivalents consist of balances with banks, and highly liquid investments in money market funds, commercial paper, and certificates of deposit and term deposits.</w:t>
      </w:r>
    </w:p>
    <w:p>
      <w:pPr>
        <w:spacing w:after="0" w:line="175"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We classify our investments as available-for-sale at the time of purchase since it is our intent that these investments are available for current operations, and include these investments on our balance sheet as either short-term or long-term investments depending on their maturity at the time of purchase. Investments with original maturities greater than three months that mature less than one year from the consolidated balance sheet date are classified as short-term investments. Investments with maturities greater than one year from the consolidated balance sheet date are classified as long-term investments.</w:t>
      </w:r>
    </w:p>
    <w:p>
      <w:pPr>
        <w:spacing w:after="0" w:line="16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Investments are considered to be impaired when a decline in fair value is judged to be other-than-temporary. We consult with our investment managers and consider available quantitative and qualitative evidence in evaluating potential impairment of our investments on a quarterly basis. If the cost of an individual investment exceeds its fair value, we evaluate, among other factors, general market conditions, the duration and extent to which the fair value is less than cost, and our intent and ability to hold the investment. Once a decline in fair value is determined to be other-than-temporary, an impairment charge is recorded and a new cost basis in the investment is established.</w:t>
      </w:r>
    </w:p>
    <w:p>
      <w:pPr>
        <w:spacing w:after="0" w:line="18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debt securities in an unrealized loss position which is deemed to be other-than-temporary, the difference between the security’s then-current amortized cost basis and fair value is separated into (i) the amount of the impairment related to the credit loss (i.e., the credit loss component) and (ii) the amount of the impairment related to all other factors (i.e., the non-credit loss component). The credit loss component is recognized in earnings. The non-credit loss component is recognized in accumulated other comprehensive loss.</w:t>
      </w:r>
    </w:p>
    <w:p>
      <w:pPr>
        <w:spacing w:after="0" w:line="176"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Other Investments</w:t>
      </w:r>
      <w:r>
        <w:rPr>
          <w:rFonts w:ascii="Times New Roman" w:cs="Times New Roman" w:eastAsia="Times New Roman" w:hAnsi="Times New Roman"/>
          <w:sz w:val="18"/>
          <w:szCs w:val="18"/>
          <w:color w:val="auto"/>
        </w:rPr>
        <w:t>—Investments in privately held companies where we own less than 20% of the voting stock and have no indicators of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influence over operating and financial policies of those companies are included in Other assets in the consolidated balance sheets and are accounted for under the cost method. For these non-quoted investments, we regularly review the assumptions underlying the operating performance and cash flow forecasts based on information provided by these privately held companies. If it is determined that an other-than-temporary decline exists in an equity security, we write down the investment to its fair value and record the related impairment as an investment loss in our consolidated statements of operations.</w:t>
      </w:r>
    </w:p>
    <w:p>
      <w:pPr>
        <w:spacing w:after="0" w:line="180"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—Inventory is recorded at the lower of average cost or market, after we give appropriate consideration to obsolescence and inventory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excess of anticipated future demand. Certain inventories are held at consignment locations. This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consigned inventory was $4.3 million as of December 31, 2013, of which $4.1 million is raw materials and $0.2 million is finished goods and $2.3 million as of December 31, 2012, of which $2.1 million is raw materials and $0.2 million is finished goods. In assessing the ultimate recoverability of inventory, we are required to make estimates regarding future customer demand, the timing of new product introductions, economic trends and market conditions. If the actual product demand is significantly lower than forecasted, we could be required to record additional inventory write-downs, which could have an adverse impact on our gross margins and profitability.</w:t>
      </w:r>
    </w:p>
    <w:p>
      <w:pPr>
        <w:spacing w:after="0" w:line="180"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Property and Equipment</w:t>
      </w:r>
      <w:r>
        <w:rPr>
          <w:rFonts w:ascii="Times New Roman" w:cs="Times New Roman" w:eastAsia="Times New Roman" w:hAnsi="Times New Roman"/>
          <w:sz w:val="18"/>
          <w:szCs w:val="18"/>
          <w:color w:val="auto"/>
        </w:rPr>
        <w:t>—Property and equipment are stated at cost less accumulated depreciation. Depreciation is computed using the straight-line method over the estimated useful lives of the assets as follows:</w:t>
      </w:r>
    </w:p>
    <w:p>
      <w:pPr>
        <w:spacing w:after="0" w:line="324" w:lineRule="exact"/>
        <w:rPr>
          <w:sz w:val="20"/>
          <w:szCs w:val="20"/>
          <w:color w:val="auto"/>
        </w:rPr>
      </w:pPr>
    </w:p>
    <w:tbl>
      <w:tblPr>
        <w:tblLayout w:type="fixed"/>
        <w:tblInd w:w="1220" w:type="dxa"/>
        <w:tblCellMar>
          <w:top w:w="0" w:type="dxa"/>
          <w:left w:w="0" w:type="dxa"/>
          <w:bottom w:w="0" w:type="dxa"/>
          <w:right w:w="0" w:type="dxa"/>
        </w:tblCellMar>
      </w:tblPr>
      <w:tr>
        <w:trPr>
          <w:trHeight w:val="212"/>
        </w:trPr>
        <w:tc>
          <w:tcPr>
            <w:tcW w:w="5660" w:type="dxa"/>
            <w:vAlign w:val="bottom"/>
          </w:tcPr>
          <w:p>
            <w:pPr>
              <w:spacing w:after="0"/>
              <w:rPr>
                <w:sz w:val="18"/>
                <w:szCs w:val="18"/>
                <w:color w:val="auto"/>
              </w:rPr>
            </w:pPr>
          </w:p>
        </w:tc>
        <w:tc>
          <w:tcPr>
            <w:tcW w:w="3320" w:type="dxa"/>
            <w:vAlign w:val="bottom"/>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r>
      <w:tr>
        <w:trPr>
          <w:trHeight w:val="33"/>
        </w:trPr>
        <w:tc>
          <w:tcPr>
            <w:tcW w:w="566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3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years</w:t>
            </w: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Evaluation units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7"/>
        </w:trPr>
        <w:tc>
          <w:tcPr>
            <w:tcW w:w="566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software</w:t>
            </w:r>
          </w:p>
        </w:tc>
        <w:tc>
          <w:tcPr>
            <w:tcW w:w="3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Computer equipment and tooling</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years</w:t>
            </w:r>
          </w:p>
        </w:tc>
      </w:tr>
      <w:tr>
        <w:trPr>
          <w:trHeight w:val="27"/>
        </w:trPr>
        <w:tc>
          <w:tcPr>
            <w:tcW w:w="5660" w:type="dxa"/>
            <w:vAlign w:val="bottom"/>
          </w:tcPr>
          <w:p>
            <w:pPr>
              <w:spacing w:after="0"/>
              <w:rPr>
                <w:sz w:val="2"/>
                <w:szCs w:val="2"/>
                <w:color w:val="auto"/>
              </w:rPr>
            </w:pPr>
          </w:p>
        </w:tc>
        <w:tc>
          <w:tcPr>
            <w:tcW w:w="332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3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43"/>
        </w:trPr>
        <w:tc>
          <w:tcPr>
            <w:tcW w:w="5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useful life or lease term</w:t>
            </w:r>
          </w:p>
        </w:tc>
      </w:tr>
    </w:tbl>
    <w:p>
      <w:pPr>
        <w:spacing w:after="0" w:line="2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Impairment of Long-Lived Assets</w:t>
      </w:r>
      <w:r>
        <w:rPr>
          <w:rFonts w:ascii="Times New Roman" w:cs="Times New Roman" w:eastAsia="Times New Roman" w:hAnsi="Times New Roman"/>
          <w:sz w:val="18"/>
          <w:szCs w:val="18"/>
          <w:color w:val="auto"/>
        </w:rPr>
        <w:t>—We evaluate events and changes in circumstances that could indicate carrying amounts of long-lived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intangible assets, may not be recoverable. When such events or changes in circumstances occur, we assess the recoverability of long-lived assets by determining whether the carrying value of such assets will be recovered through undiscounted expected future cash flows. If the total of the future undiscounted cash flows is less than the carrying amount of those assets, we record an impairment charge in the period in which we make the determination. If such assets are considered to be impaired, the impairment to be recognized is measured by the amount by which the carrying amount of the assets exceeds the fair value of the assets. Certain purchased intangible assets were measured at fair value resulting in an impairment charge of $0.5 million, which is recorded as Cost of sales in the consolidated statements of operations during fiscal 2013.</w:t>
      </w:r>
    </w:p>
    <w:p>
      <w:pPr>
        <w:spacing w:after="0" w:line="183"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—Goodwill represents the excess of purchase consideration over the estimated fair value of net assets of businesses acquired in a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Goodwill acquired in a business combination are not amortized, but instead tested for impairment at least annually during the fourth quarter. We perform our annual goodwill impairment analysis at the reporting unit level. As of December 31, 2013, we had one reporting unit.</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reviewing goodwill for impairment we have the option to (i) assess qualitative factors to determine whether it is more-likely-than-not that the fair value of the reporting unit is less than its carrying amount or (ii) bypass the qualitative assessment and proceed directly to a quantitative assessment. If we opt to perform a qualitative assessment, the factors we may review include, but are not limited to (a) macroeconomic conditions; (b) industry and market considerations; (c) cost factors; (d) overall financial performance; (e) other relevant entity-specific events such as changes in management, strategy, customers, or litigation; (f) events affecting the reporting unit; or (g) or sustained decrease in share price. If we believe, as a result of the qualitative assessment, that it is more-likely-than-not that the fair value of the reporting unit is less than its carrying amount, the quantitative impairment test will be required. Otherwise, no further testing will be required. A quantitative assessment utilizes a two-step process. In the first step, the fair value of the reporting unit is determined, and is compared against its carrying amount, including goodwill. We consider a combination of an income-based approach using projected discounted cash flows and a market-based approach using multiples of comparable companies to determine the fair value. The fair value of the reporting unit is estimated using significant judgment based on a combination of the income and the market approaches. Under the income approach, we estimate fair value of the reporting unit based on the present value of forecasted future cash flows that the reporting unit is expected to generate over its remaining life. Under the market approach, we estimate fair value of our reporting unit based on an analysis that compares the value of the reporting unit to values of other companies in similar lines of business. If the fair value of the reporting unit is less than its carrying value, then we perform the second step to measure the amount of impairment loss. The amount of impairment is determined by comparing the implied fair value of reporting unit goodwill to the carrying value of the goodwill. When the carrying value of the reporting unit's goodwill exceeds its implied fair value, we record an impairment loss equal to the difference. We have not been required to perform this second step of the process because the fair value of our reporting unit exceeded the net book value as of December 31, 2013.</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121" w:right="25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Determining the fair value of the reporting unit requires us to make judgments and involves the use of significant estimates and assumptions. These estimates and assumptions include revenue growth rates and operating margins used to calculate projected future cash flows, operating trends, risk-adjusted discount rates, future economic and market conditions and determination of appropriate market comparables. We base our fair value estimates on assumptions we believe to be reasonable but that are unpredictable and inherently uncertain. Actual future results may differ from those estimates. We may also test goodwill for impairment between annual tests in the presence of impairment indicators.</w:t>
      </w:r>
    </w:p>
    <w:p>
      <w:pPr>
        <w:spacing w:after="0" w:line="180"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Other Intangible Assets</w:t>
      </w:r>
      <w:r>
        <w:rPr>
          <w:rFonts w:ascii="Times New Roman" w:cs="Times New Roman" w:eastAsia="Times New Roman" w:hAnsi="Times New Roman"/>
          <w:sz w:val="18"/>
          <w:szCs w:val="18"/>
          <w:color w:val="auto"/>
        </w:rPr>
        <w:t>—Intangible assets with finite lives are carried at cost, less accumulated amortization. Amortization is computed using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straight-line method over the estimated economic lives of the assets, which range from one to six years.</w:t>
      </w:r>
    </w:p>
    <w:p>
      <w:pPr>
        <w:spacing w:after="0" w:line="15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Deferred Revenue</w:t>
      </w:r>
      <w:r>
        <w:rPr>
          <w:rFonts w:ascii="Times New Roman" w:cs="Times New Roman" w:eastAsia="Times New Roman" w:hAnsi="Times New Roman"/>
          <w:sz w:val="18"/>
          <w:szCs w:val="18"/>
          <w:color w:val="auto"/>
        </w:rPr>
        <w:t>—Deferred revenue consists of amounts that have been invoiced but that have not yet been recognized as revenue. This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subscription and support services which are invoiced upfront and delivered over twelve months or longer.</w:t>
      </w:r>
    </w:p>
    <w:p>
      <w:pPr>
        <w:spacing w:after="0" w:line="155" w:lineRule="exact"/>
        <w:rPr>
          <w:sz w:val="20"/>
          <w:szCs w:val="20"/>
          <w:color w:val="auto"/>
        </w:rPr>
      </w:pPr>
    </w:p>
    <w:p>
      <w:pPr>
        <w:ind w:right="80" w:firstLine="648"/>
        <w:spacing w:after="0" w:line="278" w:lineRule="auto"/>
        <w:rPr>
          <w:sz w:val="20"/>
          <w:szCs w:val="20"/>
          <w:color w:val="auto"/>
        </w:rPr>
      </w:pPr>
      <w:r>
        <w:rPr>
          <w:rFonts w:ascii="Times New Roman" w:cs="Times New Roman" w:eastAsia="Times New Roman" w:hAnsi="Times New Roman"/>
          <w:sz w:val="17"/>
          <w:szCs w:val="17"/>
          <w:b w:val="1"/>
          <w:bCs w:val="1"/>
          <w:color w:val="auto"/>
        </w:rPr>
        <w:t>Income Taxes</w:t>
      </w:r>
      <w:r>
        <w:rPr>
          <w:rFonts w:ascii="Times New Roman" w:cs="Times New Roman" w:eastAsia="Times New Roman" w:hAnsi="Times New Roman"/>
          <w:sz w:val="17"/>
          <w:szCs w:val="17"/>
          <w:color w:val="auto"/>
        </w:rPr>
        <w:t>—We record income taxes using the asset and liability method, which requires the recognition of deferred tax assets and liabilities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expected future tax consequences of events that have been recognized in our financial statements or tax returns. In estimating future tax consequences, generally all expected future events other than enactments or changes in the tax law or rates are considered. We assess the likelihood that some portion or all of our deferred tax assets will be recovered from future taxable income within the respective jurisdictions, and to the extent we believe that recovery does not meet the “more-likely-than-not” standard, based solely on its technical merits as of the reporting date, we establish a valuation allowance.</w:t>
      </w:r>
    </w:p>
    <w:p>
      <w:pPr>
        <w:spacing w:after="0" w:line="168"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account for uncertain tax positions in accordance with GAAP, which defines the confidence level that a tax position must meet in order to be recognized in the financial statements. The tax effects of a position are recognized only if it is “more likely than not” to be sustained based solely on its technical merits as of the reporting date. We consider many factors when evaluating and estimating our tax positions and tax benefits, which may require periodic adjustments and which may not accurately anticipate actual outcomes.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operate in various tax jurisdictions and are subject to audit by various tax authorities. We provide for tax contingencies whenever it is deemed more likely than not that a tax asset has been impaired or a tax liability has been incurred for events such as tax claims or changes in tax laws. Tax contingencies are based upon their technical merits, relevant tax law and the specific facts and circumstances as of each reporting period. Changes in facts and circumstances could result in material changes to the amounts recorded for such tax contingencies.</w:t>
      </w:r>
    </w:p>
    <w:p>
      <w:pPr>
        <w:spacing w:after="0" w:line="17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Stock-Based Compensation Expense</w:t>
      </w:r>
      <w:r>
        <w:rPr>
          <w:rFonts w:ascii="Times New Roman" w:cs="Times New Roman" w:eastAsia="Times New Roman" w:hAnsi="Times New Roman"/>
          <w:sz w:val="18"/>
          <w:szCs w:val="18"/>
          <w:color w:val="auto"/>
        </w:rPr>
        <w:t>—We have elected to use the Black-Scholes option pricing model to determine the fair value of our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options and ESPP. The fair value of RSUs is based on the closing market price of our common stock on the date of grant. Stock-based compensation expense is amortized on a straight-line basis, net of estimated forfeitures. PSUs are RSUs that contain both service-based and market-based vesting conditions. PSUs vest over a specified service period upon the satisfaction of certain market-based vesting conditions, and settle into shares of our common stock upon vesting over a two- or three-year period. The fair value of a PSU is calculated using the Monte Carlo simulation model on the date of grant and is based on the market price of our common stock on the date of grant modified to reflect the impact of the market-based vesting condition, including the estimated payout level based on that condition. We do not adjust compensation cost for subsequent changes in the expected outcome of the market-based vesting conditions.</w:t>
      </w:r>
    </w:p>
    <w:p>
      <w:pPr>
        <w:spacing w:after="0" w:line="185"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Advertising Expense</w:t>
      </w:r>
      <w:r>
        <w:rPr>
          <w:rFonts w:ascii="Times New Roman" w:cs="Times New Roman" w:eastAsia="Times New Roman" w:hAnsi="Times New Roman"/>
          <w:sz w:val="18"/>
          <w:szCs w:val="18"/>
          <w:color w:val="auto"/>
        </w:rPr>
        <w:t>—Advertising costs are expensed when incurred and are included in operating expenses in the accompanying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of operations. Our advertising expenses were not significant for any periods presented.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r>
        <w:rPr>
          <w:rFonts w:ascii="Times New Roman" w:cs="Times New Roman" w:eastAsia="Times New Roman" w:hAnsi="Times New Roman"/>
          <w:sz w:val="18"/>
          <w:szCs w:val="18"/>
          <w:color w:val="auto"/>
        </w:rPr>
        <w:t>—Research and development costs are expensed as incurred.</w:t>
      </w:r>
    </w:p>
    <w:p>
      <w:pPr>
        <w:spacing w:after="0" w:line="22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Software Development Costs</w:t>
      </w:r>
      <w:r>
        <w:rPr>
          <w:rFonts w:ascii="Times New Roman" w:cs="Times New Roman" w:eastAsia="Times New Roman" w:hAnsi="Times New Roman"/>
          <w:sz w:val="18"/>
          <w:szCs w:val="18"/>
          <w:color w:val="auto"/>
        </w:rPr>
        <w:t>—The costs to develop software have not been capitalized as we believe our current software development process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essentially completed concurrent with the establishment of technological feasibility.</w:t>
      </w:r>
    </w:p>
    <w:p>
      <w:pPr>
        <w:spacing w:after="0" w:line="15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Revenue Recognition</w:t>
      </w:r>
      <w:r>
        <w:rPr>
          <w:rFonts w:ascii="Times New Roman" w:cs="Times New Roman" w:eastAsia="Times New Roman" w:hAnsi="Times New Roman"/>
          <w:sz w:val="18"/>
          <w:szCs w:val="18"/>
          <w:color w:val="auto"/>
        </w:rPr>
        <w:t>—We derive revenue from sales of products, including appliances and software, and services, including subscription, support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services. The majority of our products are hardware appliances containing software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components that function together to provide the essential functionality of the product.We record revenue from our hardware appliances in accordance with general revenue recognition accounting guidance.</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product revenue also includes software products that may operate on the hardware appliances, but are not considered essential to the functionality of the hardware and are subject to industry-specific software revenue recognition guidance. Certain of our software, when sold with our appliances, are considered essential to their functionality and as a result are accounted for as non-software deliverables. However, this same software, if sold separately, is accounted for under industry-specific software revenue recognition guidance.</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When a sales arrangement contains multiple elements, such as hardware appliances, software, customer support services, and/or professional services, we allocate revenue to each element based on a selling price hierarchy. In multiple element arrangements where software is more-than-incidental, revenue is allocated to each separate unit of accounting for each of the non-software deliverables and to the software deliverables as a group using the relative selling prices of each of the deliverables in the arrangement based on the selling price hierarchy. When applying the relative selling price method, we determine the selling price for each deliverable using vendor-specific objective evidence (“VSOE”) of selling price, if it exists, or third-party evidence (“TPE”) of selling price. If neither VSOE nor TPE of selling price exist for a deliverable, we use our best estimate of selling (“BESP”) price for that deliverable. Revenue allocated to each element is then recognized when the basic revenue recognition criteria are met for each element.</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VSOE of fair value for elements of an arrangement is based upon the normal pricing practices for those services when sold separately. In establishing VSOE, we require that a substantial majority of the selling prices for a service fall within a reasonably narrow pricing range, generally evidenced by a substantial majority of such historical stand-alone transactions falling within a reasonably narrow range of the median rates.</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are typically not able to determine TPE for our products or services. TPE is determined based on competitor prices for similar deliverables when sold separately which is generally unavailable.</w:t>
      </w:r>
    </w:p>
    <w:p>
      <w:pPr>
        <w:spacing w:after="0" w:line="16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For our hardware appliances, we use BESP as our selling price. For our support and other services, we generally use VSOE as our selling price estimate. When we are unable to establish a selling price using VSOE for our support and other services, we use BESP in our allocation of arrangement consideration. The objective of BESP is to determine the price at which we would transact a sale if the product or service were sold on a stand-alone basis. We determine BESP for a product or service by considering multiple factors including, but not limited to, cost of products, gross margin objectives, pricing practices, geographies, customer classes and distribution channels.</w:t>
      </w:r>
    </w:p>
    <w:p>
      <w:pPr>
        <w:spacing w:after="0" w:line="18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recognize revenue for our software sales based on industry-specific software revenue recognition guidance. Under industry-specific software revenue recognition guidance, we use the residual method to recognize revenue when a product agreement includes one or more elements to be delivered and VSOE of fair value for all undelivered elements exists. If evidence of the fair value of one or more undelivered elements does not exist, all revenue is generally deferred and recognized when delivery of those elements occurs or when fair value can be established. When the undelivered element for which we do not have VSOE of fair value is support, revenue for the entire arrangement is recognized ratably over the support period.</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is recognized when all of the following criteria have been met:</w:t>
      </w:r>
    </w:p>
    <w:p>
      <w:pPr>
        <w:spacing w:after="0" w:line="223" w:lineRule="exact"/>
        <w:rPr>
          <w:sz w:val="20"/>
          <w:szCs w:val="20"/>
          <w:color w:val="auto"/>
        </w:rPr>
      </w:pPr>
    </w:p>
    <w:p>
      <w:pPr>
        <w:ind w:left="1300" w:right="340" w:hanging="644"/>
        <w:spacing w:after="0" w:line="284"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Persuasive evidence of an arrangement exists. </w:t>
      </w:r>
      <w:r>
        <w:rPr>
          <w:rFonts w:ascii="Times New Roman" w:cs="Times New Roman" w:eastAsia="Times New Roman" w:hAnsi="Times New Roman"/>
          <w:sz w:val="18"/>
          <w:szCs w:val="18"/>
          <w:color w:val="auto"/>
        </w:rPr>
        <w:t>Binding contracts or purchase orders are generally used to determine the existence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w:t>
      </w:r>
    </w:p>
    <w:p>
      <w:pPr>
        <w:spacing w:after="0" w:line="158" w:lineRule="exact"/>
        <w:rPr>
          <w:rFonts w:ascii="Times New Roman" w:cs="Times New Roman" w:eastAsia="Times New Roman" w:hAnsi="Times New Roman"/>
          <w:sz w:val="18"/>
          <w:szCs w:val="18"/>
          <w:color w:val="auto"/>
        </w:rPr>
      </w:pPr>
    </w:p>
    <w:p>
      <w:pPr>
        <w:ind w:left="1300" w:right="300" w:hanging="644"/>
        <w:spacing w:after="0" w:line="267"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has occurred or services have been rendered. </w:t>
      </w:r>
      <w:r>
        <w:rPr>
          <w:rFonts w:ascii="Times New Roman" w:cs="Times New Roman" w:eastAsia="Times New Roman" w:hAnsi="Times New Roman"/>
          <w:sz w:val="18"/>
          <w:szCs w:val="18"/>
          <w:color w:val="auto"/>
        </w:rPr>
        <w:t>Delivery occurs when we fulfill an order and title and risk of loss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Services revenue is deferred and recognized ratably over the period during which the services are to be performed, which is typically from one to three years. Professional service revenue is recognized upon delivery or completion of performance.</w:t>
      </w:r>
    </w:p>
    <w:p>
      <w:pPr>
        <w:spacing w:after="0" w:line="173" w:lineRule="exact"/>
        <w:rPr>
          <w:rFonts w:ascii="Times New Roman" w:cs="Times New Roman" w:eastAsia="Times New Roman" w:hAnsi="Times New Roman"/>
          <w:sz w:val="18"/>
          <w:szCs w:val="18"/>
          <w:color w:val="auto"/>
        </w:rPr>
      </w:pPr>
    </w:p>
    <w:p>
      <w:pPr>
        <w:ind w:left="1300" w:right="20" w:hanging="644"/>
        <w:spacing w:after="0" w:line="261"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price is fixed or determinable. </w:t>
      </w:r>
      <w:r>
        <w:rPr>
          <w:rFonts w:ascii="Times New Roman" w:cs="Times New Roman" w:eastAsia="Times New Roman" w:hAnsi="Times New Roman"/>
          <w:sz w:val="18"/>
          <w:szCs w:val="18"/>
          <w:color w:val="auto"/>
        </w:rPr>
        <w:t>We assess whether the sales price is fixed or determinable based on the payment terms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transaction and whether the sales price is subject to refund or adjustment. In the event payment terms differ from our standard business practices, the sales price is deemed to be not fixed or determinable and revenue is recognized when the payments become due, provided the remaining criteria for revenue recognition have been met. In the event the sales price is subject to refund or adjustment,</w:t>
      </w: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80"/>
          </w:cols>
          <w:pgMar w:left="240" w:top="121" w:right="27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00" w:right="600"/>
        <w:spacing w:after="0" w:line="329" w:lineRule="auto"/>
        <w:rPr>
          <w:sz w:val="20"/>
          <w:szCs w:val="20"/>
          <w:color w:val="auto"/>
        </w:rPr>
      </w:pPr>
      <w:r>
        <w:rPr>
          <w:rFonts w:ascii="Times New Roman" w:cs="Times New Roman" w:eastAsia="Times New Roman" w:hAnsi="Times New Roman"/>
          <w:sz w:val="18"/>
          <w:szCs w:val="18"/>
          <w:color w:val="auto"/>
        </w:rPr>
        <w:t>the sales price is deemed to be not fixed or determinable and revenue is recognized when the refund or adjustment privileges expire provided the remaining criteria for revenue recognition have been met.</w:t>
      </w:r>
    </w:p>
    <w:p>
      <w:pPr>
        <w:spacing w:after="0" w:line="133" w:lineRule="exact"/>
        <w:rPr>
          <w:sz w:val="20"/>
          <w:szCs w:val="20"/>
          <w:color w:val="auto"/>
        </w:rPr>
      </w:pPr>
    </w:p>
    <w:p>
      <w:pPr>
        <w:ind w:left="1300" w:right="100" w:hanging="644"/>
        <w:spacing w:after="0" w:line="284"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Collectibility is probable. </w:t>
      </w:r>
      <w:r>
        <w:rPr>
          <w:rFonts w:ascii="Times New Roman" w:cs="Times New Roman" w:eastAsia="Times New Roman" w:hAnsi="Times New Roman"/>
          <w:sz w:val="18"/>
          <w:szCs w:val="18"/>
          <w:color w:val="auto"/>
        </w:rPr>
        <w:t>We assess collectibility based primarily on creditworthiness as determined by credit checks and analysis,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payment history.</w:t>
      </w:r>
    </w:p>
    <w:p>
      <w:pPr>
        <w:spacing w:after="0" w:line="16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arrangements which include end-customer acceptance criteria, revenue is recognized upon acceptance. We recognize product revenue on sales to distributors that have no general right of return and direct sales to end-customers upon shipment, once all other revenue recognition criteria have been met. Certain distributors that stock our products are granted stock rotation rights,limited rights of return as well as rebates for sales of our products. The arrangement fee for this group of distributors is not fixed and determinable when products are shipped and revenue is therefore deferred and recognized upon sell-through. Substantially all of our products have been sold in combination with services, which consist of subscriptions and/or support. Subscription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w:t>
      </w:r>
    </w:p>
    <w:p>
      <w:pPr>
        <w:spacing w:after="0" w:line="18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subscription and support services start on the date the customer registers the appliance. The customer is then entitled to service for the stated contractual period beginning on the registration date.</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offer certain sales incentives to channel partners. We reduce revenue for estimates of sales returns and allowances.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17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Shipping charges billed to customers are included in revenues and related costs are included in cost of revenue. Sales commissions and other incremental costs to acquire contracts are expensed as incurred.</w:t>
      </w:r>
    </w:p>
    <w:p>
      <w:pPr>
        <w:spacing w:after="0" w:line="15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Accounts Receivable</w:t>
      </w:r>
      <w:r>
        <w:rPr>
          <w:rFonts w:ascii="Times New Roman" w:cs="Times New Roman" w:eastAsia="Times New Roman" w:hAnsi="Times New Roman"/>
          <w:sz w:val="18"/>
          <w:szCs w:val="18"/>
          <w:color w:val="auto"/>
        </w:rPr>
        <w:t>—Trade accounts receivable are recorded at the invoiced amount, net of allowances for doubtful accounts and reserves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returns and allowances. The allowance for doubtful accounts is based on our assessment of the collectibility of customer accounts. The allowance for doubtful accounts was not significant as of December 31, 2013 and 2012. The reserve for sales returns and allowances is based on specific criteria including agreements to provide rebates and other factors known at the time, as well as estimates of the amount of goods shipped that will be returned. To determine the adequacy of the reserves for sales returns and allowances, we analyze historical experience of actual rebates and returns as well as current product return information. The reserve for sales returns was $4.6 million and $2.3 million as of December 31, 2013 and 2012, respectively.</w:t>
      </w:r>
    </w:p>
    <w:p>
      <w:pPr>
        <w:spacing w:after="0" w:line="183" w:lineRule="exact"/>
        <w:rPr>
          <w:sz w:val="20"/>
          <w:szCs w:val="20"/>
          <w:color w:val="auto"/>
        </w:rPr>
      </w:pPr>
    </w:p>
    <w:p>
      <w:pPr>
        <w:jc w:val="both"/>
        <w:ind w:right="2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Warranties</w:t>
      </w:r>
      <w:r>
        <w:rPr>
          <w:rFonts w:ascii="Times New Roman" w:cs="Times New Roman" w:eastAsia="Times New Roman" w:hAnsi="Times New Roman"/>
          <w:sz w:val="18"/>
          <w:szCs w:val="18"/>
          <w:color w:val="auto"/>
        </w:rPr>
        <w:t>—We generally provide a 1-year warranty on hardware products and a 90-day warranty on software. A provision for estimated future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related to warranty activities is recorded as a component of cost of product revenues when the product revenues are recognized, based upon historical product failure rates and historical costs incurred in correcting product failures. In the event we change our warranty reserve estimates, the resulting charge against future cost of sales or reversal of previously recorded charges may materially affect our gross margins and operating results.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warranty activities are summarized as follows ($ amounts in 000’s):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80" w:type="dxa"/>
            <w:vAlign w:val="bottom"/>
          </w:tcPr>
          <w:p>
            <w:pPr>
              <w:spacing w:after="0"/>
              <w:rPr>
                <w:sz w:val="20"/>
                <w:szCs w:val="20"/>
                <w:color w:val="auto"/>
              </w:rPr>
            </w:pPr>
          </w:p>
        </w:tc>
        <w:tc>
          <w:tcPr>
            <w:tcW w:w="146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1440" w:type="dxa"/>
            <w:vAlign w:val="bottom"/>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20"/>
                <w:szCs w:val="20"/>
                <w:color w:val="auto"/>
              </w:rPr>
            </w:pPr>
          </w:p>
        </w:tc>
        <w:tc>
          <w:tcPr>
            <w:tcW w:w="144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2011</w:t>
            </w:r>
          </w:p>
        </w:tc>
        <w:tc>
          <w:tcPr>
            <w:tcW w:w="0" w:type="dxa"/>
            <w:vAlign w:val="bottom"/>
          </w:tcPr>
          <w:p>
            <w:pPr>
              <w:spacing w:after="0"/>
              <w:rPr>
                <w:sz w:val="1"/>
                <w:szCs w:val="1"/>
                <w:color w:val="auto"/>
              </w:rPr>
            </w:pPr>
          </w:p>
        </w:tc>
      </w:tr>
      <w:tr>
        <w:trPr>
          <w:trHeight w:val="33"/>
        </w:trPr>
        <w:tc>
          <w:tcPr>
            <w:tcW w:w="6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warranty balance—beginning of the period</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2,309</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Warranty costs incurred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warranty for the year, including warranty liabilities assumed in connection</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with an acquisition</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3,965</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2,103</w:t>
            </w: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prior period estimates</w:t>
            </w: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warranty balance—end of the period</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3,037</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2,582</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70</w:t>
            </w: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658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21" w:right="27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Foreign Currency Derivatives</w:t>
      </w:r>
      <w:r>
        <w:rPr>
          <w:rFonts w:ascii="Times New Roman" w:cs="Times New Roman" w:eastAsia="Times New Roman" w:hAnsi="Times New Roman"/>
          <w:sz w:val="18"/>
          <w:szCs w:val="18"/>
          <w:color w:val="auto"/>
        </w:rPr>
        <w:t>—Our sales contracts are primarily denominated in U.S. dollars and therefore substantially all of our revenue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foreign currency translation risk. However, a substantial portion of our operating expenses incurred outside the U.S. are denominated in foreign currencies and are subject to fluctuations due to changes in foreign currency exchange rates, particularly changes in the Canadian dollar ("CAD"). To help protect against significant fluctuations in value and the volatility of future cash flows caused by changes in currency exchange rates, we engage in foreign currency risk management activities to hedge balance sheet items denominated in CAD. We do not use these contracts for speculative or trading purposes. All of the derivative instruments are with high quality financial institutions and we monitor the creditworthiness of these parties. These contracts typically have maturities between one and three months. We record changes in the fair value of forward exchange contracts related to balance sheet accounts as other expense, net in the consolidated statement of operations.</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Additionally, independent of any hedging activities, fluctuations in foreign currency exchange rates may cause us to recognize transaction gains and losses in our consolidated statements of operations. Our hedging activities are intended to reduce, but not eliminate, the impact of currency exchange rate movements. As our hedging activities are relatively short-term in nature and are focused on CAD, long-term material changes in the value of the U.S. dollar against other foreign currencies, such as the EUR, GBP and JPY could adversely impact our operating expenses in the future.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notional amount of forward exchange contracts to hedge balance sheet accounts as of December 31, 2013 was (amounts in 000’s):</w:t>
      </w:r>
    </w:p>
    <w:p>
      <w:pPr>
        <w:spacing w:after="0" w:line="383"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Buy/Sell</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Notional</w:t>
            </w:r>
          </w:p>
        </w:tc>
      </w:tr>
      <w:tr>
        <w:trPr>
          <w:trHeight w:val="27"/>
        </w:trPr>
        <w:tc>
          <w:tcPr>
            <w:tcW w:w="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6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Contracts:</w:t>
            </w: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03"/>
        </w:trPr>
        <w:tc>
          <w:tcPr>
            <w:tcW w:w="7680" w:type="dxa"/>
            <w:vAlign w:val="bottom"/>
            <w:gridSpan w:val="4"/>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Currency—As of December 31, 2013</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800" w:type="dxa"/>
            <w:vAlign w:val="bottom"/>
            <w:tcBorders>
              <w:top w:val="single" w:sz="8" w:color="auto"/>
            </w:tcBorders>
          </w:tcPr>
          <w:p>
            <w:pPr>
              <w:spacing w:after="0"/>
              <w:rPr>
                <w:sz w:val="4"/>
                <w:szCs w:val="4"/>
                <w:color w:val="auto"/>
              </w:rPr>
            </w:pPr>
          </w:p>
        </w:tc>
        <w:tc>
          <w:tcPr>
            <w:tcW w:w="3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50"/>
        </w:trPr>
        <w:tc>
          <w:tcPr>
            <w:tcW w:w="76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CAD</w:t>
            </w:r>
          </w:p>
        </w:tc>
        <w:tc>
          <w:tcPr>
            <w:tcW w:w="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Buy</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21,867</w:t>
            </w:r>
          </w:p>
        </w:tc>
      </w:tr>
      <w:tr>
        <w:trPr>
          <w:trHeight w:val="297"/>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768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Currency—As of December 31, 2012</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800" w:type="dxa"/>
            <w:vAlign w:val="bottom"/>
            <w:tcBorders>
              <w:top w:val="single" w:sz="8" w:color="auto"/>
            </w:tcBorders>
            <w:shd w:val="clear" w:color="auto" w:fill="CCEEFF"/>
          </w:tcPr>
          <w:p>
            <w:pPr>
              <w:spacing w:after="0"/>
              <w:rPr>
                <w:sz w:val="4"/>
                <w:szCs w:val="4"/>
                <w:color w:val="auto"/>
              </w:rPr>
            </w:pPr>
          </w:p>
        </w:tc>
        <w:tc>
          <w:tcPr>
            <w:tcW w:w="37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r>
      <w:tr>
        <w:trPr>
          <w:trHeight w:val="243"/>
        </w:trPr>
        <w:tc>
          <w:tcPr>
            <w:tcW w:w="76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CAD</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Buy</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17,968</w:t>
            </w: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97"/>
        </w:trPr>
        <w:tc>
          <w:tcPr>
            <w:tcW w:w="4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37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bl>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February 2013, the Financial Accounting Standards Board (“FASB”) issued Accounting Standards Update No. 2013-02,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220)—Reporting of Amounts Reclassified Out of Accumulated Other Comprehensive Income </w:t>
      </w:r>
      <w:r>
        <w:rPr>
          <w:rFonts w:ascii="Times New Roman" w:cs="Times New Roman" w:eastAsia="Times New Roman" w:hAnsi="Times New Roman"/>
          <w:sz w:val="18"/>
          <w:szCs w:val="18"/>
          <w:color w:val="auto"/>
        </w:rPr>
        <w:t>(“ASU 2013-02”). ASU 2013-02 requires an entity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report the effect of significant reclassifications out of accumulated other comprehensive income on the respective line items in net income if the amount being reclassified is required under GAAP to be reclassified in its entirety to net income. For other amounts that are not required under GAAP to be reclassified in their entirety to net income in the same reporting period, an entity is required to cross-reference other disclosures required under GAAP that provide additional detail about those amounts. We adopted ASU 2013-02 on January 1, 2013, and presented the effects within Note 15, </w:t>
      </w:r>
      <w:r>
        <w:rPr>
          <w:rFonts w:ascii="Times New Roman" w:cs="Times New Roman" w:eastAsia="Times New Roman" w:hAnsi="Times New Roman"/>
          <w:sz w:val="18"/>
          <w:szCs w:val="18"/>
          <w:i w:val="1"/>
          <w:iCs w:val="1"/>
          <w:color w:val="auto"/>
        </w:rPr>
        <w:t>Accumulated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Comprehensive Income</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100" w:firstLine="648"/>
        <w:spacing w:after="0" w:line="265"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8"/>
          <w:szCs w:val="18"/>
          <w:color w:val="auto"/>
        </w:rPr>
        <w:t>n July 2013, the FASB issued ASU No. 2013-11,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i w:val="1"/>
          <w:iCs w:val="1"/>
          <w:color w:val="auto"/>
        </w:rPr>
        <w:t>Income Taxes (Topic 740)-Presentation of an Unrecognized Tax Benefit When a Net Operating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i w:val="1"/>
          <w:iCs w:val="1"/>
          <w:color w:val="auto"/>
        </w:rPr>
        <w:t xml:space="preserve">Loss Carryforward, a Similar Tax Loss, or a Tax Credit Carryforward Exists </w:t>
      </w:r>
      <w:r>
        <w:rPr>
          <w:rFonts w:ascii="Times New Roman" w:cs="Times New Roman" w:eastAsia="Times New Roman" w:hAnsi="Times New Roman"/>
          <w:sz w:val="18"/>
          <w:szCs w:val="18"/>
          <w:color w:val="auto"/>
        </w:rPr>
        <w:t>(“ASU 2013-11”). ASU 2013-11 provides guidance on the financial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presentation of an unrecognized tax benefit when a net operating loss carryforward, similar tax loss, or tax credit carryforward exists. This new standard requires the netting of unrecognized tax benefits (“UTBs”) against a deferred tax asset for a loss or other carryforward that would apply in settlement of the uncertain tax positions. UTBs will be netted against all available same-jurisdiction loss or other tax carryforwards that would be utilized, rather than only against carryforwards that are created by the UTBs. ASU 2013-11 will be effective for us beginning in the first quarter of fiscal 2014. Early adoption is permitted. Since ASU 2013-11 only impacts financial statement disclosure requirements for unrecognized tax benefits, we do not expect its adoption to have an impact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121" w:right="25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 IN PRIVATELY-HELD COMPANY</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August 2013, we invested $2.0 million in equity securities in HyTrust, a privately-held company. This investment is accounted for as a cost-basis investment, as we own less than 20% of the voting securities and do not have the ability to exercise significant influence over operating and financial policies of the entity. This investment is carried at historical cost and is within Other assets on our consolidated balance sheet and measured at fair value on a nonrecurring basis when indicators of impairment exist. As of December 31, 2013, no events have occurred that would adversely affect the carrying value of this investment.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FINANCIAL INSTRUMENTS AND FAIR VALUE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investments ($ amounts in 000’s):</w:t>
      </w:r>
    </w:p>
    <w:p>
      <w:pPr>
        <w:spacing w:after="0" w:line="363"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4"/>
          </w:tcPr>
          <w:p>
            <w:pPr>
              <w:ind w:left="840"/>
              <w:spacing w:after="0"/>
              <w:rPr>
                <w:sz w:val="20"/>
                <w:szCs w:val="20"/>
                <w:color w:val="auto"/>
              </w:rPr>
            </w:pPr>
            <w:r>
              <w:rPr>
                <w:rFonts w:ascii="Times New Roman" w:cs="Times New Roman" w:eastAsia="Times New Roman" w:hAnsi="Times New Roman"/>
                <w:sz w:val="16"/>
                <w:szCs w:val="16"/>
                <w:b w:val="1"/>
                <w:bCs w:val="1"/>
                <w:color w:val="auto"/>
              </w:rPr>
              <w:t>December 31, 2013</w:t>
            </w:r>
          </w:p>
        </w:tc>
        <w:tc>
          <w:tcPr>
            <w:tcW w:w="1460" w:type="dxa"/>
            <w:vAlign w:val="bottom"/>
          </w:tcPr>
          <w:p>
            <w:pPr>
              <w:spacing w:after="0"/>
              <w:rPr>
                <w:sz w:val="18"/>
                <w:szCs w:val="18"/>
                <w:color w:val="auto"/>
              </w:rPr>
            </w:pPr>
          </w:p>
        </w:tc>
      </w:tr>
      <w:tr>
        <w:trPr>
          <w:trHeight w:val="33"/>
        </w:trPr>
        <w:tc>
          <w:tcPr>
            <w:tcW w:w="428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7"/>
        </w:trPr>
        <w:tc>
          <w:tcPr>
            <w:tcW w:w="428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2"/>
        </w:trPr>
        <w:tc>
          <w:tcPr>
            <w:tcW w:w="428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42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603,185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1,506</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604,317</w:t>
            </w:r>
          </w:p>
        </w:tc>
      </w:tr>
      <w:tr>
        <w:trPr>
          <w:trHeight w:val="243"/>
        </w:trPr>
        <w:tc>
          <w:tcPr>
            <w:tcW w:w="4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Commercial paper</w:t>
            </w: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69,356</w:t>
            </w:r>
          </w:p>
        </w:tc>
        <w:tc>
          <w:tcPr>
            <w:tcW w:w="1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69,363</w:t>
            </w: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Municipal bonds</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38,815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38,843</w:t>
            </w:r>
          </w:p>
        </w:tc>
      </w:tr>
      <w:tr>
        <w:trPr>
          <w:trHeight w:val="243"/>
        </w:trPr>
        <w:tc>
          <w:tcPr>
            <w:tcW w:w="4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12,645</w:t>
            </w:r>
          </w:p>
        </w:tc>
        <w:tc>
          <w:tcPr>
            <w:tcW w:w="1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12,648</w:t>
            </w: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2,001</w:t>
            </w:r>
          </w:p>
        </w:tc>
      </w:tr>
      <w:tr>
        <w:trPr>
          <w:trHeight w:val="257"/>
        </w:trPr>
        <w:tc>
          <w:tcPr>
            <w:tcW w:w="42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726,001</w:t>
            </w:r>
          </w:p>
        </w:tc>
        <w:tc>
          <w:tcPr>
            <w:tcW w:w="12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1,565</w:t>
            </w:r>
          </w:p>
        </w:tc>
        <w:tc>
          <w:tcPr>
            <w:tcW w:w="12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727,172</w:t>
            </w: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697"/>
        </w:trPr>
        <w:tc>
          <w:tcPr>
            <w:tcW w:w="4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gridSpan w:val="4"/>
          </w:tcPr>
          <w:p>
            <w:pPr>
              <w:ind w:left="840"/>
              <w:spacing w:after="0"/>
              <w:rPr>
                <w:sz w:val="20"/>
                <w:szCs w:val="20"/>
                <w:color w:val="auto"/>
              </w:rPr>
            </w:pPr>
            <w:r>
              <w:rPr>
                <w:rFonts w:ascii="Times New Roman" w:cs="Times New Roman" w:eastAsia="Times New Roman" w:hAnsi="Times New Roman"/>
                <w:sz w:val="16"/>
                <w:szCs w:val="16"/>
                <w:b w:val="1"/>
                <w:bCs w:val="1"/>
                <w:color w:val="auto"/>
              </w:rPr>
              <w:t>December 31, 2012</w:t>
            </w:r>
          </w:p>
        </w:tc>
        <w:tc>
          <w:tcPr>
            <w:tcW w:w="1460" w:type="dxa"/>
            <w:vAlign w:val="bottom"/>
          </w:tcPr>
          <w:p>
            <w:pPr>
              <w:spacing w:after="0"/>
              <w:rPr>
                <w:sz w:val="24"/>
                <w:szCs w:val="24"/>
                <w:color w:val="auto"/>
              </w:rPr>
            </w:pPr>
          </w:p>
        </w:tc>
      </w:tr>
      <w:tr>
        <w:trPr>
          <w:trHeight w:val="33"/>
        </w:trPr>
        <w:tc>
          <w:tcPr>
            <w:tcW w:w="428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7"/>
        </w:trPr>
        <w:tc>
          <w:tcPr>
            <w:tcW w:w="428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2"/>
        </w:trPr>
        <w:tc>
          <w:tcPr>
            <w:tcW w:w="428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42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529,738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1,814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531,391</w:t>
            </w:r>
          </w:p>
        </w:tc>
      </w:tr>
      <w:tr>
        <w:trPr>
          <w:trHeight w:val="243"/>
        </w:trPr>
        <w:tc>
          <w:tcPr>
            <w:tcW w:w="4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Commercial paper</w:t>
            </w: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39,229</w:t>
            </w:r>
          </w:p>
        </w:tc>
        <w:tc>
          <w:tcPr>
            <w:tcW w:w="1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39,245</w:t>
            </w:r>
          </w:p>
        </w:tc>
      </w:tr>
      <w:tr>
        <w:trPr>
          <w:trHeight w:val="27"/>
        </w:trPr>
        <w:tc>
          <w:tcPr>
            <w:tcW w:w="4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Municipal bonds</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36,787</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36,870</w:t>
            </w:r>
          </w:p>
        </w:tc>
      </w:tr>
      <w:tr>
        <w:trPr>
          <w:trHeight w:val="243"/>
        </w:trPr>
        <w:tc>
          <w:tcPr>
            <w:tcW w:w="42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Certificates of deposit and term deposits</w:t>
            </w:r>
          </w:p>
        </w:tc>
        <w:tc>
          <w:tcPr>
            <w:tcW w:w="1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9,099</w:t>
            </w:r>
          </w:p>
        </w:tc>
        <w:tc>
          <w:tcPr>
            <w:tcW w:w="12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9,105</w:t>
            </w:r>
          </w:p>
        </w:tc>
      </w:tr>
      <w:tr>
        <w:trPr>
          <w:trHeight w:val="27"/>
        </w:trPr>
        <w:tc>
          <w:tcPr>
            <w:tcW w:w="42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28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614,853</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1,925</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616,611</w:t>
            </w: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gross unrealized losses and the related fair values of our investments that have been in a continuous unrealized loss position ($ amounts in 000’s):</w:t>
      </w:r>
    </w:p>
    <w:p>
      <w:pPr>
        <w:spacing w:after="0" w:line="340" w:lineRule="exact"/>
        <w:rPr>
          <w:sz w:val="20"/>
          <w:szCs w:val="20"/>
          <w:color w:val="auto"/>
        </w:rPr>
      </w:pPr>
    </w:p>
    <w:tbl>
      <w:tblPr>
        <w:tblLayout w:type="fixed"/>
        <w:tblInd w:w="26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December 31, 2013</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3820" w:type="dxa"/>
            <w:vAlign w:val="bottom"/>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r>
      <w:tr>
        <w:trPr>
          <w:trHeight w:val="231"/>
        </w:trPr>
        <w:tc>
          <w:tcPr>
            <w:tcW w:w="3820" w:type="dxa"/>
            <w:vAlign w:val="bottom"/>
          </w:tcPr>
          <w:p>
            <w:pPr>
              <w:spacing w:after="0"/>
              <w:rPr>
                <w:sz w:val="20"/>
                <w:szCs w:val="20"/>
                <w:color w:val="auto"/>
              </w:rPr>
            </w:pPr>
          </w:p>
        </w:tc>
        <w:tc>
          <w:tcPr>
            <w:tcW w:w="2460" w:type="dxa"/>
            <w:vAlign w:val="bottom"/>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36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980" w:type="dxa"/>
            <w:vAlign w:val="bottom"/>
          </w:tcPr>
          <w:p>
            <w:pPr>
              <w:spacing w:after="0"/>
              <w:rPr>
                <w:sz w:val="20"/>
                <w:szCs w:val="20"/>
                <w:color w:val="auto"/>
              </w:rPr>
            </w:pPr>
          </w:p>
        </w:tc>
        <w:tc>
          <w:tcPr>
            <w:tcW w:w="1300" w:type="dxa"/>
            <w:vAlign w:val="bottom"/>
            <w:gridSpan w:val="3"/>
          </w:tcPr>
          <w:p>
            <w:pPr>
              <w:jc w:val="right"/>
              <w:ind w:right="874"/>
              <w:spacing w:after="0"/>
              <w:rPr>
                <w:sz w:val="20"/>
                <w:szCs w:val="20"/>
                <w:color w:val="auto"/>
              </w:rPr>
            </w:pPr>
            <w:r>
              <w:rPr>
                <w:rFonts w:ascii="Times New Roman" w:cs="Times New Roman" w:eastAsia="Times New Roman" w:hAnsi="Times New Roman"/>
                <w:sz w:val="16"/>
                <w:szCs w:val="16"/>
                <w:b w:val="1"/>
                <w:bCs w:val="1"/>
                <w:color w:val="auto"/>
                <w:w w:val="87"/>
              </w:rPr>
              <w:t>Total</w:t>
            </w:r>
          </w:p>
        </w:tc>
      </w:tr>
      <w:tr>
        <w:trPr>
          <w:trHeight w:val="33"/>
        </w:trPr>
        <w:tc>
          <w:tcPr>
            <w:tcW w:w="38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7"/>
        </w:trPr>
        <w:tc>
          <w:tcPr>
            <w:tcW w:w="38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Fair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Unrealized</w:t>
            </w:r>
          </w:p>
        </w:tc>
      </w:tr>
      <w:tr>
        <w:trPr>
          <w:trHeight w:val="212"/>
        </w:trPr>
        <w:tc>
          <w:tcPr>
            <w:tcW w:w="38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98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33"/>
        </w:trPr>
        <w:tc>
          <w:tcPr>
            <w:tcW w:w="38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182,795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183,295</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43"/>
        </w:trPr>
        <w:tc>
          <w:tcPr>
            <w:tcW w:w="3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Commercial paper</w:t>
            </w: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7,897</w:t>
            </w:r>
          </w:p>
        </w:tc>
        <w:tc>
          <w:tcPr>
            <w:tcW w:w="12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8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Municipal bonds</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14,736</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7"/>
        </w:trPr>
        <w:tc>
          <w:tcPr>
            <w:tcW w:w="38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1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205,428</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205,928</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0"/>
        </w:trPr>
        <w:tc>
          <w:tcPr>
            <w:tcW w:w="38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60"/>
          </w:cols>
          <w:pgMar w:left="240" w:top="121" w:right="299" w:bottom="1440" w:gutter="0" w:footer="0" w:header="0"/>
          <w:type w:val="continuous"/>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gross unrealized losses and the related fair values of our investments that have been in a continuous unrealized loss position ($ amounts in 000’s):</w:t>
      </w:r>
    </w:p>
    <w:p>
      <w:pPr>
        <w:spacing w:after="0" w:line="340" w:lineRule="exact"/>
        <w:rPr>
          <w:sz w:val="20"/>
          <w:szCs w:val="20"/>
          <w:color w:val="auto"/>
        </w:rPr>
      </w:pPr>
    </w:p>
    <w:tbl>
      <w:tblPr>
        <w:tblLayout w:type="fixed"/>
        <w:tblInd w:w="260" w:type="dxa"/>
        <w:tblCellMar>
          <w:top w:w="0" w:type="dxa"/>
          <w:left w:w="0" w:type="dxa"/>
          <w:bottom w:w="0" w:type="dxa"/>
          <w:right w:w="0" w:type="dxa"/>
        </w:tblCellMar>
      </w:tblPr>
      <w:tr>
        <w:trPr>
          <w:trHeight w:val="212"/>
        </w:trPr>
        <w:tc>
          <w:tcPr>
            <w:tcW w:w="7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7"/>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 2012</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7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460" w:type="dxa"/>
            <w:vAlign w:val="bottom"/>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20" w:type="dxa"/>
            <w:vAlign w:val="bottom"/>
          </w:tcPr>
          <w:p>
            <w:pPr>
              <w:spacing w:after="0"/>
              <w:rPr>
                <w:sz w:val="20"/>
                <w:szCs w:val="20"/>
                <w:color w:val="auto"/>
              </w:rPr>
            </w:pPr>
          </w:p>
        </w:tc>
        <w:tc>
          <w:tcPr>
            <w:tcW w:w="2240" w:type="dxa"/>
            <w:vAlign w:val="bottom"/>
            <w:gridSpan w:val="7"/>
          </w:tcPr>
          <w:p>
            <w:pPr>
              <w:ind w:left="260"/>
              <w:spacing w:after="0"/>
              <w:rPr>
                <w:sz w:val="20"/>
                <w:szCs w:val="20"/>
                <w:color w:val="auto"/>
              </w:rPr>
            </w:pPr>
            <w:r>
              <w:rPr>
                <w:rFonts w:ascii="Times New Roman" w:cs="Times New Roman" w:eastAsia="Times New Roman" w:hAnsi="Times New Roman"/>
                <w:sz w:val="16"/>
                <w:szCs w:val="16"/>
                <w:b w:val="1"/>
                <w:bCs w:val="1"/>
                <w:color w:val="auto"/>
              </w:rPr>
              <w:t>12 Months or Greater</w:t>
            </w:r>
          </w:p>
        </w:tc>
        <w:tc>
          <w:tcPr>
            <w:tcW w:w="1340" w:type="dxa"/>
            <w:vAlign w:val="bottom"/>
            <w:gridSpan w:val="3"/>
          </w:tcPr>
          <w:p>
            <w:pPr>
              <w:jc w:val="center"/>
              <w:ind w:left="874"/>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7"/>
        </w:trPr>
        <w:tc>
          <w:tcPr>
            <w:tcW w:w="7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8"/>
                <w:szCs w:val="18"/>
                <w:color w:val="auto"/>
              </w:rPr>
            </w:pPr>
          </w:p>
        </w:tc>
        <w:tc>
          <w:tcPr>
            <w:tcW w:w="116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r>
      <w:tr>
        <w:trPr>
          <w:trHeight w:val="212"/>
        </w:trPr>
        <w:tc>
          <w:tcPr>
            <w:tcW w:w="7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20" w:type="dxa"/>
            <w:vAlign w:val="bottom"/>
          </w:tcPr>
          <w:p>
            <w:pPr>
              <w:spacing w:after="0"/>
              <w:rPr>
                <w:sz w:val="18"/>
                <w:szCs w:val="18"/>
                <w:color w:val="auto"/>
              </w:rPr>
            </w:pPr>
          </w:p>
        </w:tc>
        <w:tc>
          <w:tcPr>
            <w:tcW w:w="116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8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33"/>
        </w:trPr>
        <w:tc>
          <w:tcPr>
            <w:tcW w:w="7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133,006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5,010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138,016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r>
      <w:tr>
        <w:trPr>
          <w:trHeight w:val="243"/>
        </w:trPr>
        <w:tc>
          <w:tcPr>
            <w:tcW w:w="3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Commercial paper</w:t>
            </w: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8,464</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8,464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7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72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1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141,470</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5,010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146,480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r>
      <w:tr>
        <w:trPr>
          <w:trHeight w:val="20"/>
        </w:trPr>
        <w:tc>
          <w:tcPr>
            <w:tcW w:w="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19"/>
        </w:trPr>
        <w:tc>
          <w:tcPr>
            <w:tcW w:w="628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The contractual maturities of our investments are as follows ($ amounts in 000’s)</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38"/>
        </w:trPr>
        <w:tc>
          <w:tcPr>
            <w:tcW w:w="7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7"/>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2"/>
        </w:trPr>
        <w:tc>
          <w:tcPr>
            <w:tcW w:w="7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2013</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3"/>
        </w:trPr>
        <w:tc>
          <w:tcPr>
            <w:tcW w:w="720" w:type="dxa"/>
            <w:vAlign w:val="bottom"/>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740" w:type="dxa"/>
            <w:vAlign w:val="bottom"/>
          </w:tcPr>
          <w:p>
            <w:pPr>
              <w:spacing w:after="0"/>
              <w:rPr>
                <w:sz w:val="2"/>
                <w:szCs w:val="2"/>
                <w:color w:val="auto"/>
              </w:rPr>
            </w:pPr>
          </w:p>
        </w:tc>
      </w:tr>
      <w:tr>
        <w:trPr>
          <w:trHeight w:val="244"/>
        </w:trPr>
        <w:tc>
          <w:tcPr>
            <w:tcW w:w="7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375,497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4"/>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rPr>
              <w:t>290,719</w:t>
            </w:r>
          </w:p>
        </w:tc>
        <w:tc>
          <w:tcPr>
            <w:tcW w:w="740" w:type="dxa"/>
            <w:vAlign w:val="bottom"/>
          </w:tcPr>
          <w:p>
            <w:pPr>
              <w:spacing w:after="0"/>
              <w:rPr>
                <w:sz w:val="21"/>
                <w:szCs w:val="21"/>
                <w:color w:val="auto"/>
              </w:rPr>
            </w:pPr>
          </w:p>
        </w:tc>
      </w:tr>
      <w:tr>
        <w:trPr>
          <w:trHeight w:val="243"/>
        </w:trPr>
        <w:tc>
          <w:tcPr>
            <w:tcW w:w="720" w:type="dxa"/>
            <w:vAlign w:val="bottom"/>
          </w:tcPr>
          <w:p>
            <w:pPr>
              <w:spacing w:after="0"/>
              <w:rPr>
                <w:sz w:val="21"/>
                <w:szCs w:val="21"/>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within one to three years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351,675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4"/>
          </w:tcPr>
          <w:p>
            <w:pPr>
              <w:jc w:val="center"/>
              <w:ind w:left="694"/>
              <w:spacing w:after="0"/>
              <w:rPr>
                <w:sz w:val="20"/>
                <w:szCs w:val="20"/>
                <w:color w:val="auto"/>
              </w:rPr>
            </w:pPr>
            <w:r>
              <w:rPr>
                <w:rFonts w:ascii="Times New Roman" w:cs="Times New Roman" w:eastAsia="Times New Roman" w:hAnsi="Times New Roman"/>
                <w:sz w:val="18"/>
                <w:szCs w:val="18"/>
                <w:color w:val="auto"/>
              </w:rPr>
              <w:t>325,892</w:t>
            </w:r>
          </w:p>
        </w:tc>
        <w:tc>
          <w:tcPr>
            <w:tcW w:w="740" w:type="dxa"/>
            <w:vAlign w:val="bottom"/>
          </w:tcPr>
          <w:p>
            <w:pPr>
              <w:spacing w:after="0"/>
              <w:rPr>
                <w:sz w:val="21"/>
                <w:szCs w:val="21"/>
                <w:color w:val="auto"/>
              </w:rPr>
            </w:pPr>
          </w:p>
        </w:tc>
      </w:tr>
      <w:tr>
        <w:trPr>
          <w:trHeight w:val="27"/>
        </w:trPr>
        <w:tc>
          <w:tcPr>
            <w:tcW w:w="720" w:type="dxa"/>
            <w:vAlign w:val="bottom"/>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740" w:type="dxa"/>
            <w:vAlign w:val="bottom"/>
          </w:tcPr>
          <w:p>
            <w:pPr>
              <w:spacing w:after="0"/>
              <w:rPr>
                <w:sz w:val="2"/>
                <w:szCs w:val="2"/>
                <w:color w:val="auto"/>
              </w:rPr>
            </w:pPr>
          </w:p>
        </w:tc>
      </w:tr>
      <w:tr>
        <w:trPr>
          <w:trHeight w:val="257"/>
        </w:trPr>
        <w:tc>
          <w:tcPr>
            <w:tcW w:w="720" w:type="dxa"/>
            <w:vAlign w:val="bottom"/>
          </w:tcPr>
          <w:p>
            <w:pPr>
              <w:spacing w:after="0"/>
              <w:rPr>
                <w:sz w:val="22"/>
                <w:szCs w:val="22"/>
                <w:color w:val="auto"/>
              </w:rPr>
            </w:pPr>
          </w:p>
        </w:tc>
        <w:tc>
          <w:tcPr>
            <w:tcW w:w="31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727,172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gridSpan w:val="4"/>
            <w:shd w:val="clear" w:color="auto" w:fill="CCEEFF"/>
          </w:tcPr>
          <w:p>
            <w:pPr>
              <w:jc w:val="center"/>
              <w:ind w:left="714"/>
              <w:spacing w:after="0"/>
              <w:rPr>
                <w:sz w:val="20"/>
                <w:szCs w:val="20"/>
                <w:color w:val="auto"/>
              </w:rPr>
            </w:pPr>
            <w:r>
              <w:rPr>
                <w:rFonts w:ascii="Times New Roman" w:cs="Times New Roman" w:eastAsia="Times New Roman" w:hAnsi="Times New Roman"/>
                <w:sz w:val="18"/>
                <w:szCs w:val="18"/>
                <w:color w:val="auto"/>
                <w:w w:val="99"/>
              </w:rPr>
              <w:t>616,611</w:t>
            </w:r>
          </w:p>
        </w:tc>
        <w:tc>
          <w:tcPr>
            <w:tcW w:w="740" w:type="dxa"/>
            <w:vAlign w:val="bottom"/>
          </w:tcPr>
          <w:p>
            <w:pPr>
              <w:spacing w:after="0"/>
              <w:rPr>
                <w:sz w:val="22"/>
                <w:szCs w:val="22"/>
                <w:color w:val="auto"/>
              </w:rPr>
            </w:pPr>
          </w:p>
        </w:tc>
      </w:tr>
      <w:tr>
        <w:trPr>
          <w:trHeight w:val="20"/>
        </w:trPr>
        <w:tc>
          <w:tcPr>
            <w:tcW w:w="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Available-for-sale securities are reported at fair value, with unrealized gains and losses, net of tax, included as a separate component of stockholders’ equity and in total comprehensive income. Realized gains and losses on available-for-sale securities are included in other expense, net in our consolidated statements of operations.</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unrealized losses on our available-for-sale securities were caused by fluctuations in market value and interest rates as a result of the economic environment. As the decline in market value are attributable to changes in market conditions and not credit quality, and because we have concluded currently that we neither intend to sell nor is it more likely than not that we will be required to sell these investments prior to a recovery of par value, we do not consider these investments to be other-than temporarily impaired as of December 31, 2013.</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Realized gains and losses from the sale of available-for-sale securities were not significant in any period presented.</w:t>
      </w:r>
    </w:p>
    <w:p>
      <w:pPr>
        <w:spacing w:after="0" w:line="198"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225" w:lineRule="exact"/>
        <w:rPr>
          <w:sz w:val="20"/>
          <w:szCs w:val="20"/>
          <w:color w:val="auto"/>
        </w:rPr>
      </w:pPr>
    </w:p>
    <w:p>
      <w:pPr>
        <w:ind w:left="1300" w:right="240" w:hanging="647"/>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62" w:lineRule="exact"/>
        <w:rPr>
          <w:sz w:val="20"/>
          <w:szCs w:val="20"/>
          <w:color w:val="auto"/>
        </w:rPr>
      </w:pPr>
    </w:p>
    <w:p>
      <w:pPr>
        <w:ind w:left="1300" w:right="460" w:hanging="647"/>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our own assumptions used to measure assets and liabilities at fair value. The inputs require significant management judgment or estimation.</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measure the fair value of money market funds using quoted prices in active markets for identical assets. The fair value of all other financial instruments was based on quoted prices for similar asserts in active markets, or model driven valuations using significant inputs derived from or corroborated by observable market data.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classify items within Level 2 if the investments are valued using model driven valuations using observable inputs such as quoted market prices, benchmark yields, reported trades, broker/dealer quotes or alternative pricing sources with</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80"/>
          </w:cols>
          <w:pgMar w:left="240" w:top="121" w:right="27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reasonable levels of price transparency. Investments are held by custodians who obtain investment prices from a third-party pricing provider that incorporates standard inputs in various asset price models.</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our financial assets and liabilities measured at fair value on a recurring basis as of December 31, 2013 and December 31, 2012 ($ amounts in 000’s):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31, 2013</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2012</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35"/>
        </w:trPr>
        <w:tc>
          <w:tcPr>
            <w:tcW w:w="3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220"/>
              <w:spacing w:after="0" w:line="136" w:lineRule="exact"/>
              <w:rPr>
                <w:sz w:val="20"/>
                <w:szCs w:val="20"/>
                <w:color w:val="auto"/>
              </w:rPr>
            </w:pPr>
            <w:r>
              <w:rPr>
                <w:rFonts w:ascii="Times New Roman" w:cs="Times New Roman" w:eastAsia="Times New Roman" w:hAnsi="Times New Roman"/>
                <w:sz w:val="13"/>
                <w:szCs w:val="13"/>
                <w:b w:val="1"/>
                <w:bCs w:val="1"/>
                <w:color w:val="auto"/>
                <w:w w:val="92"/>
              </w:rPr>
              <w:t>Quoted</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220"/>
              <w:spacing w:after="0" w:line="136" w:lineRule="exact"/>
              <w:rPr>
                <w:sz w:val="20"/>
                <w:szCs w:val="20"/>
                <w:color w:val="auto"/>
              </w:rPr>
            </w:pPr>
            <w:r>
              <w:rPr>
                <w:rFonts w:ascii="Times New Roman" w:cs="Times New Roman" w:eastAsia="Times New Roman" w:hAnsi="Times New Roman"/>
                <w:sz w:val="13"/>
                <w:szCs w:val="13"/>
                <w:b w:val="1"/>
                <w:bCs w:val="1"/>
                <w:color w:val="auto"/>
                <w:w w:val="97"/>
              </w:rPr>
              <w:t>Quoted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3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Prices in</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0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Prices in</w:t>
            </w: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Significant</w:t>
            </w:r>
          </w:p>
        </w:tc>
      </w:tr>
      <w:tr>
        <w:trPr>
          <w:trHeight w:val="135"/>
        </w:trPr>
        <w:tc>
          <w:tcPr>
            <w:tcW w:w="3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9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Active</w:t>
            </w: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r>
      <w:tr>
        <w:trPr>
          <w:trHeight w:val="135"/>
        </w:trPr>
        <w:tc>
          <w:tcPr>
            <w:tcW w:w="334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Markets For</w:t>
            </w: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Observable</w:t>
            </w:r>
          </w:p>
        </w:tc>
        <w:tc>
          <w:tcPr>
            <w:tcW w:w="10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800" w:type="dxa"/>
            <w:vAlign w:val="bottom"/>
          </w:tcPr>
          <w:p>
            <w:pPr>
              <w:jc w:val="center"/>
              <w:ind w:left="15"/>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Markets For</w:t>
            </w: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Observable</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Unobservable</w:t>
            </w:r>
          </w:p>
        </w:tc>
      </w:tr>
      <w:tr>
        <w:trPr>
          <w:trHeight w:val="135"/>
        </w:trPr>
        <w:tc>
          <w:tcPr>
            <w:tcW w:w="334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Identical</w:t>
            </w:r>
          </w:p>
        </w:tc>
        <w:tc>
          <w:tcPr>
            <w:tcW w:w="9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10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Remaining</w:t>
            </w:r>
          </w:p>
        </w:tc>
        <w:tc>
          <w:tcPr>
            <w:tcW w:w="800" w:type="dxa"/>
            <w:vAlign w:val="bottom"/>
          </w:tcPr>
          <w:p>
            <w:pPr>
              <w:jc w:val="center"/>
              <w:ind w:left="15"/>
              <w:spacing w:after="0" w:line="135"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Identical</w:t>
            </w: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Remaining</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Remaining</w:t>
            </w:r>
          </w:p>
        </w:tc>
      </w:tr>
      <w:tr>
        <w:trPr>
          <w:trHeight w:val="176"/>
        </w:trPr>
        <w:tc>
          <w:tcPr>
            <w:tcW w:w="334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Inputs</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Assets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Inputs</w:t>
            </w:r>
          </w:p>
        </w:tc>
      </w:tr>
      <w:tr>
        <w:trPr>
          <w:trHeight w:val="224"/>
        </w:trPr>
        <w:tc>
          <w:tcPr>
            <w:tcW w:w="3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33"/>
        </w:trPr>
        <w:tc>
          <w:tcPr>
            <w:tcW w:w="3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604,317</w:t>
            </w: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531,391</w:t>
            </w:r>
          </w:p>
        </w:tc>
        <w:tc>
          <w:tcPr>
            <w:tcW w:w="120" w:type="dxa"/>
            <w:vAlign w:val="bottom"/>
          </w:tcPr>
          <w:p>
            <w:pPr>
              <w:spacing w:after="0"/>
              <w:rPr>
                <w:sz w:val="21"/>
                <w:szCs w:val="21"/>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Commercial paper</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71,363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41,994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Municipal bonds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38,843</w:t>
            </w:r>
          </w:p>
        </w:tc>
        <w:tc>
          <w:tcPr>
            <w:tcW w:w="1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36,870</w:t>
            </w:r>
          </w:p>
        </w:tc>
        <w:tc>
          <w:tcPr>
            <w:tcW w:w="120" w:type="dxa"/>
            <w:vAlign w:val="bottom"/>
          </w:tcPr>
          <w:p>
            <w:pPr>
              <w:spacing w:after="0"/>
              <w:rPr>
                <w:sz w:val="21"/>
                <w:szCs w:val="21"/>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5"/>
        </w:trPr>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Certificates of deposit and term</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1"/>
        </w:trPr>
        <w:tc>
          <w:tcPr>
            <w:tcW w:w="3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deposits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12,648</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9,105</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Money market funds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11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5,724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39,871</w:t>
            </w:r>
          </w:p>
        </w:tc>
        <w:tc>
          <w:tcPr>
            <w:tcW w:w="112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39,871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734,896</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5,724</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729,172</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659,231</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39,871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619,360</w:t>
            </w:r>
          </w:p>
        </w:tc>
        <w:tc>
          <w:tcPr>
            <w:tcW w:w="120" w:type="dxa"/>
            <w:vAlign w:val="bottom"/>
          </w:tcPr>
          <w:p>
            <w:pPr>
              <w:spacing w:after="0"/>
              <w:rPr>
                <w:sz w:val="22"/>
                <w:szCs w:val="22"/>
                <w:color w:val="auto"/>
              </w:rPr>
            </w:pPr>
          </w:p>
        </w:tc>
        <w:tc>
          <w:tcPr>
            <w:tcW w:w="9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3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3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Reported as:</w:t>
            </w: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Cash equivalents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Short-term investments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375,497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Long-term investments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351,675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734,896</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659,231</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0"/>
        </w:trPr>
        <w:tc>
          <w:tcPr>
            <w:tcW w:w="3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fair value of contingent consideration arising from the acquisition of Coyote Point Systems (see Note 6), is classified within Level 3 of the fair value hierarchy since it is based on a probability-based approach that includes significant unobservable inputs. The significant unobservable inputs include projected revenues and the percentage probability of occurrence to value the payment. A significant increase (decrease) in the projected revenue in isolation could result in a significantly higher (lower) fair value measurement and significant increase (decrease) in the probability of occurrence between the outcomes in isolation could result in a significantly higher (lower) fair value measurement. The fair value of the contingent consideration is calculated on a quarterly basis by management based on a collaborative effort of our operations and finance and accounting groups. Potential valuation adjustments are made as additional information becomes available, including the progress toward achieving revenue targets as compared to initial projections, the impact of market competition, and changes in actual and projected product mix and average selling price, with the impact of such adjustments being recorded in the earnings of that period.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during the year ended December 31, 2013 or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inputs and valuation methodologies used for our fair value measurements classified in Level 3 of the fair value hierarchy as of December 31, 2013 ($ amounts in 000’s):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9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gridSpan w:val="2"/>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gridSpan w:val="7"/>
          </w:tcPr>
          <w:p>
            <w:pPr>
              <w:jc w:val="center"/>
              <w:ind w:right="2260"/>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gridSpan w:val="2"/>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800" w:type="dxa"/>
            <w:vAlign w:val="bottom"/>
            <w:gridSpan w:val="2"/>
          </w:tcPr>
          <w:p>
            <w:pPr>
              <w:jc w:val="center"/>
              <w:ind w:left="73"/>
              <w:spacing w:after="0"/>
              <w:rPr>
                <w:sz w:val="20"/>
                <w:szCs w:val="20"/>
                <w:color w:val="auto"/>
              </w:rPr>
            </w:pPr>
            <w:r>
              <w:rPr>
                <w:rFonts w:ascii="Times New Roman" w:cs="Times New Roman" w:eastAsia="Times New Roman" w:hAnsi="Times New Roman"/>
                <w:sz w:val="16"/>
                <w:szCs w:val="16"/>
                <w:b w:val="1"/>
                <w:bCs w:val="1"/>
                <w:color w:val="auto"/>
              </w:rPr>
              <w:t>Valuation Technique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left="134"/>
              <w:spacing w:after="0"/>
              <w:rPr>
                <w:sz w:val="20"/>
                <w:szCs w:val="20"/>
                <w:color w:val="auto"/>
              </w:rPr>
            </w:pPr>
            <w:r>
              <w:rPr>
                <w:rFonts w:ascii="Times New Roman" w:cs="Times New Roman" w:eastAsia="Times New Roman" w:hAnsi="Times New Roman"/>
                <w:sz w:val="16"/>
                <w:szCs w:val="16"/>
                <w:b w:val="1"/>
                <w:bCs w:val="1"/>
                <w:color w:val="auto"/>
                <w:w w:val="99"/>
              </w:rPr>
              <w:t>Input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0" w:type="dxa"/>
            <w:vAlign w:val="bottom"/>
          </w:tcPr>
          <w:p>
            <w:pPr>
              <w:spacing w:after="0"/>
              <w:rPr>
                <w:sz w:val="1"/>
                <w:szCs w:val="1"/>
                <w:color w:val="auto"/>
              </w:rPr>
            </w:pPr>
          </w:p>
        </w:tc>
      </w:tr>
      <w:tr>
        <w:trPr>
          <w:trHeight w:val="33"/>
        </w:trPr>
        <w:tc>
          <w:tcPr>
            <w:tcW w:w="96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9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98"/>
              </w:rPr>
              <w:t>Probability Weighted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40" w:type="dxa"/>
            <w:vAlign w:val="bottom"/>
            <w:tcBorders>
              <w:bottom w:val="single" w:sz="8" w:color="CCEEFF"/>
            </w:tcBorders>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300" w:type="dxa"/>
            <w:vAlign w:val="bottom"/>
            <w:tcBorders>
              <w:bottom w:val="single" w:sz="8" w:color="CCEEFF"/>
            </w:tcBorders>
            <w:shd w:val="clear" w:color="auto" w:fill="CCEEFF"/>
          </w:tcPr>
          <w:p>
            <w:pPr>
              <w:jc w:val="center"/>
              <w:ind w:right="556"/>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98"/>
              </w:rPr>
              <w:t>Income Approach</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3"/>
            <w:shd w:val="clear" w:color="auto" w:fill="CCEEFF"/>
          </w:tcPr>
          <w:p>
            <w:pPr>
              <w:jc w:val="center"/>
              <w:ind w:left="114"/>
              <w:spacing w:after="0"/>
              <w:rPr>
                <w:sz w:val="20"/>
                <w:szCs w:val="20"/>
                <w:color w:val="auto"/>
              </w:rPr>
            </w:pPr>
            <w:r>
              <w:rPr>
                <w:rFonts w:ascii="Times New Roman" w:cs="Times New Roman" w:eastAsia="Times New Roman" w:hAnsi="Times New Roman"/>
                <w:sz w:val="18"/>
                <w:szCs w:val="18"/>
                <w:color w:val="auto"/>
              </w:rPr>
              <w:t>Revenue (in 000's)</w:t>
            </w:r>
          </w:p>
        </w:tc>
        <w:tc>
          <w:tcPr>
            <w:tcW w:w="2480" w:type="dxa"/>
            <w:vAlign w:val="bottom"/>
            <w:tcBorders>
              <w:bottom w:val="single" w:sz="8" w:color="CCEEFF"/>
            </w:tcBorders>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$7,000 - $12,000</w:t>
            </w:r>
          </w:p>
        </w:tc>
        <w:tc>
          <w:tcPr>
            <w:tcW w:w="0" w:type="dxa"/>
            <w:vAlign w:val="bottom"/>
          </w:tcPr>
          <w:p>
            <w:pPr>
              <w:spacing w:after="0"/>
              <w:rPr>
                <w:sz w:val="1"/>
                <w:szCs w:val="1"/>
                <w:color w:val="auto"/>
              </w:rPr>
            </w:pPr>
          </w:p>
        </w:tc>
      </w:tr>
      <w:tr>
        <w:trPr>
          <w:trHeight w:val="324"/>
        </w:trPr>
        <w:tc>
          <w:tcPr>
            <w:tcW w:w="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96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0" w:type="dxa"/>
            <w:vAlign w:val="bottom"/>
            <w:gridSpan w:val="7"/>
            <w:shd w:val="clear" w:color="auto" w:fill="CCEEFF"/>
          </w:tcPr>
          <w:p>
            <w:pPr>
              <w:jc w:val="center"/>
              <w:ind w:right="2260"/>
              <w:spacing w:after="0"/>
              <w:rPr>
                <w:sz w:val="20"/>
                <w:szCs w:val="20"/>
                <w:color w:val="auto"/>
              </w:rPr>
            </w:pPr>
            <w:r>
              <w:rPr>
                <w:rFonts w:ascii="Times New Roman" w:cs="Times New Roman" w:eastAsia="Times New Roman" w:hAnsi="Times New Roman"/>
                <w:sz w:val="18"/>
                <w:szCs w:val="18"/>
                <w:color w:val="auto"/>
                <w:w w:val="99"/>
              </w:rPr>
              <w:t>Probability of occurrence</w:t>
            </w:r>
          </w:p>
        </w:tc>
        <w:tc>
          <w:tcPr>
            <w:tcW w:w="0" w:type="dxa"/>
            <w:vAlign w:val="bottom"/>
          </w:tcPr>
          <w:p>
            <w:pPr>
              <w:spacing w:after="0"/>
              <w:rPr>
                <w:sz w:val="1"/>
                <w:szCs w:val="1"/>
                <w:color w:val="auto"/>
              </w:rPr>
            </w:pPr>
          </w:p>
        </w:tc>
      </w:tr>
      <w:tr>
        <w:trPr>
          <w:trHeight w:val="241"/>
        </w:trPr>
        <w:tc>
          <w:tcPr>
            <w:tcW w:w="96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3"/>
            <w:shd w:val="clear" w:color="auto" w:fill="CCEEFF"/>
          </w:tcPr>
          <w:p>
            <w:pPr>
              <w:jc w:val="center"/>
              <w:ind w:left="852"/>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480" w:type="dxa"/>
            <w:vAlign w:val="bottom"/>
            <w:tcBorders>
              <w:bottom w:val="single" w:sz="8" w:color="CCEEFF"/>
            </w:tcBorders>
            <w:gridSpan w:val="4"/>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40%-80%</w:t>
            </w:r>
          </w:p>
        </w:tc>
        <w:tc>
          <w:tcPr>
            <w:tcW w:w="0" w:type="dxa"/>
            <w:vAlign w:val="bottom"/>
          </w:tcPr>
          <w:p>
            <w:pPr>
              <w:spacing w:after="0"/>
              <w:rPr>
                <w:sz w:val="1"/>
                <w:szCs w:val="1"/>
                <w:color w:val="auto"/>
              </w:rPr>
            </w:pPr>
          </w:p>
        </w:tc>
      </w:tr>
      <w:tr>
        <w:trPr>
          <w:trHeight w:val="432"/>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4. INVENTORY</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Inventory consisted of the following ($ amounts in 000’s):</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80" w:type="dxa"/>
            <w:vAlign w:val="bottom"/>
            <w:gridSpan w:val="4"/>
          </w:tcPr>
          <w:p>
            <w:pPr>
              <w:jc w:val="center"/>
              <w:ind w:right="13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3"/>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3"/>
          </w:tcPr>
          <w:p>
            <w:pPr>
              <w:jc w:val="center"/>
              <w:ind w:right="274"/>
              <w:spacing w:after="0"/>
              <w:rPr>
                <w:sz w:val="20"/>
                <w:szCs w:val="20"/>
                <w:color w:val="auto"/>
              </w:rPr>
            </w:pPr>
            <w:r>
              <w:rPr>
                <w:rFonts w:ascii="Times New Roman" w:cs="Times New Roman" w:eastAsia="Times New Roman" w:hAnsi="Times New Roman"/>
                <w:sz w:val="16"/>
                <w:szCs w:val="16"/>
                <w:b w:val="1"/>
                <w:bCs w:val="1"/>
                <w:color w:val="auto"/>
              </w:rPr>
              <w:t>2012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2780" w:type="dxa"/>
            <w:vAlign w:val="bottom"/>
            <w:tcBorders>
              <w:bottom w:val="single" w:sz="8" w:color="CCEEFF"/>
            </w:tcBorders>
            <w:gridSpan w:val="2"/>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 w:type="dxa"/>
            <w:vAlign w:val="bottom"/>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2,811</w:t>
            </w:r>
          </w:p>
        </w:tc>
        <w:tc>
          <w:tcPr>
            <w:tcW w:w="9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40,093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15,905</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 w:type="dxa"/>
            <w:vAlign w:val="bottom"/>
          </w:tcPr>
          <w:p>
            <w:pPr>
              <w:spacing w:after="0"/>
              <w:rPr>
                <w:sz w:val="23"/>
                <w:szCs w:val="23"/>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Consigned inventory</w:t>
            </w: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2,344</w:t>
            </w:r>
          </w:p>
        </w:tc>
        <w:tc>
          <w:tcPr>
            <w:tcW w:w="94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960" w:type="dxa"/>
            <w:vAlign w:val="bottom"/>
          </w:tcPr>
          <w:p>
            <w:pPr>
              <w:spacing w:after="0"/>
              <w:rPr>
                <w:sz w:val="22"/>
                <w:szCs w:val="22"/>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48,672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21,060</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EQUIPMENT—Net</w:t>
            </w: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740" w:type="dxa"/>
            <w:vAlign w:val="bottom"/>
            <w:gridSpan w:val="3"/>
            <w:vMerge w:val="continue"/>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Property and equipment consisted of the following ($ amounts in 000’s):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80" w:type="dxa"/>
            <w:vAlign w:val="bottom"/>
            <w:gridSpan w:val="4"/>
          </w:tcPr>
          <w:p>
            <w:pPr>
              <w:jc w:val="center"/>
              <w:ind w:right="13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9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3"/>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3"/>
          </w:tcPr>
          <w:p>
            <w:pPr>
              <w:jc w:val="center"/>
              <w:ind w:right="294"/>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2780" w:type="dxa"/>
            <w:vAlign w:val="bottom"/>
            <w:tcBorders>
              <w:bottom w:val="single" w:sz="8" w:color="CCEEFF"/>
            </w:tcBorders>
            <w:gridSpan w:val="2"/>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 w:type="dxa"/>
            <w:vAlign w:val="bottom"/>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13,895</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610</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Evaluation units</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23,442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18,322</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22,442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17,176</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1,501</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10,947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 w:type="dxa"/>
            <w:vAlign w:val="bottom"/>
          </w:tcPr>
          <w:p>
            <w:pPr>
              <w:spacing w:after="0"/>
              <w:rPr>
                <w:sz w:val="23"/>
                <w:szCs w:val="23"/>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 and tooling</w:t>
            </w: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5,354</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27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78,450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56,858</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7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 w:type="dxa"/>
            <w:vAlign w:val="bottom"/>
          </w:tcPr>
          <w:p>
            <w:pPr>
              <w:spacing w:after="0"/>
              <w:rPr>
                <w:sz w:val="23"/>
                <w:szCs w:val="23"/>
                <w:color w:val="auto"/>
              </w:rPr>
            </w:pPr>
          </w:p>
        </w:tc>
        <w:tc>
          <w:tcPr>
            <w:tcW w:w="2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(31,220)</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960" w:type="dxa"/>
            <w:vAlign w:val="bottom"/>
          </w:tcPr>
          <w:p>
            <w:pPr>
              <w:spacing w:after="0"/>
              <w:rPr>
                <w:sz w:val="22"/>
                <w:szCs w:val="22"/>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36,652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25,638</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Depreciation expense was $13.9 million, $10.5 million and $7.0 million in fiscal 2013, 2012 and 2011, respectively. In fiscal 2012, we purchased certain real property, including land and buildings in Sunnyvale, California, for cash of $14.5 million, to support the growth in our business operations. Of the total cost, we allocated $13.9 million to land and $0.6 million to building and building improvements. In fiscal 2013, construction-in-progress relates to enhancements to the land and building for our new corporate headquarters.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1" w:right="239" w:bottom="1440" w:gutter="0" w:footer="0" w:header="0"/>
          <w:type w:val="continuous"/>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Coyote Point Systems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March 21, 2013, we acquired all of the outstanding equity securities of Coyote Point Systems, Inc. (“Coyote”), a provider of application delivery, load balancing and acceleration solutions, for $6.0 million in cash. The acquisition also includes a contingent obligation for up to $5.5 million in future earn-out payments to former stockholders of Coyote, if specified future operational objectives, service conditions and financial results are met within two years of the acquisition date. Of the maximum $5.5 million in contingent earn-out payments, up to $3.5 million will be payable after eighteen months from the acquisition date, and up to $2.0 million will be payable after two years from the acquisition date. As the future earn-out payments are also contingent upon one of Coyote's former stockholder's employment during the earn-out period, the estimated fair value of these contingent obligations is being recorded as compensation expense ratably over the earn-out periods. This acquisition complements our network security strategy and allows us and our channel partners to accelerate and further deliver on our vision of providing broad security and networking functionality to customers. Furthermore, the acquisition is expected to generate synergy among certain of our existing products.</w:t>
      </w:r>
    </w:p>
    <w:p>
      <w:pPr>
        <w:spacing w:after="0" w:line="189"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We accounted for this acquisition as a purchase of a business and, accordingly, the total purchase price was allocated to Coyote’s identifiable tangible and intangible assets acquired and liabilities assumed based on their estimated fair values as of the acquisition date. The fair value assigned to the intangible assets acquired was determined using the income approach which discounts expected cash flows to present value using our estimates and assumptions.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fair value of assets acquired and liabilities assumed ($ amounts in 000’s):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w:t>
            </w:r>
          </w:p>
        </w:tc>
      </w:tr>
      <w:tr>
        <w:trPr>
          <w:trHeight w:val="27"/>
        </w:trPr>
        <w:tc>
          <w:tcPr>
            <w:tcW w:w="100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2,800</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2,600</w:t>
            </w:r>
          </w:p>
        </w:tc>
      </w:tr>
      <w:tr>
        <w:trPr>
          <w:trHeight w:val="27"/>
        </w:trPr>
        <w:tc>
          <w:tcPr>
            <w:tcW w:w="100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2,872</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100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assets acquired</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9,067</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1,078</w:t>
            </w:r>
          </w:p>
        </w:tc>
      </w:tr>
      <w:tr>
        <w:trPr>
          <w:trHeight w:val="27"/>
        </w:trPr>
        <w:tc>
          <w:tcPr>
            <w:tcW w:w="100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liabilities</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2,004</w:t>
            </w:r>
          </w:p>
        </w:tc>
      </w:tr>
      <w:tr>
        <w:trPr>
          <w:trHeight w:val="237"/>
        </w:trPr>
        <w:tc>
          <w:tcPr>
            <w:tcW w:w="10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3,082</w:t>
            </w:r>
          </w:p>
        </w:tc>
      </w:tr>
      <w:tr>
        <w:trPr>
          <w:trHeight w:val="27"/>
        </w:trPr>
        <w:tc>
          <w:tcPr>
            <w:tcW w:w="100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purchase price</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5,985</w:t>
            </w:r>
          </w:p>
        </w:tc>
      </w:tr>
      <w:tr>
        <w:trPr>
          <w:trHeight w:val="20"/>
        </w:trPr>
        <w:tc>
          <w:tcPr>
            <w:tcW w:w="100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Of the total acquired identified intangible assets, we allocated $2.3 million to developed technology, $0.5 million to customer relationships, and $2.6 million to in-process research and development (“IPR&amp;D”) as of the acquisition date. Identified finite-lived intangible assets consist of developed technology and customer relationships that are being amortized as cost of revenue and sales and marketing expense, respectively, ratably on a straight-line basis, each over an estimated useful life of six years. Identified indefinite-lived intangible assets consisted of acquired IPR&amp;D relating to existing research and development projects at the time of acquisition. The goodwill of $2.9 million represents the premium we paid over the fair value of the net tangible liabilities assumed and identified intangible assets acquired, due primarily to acquire developed and in-process technology. None of the goodwill recognized as a result of the acquisition is deductible for income tax purposes. The financial results of this acquisition were considered immaterial for purposes of pro-forma financial disclosures. During the three months ended September 30, 2013, we completed the development of technology associated with the IPR&amp;D projects, and started amortizing this developed technology as cost of revenue ratably on a straight-line basis over an estimated useful life of 6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Fiscal 2013 Acquisition</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In September 2013, we acquired certain assets of Xtera Communications, Inc. (“Xtera”), including certain load balancing solutions and certain patents, for a total consideration of $1.8 million, of which $1.7 million was paid in cash on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acquisition date and $0.1 million payment in cash is contingent upon attainment of revenue milestones. In connection with this acquisition, we acquired net tangible assets of $0.2 million, intangible assets of $1.5 million, and recognized an estimated contingent obligation of $0.1 million payable upon attainment of revenue milestones.</w:t>
      </w:r>
    </w:p>
    <w:p>
      <w:pPr>
        <w:spacing w:after="0" w:line="257" w:lineRule="exact"/>
        <w:rPr>
          <w:sz w:val="20"/>
          <w:szCs w:val="20"/>
          <w:color w:val="auto"/>
        </w:rPr>
      </w:pPr>
    </w:p>
    <w:p>
      <w:pPr>
        <w:ind w:right="780" w:firstLine="432"/>
        <w:spacing w:after="0" w:line="282" w:lineRule="auto"/>
        <w:rPr>
          <w:sz w:val="20"/>
          <w:szCs w:val="20"/>
          <w:color w:val="auto"/>
        </w:rPr>
      </w:pPr>
      <w:r>
        <w:rPr>
          <w:rFonts w:ascii="Times New Roman" w:cs="Times New Roman" w:eastAsia="Times New Roman" w:hAnsi="Times New Roman"/>
          <w:sz w:val="18"/>
          <w:szCs w:val="18"/>
          <w:color w:val="auto"/>
        </w:rPr>
        <w:t>The results of operations of our fiscal 2013 acquisitions have been included in our consolidated statements of operations from their respective acquisition 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2012 Acquisitions</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During fiscal 2012, we completed the acquisitions of two privately-held companies, XDN, Inc. (“XDN”) and IntruGuard Devices, Inc. (“IntruGuard”), together referred to as our fiscal 2012 acquisitions. Our fiscal 2012 acquisitions were completed for total cash consideration of $1.5 million which was allocated to developed technology. In fiscal 2013, we determined the net carrying value of certain developed technology was impaired and recorded an impairment charge of $0.5 million within Cost of product revenue in our consolidated statements of operations. The results of operations of our fiscal 2012 acquisitions have been included in our consolidated statements of operations from their respective acquisition dates.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ASSETS—Net</w:t>
      </w:r>
    </w:p>
    <w:p>
      <w:pPr>
        <w:spacing w:after="0" w:line="229"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We recorded $2.9 million of goodwill based on the purchase price allocation of the acquisition of Coyote during fiscal 2013. There were no impairments to goodwill during fiscal 2013.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other intangible assets ($ amounts in 000’s):</w:t>
      </w:r>
    </w:p>
    <w:p>
      <w:pPr>
        <w:spacing w:after="0" w:line="39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8"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6"/>
          <w:szCs w:val="16"/>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33020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6"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50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Useful Life (in</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320" w:type="dxa"/>
            <w:vAlign w:val="bottom"/>
          </w:tcPr>
          <w:p>
            <w:pPr>
              <w:spacing w:after="0"/>
              <w:rPr>
                <w:sz w:val="17"/>
                <w:szCs w:val="17"/>
                <w:color w:val="auto"/>
              </w:rPr>
            </w:pPr>
          </w:p>
        </w:tc>
      </w:tr>
      <w:tr>
        <w:trPr>
          <w:trHeight w:val="212"/>
        </w:trPr>
        <w:tc>
          <w:tcPr>
            <w:tcW w:w="4500" w:type="dxa"/>
            <w:vAlign w:val="bottom"/>
          </w:tcPr>
          <w:p>
            <w:pPr>
              <w:spacing w:after="0"/>
              <w:rPr>
                <w:sz w:val="18"/>
                <w:szCs w:val="18"/>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1540" w:type="dxa"/>
            <w:vAlign w:val="bottom"/>
            <w:gridSpan w:val="3"/>
          </w:tcPr>
          <w:p>
            <w:pPr>
              <w:ind w:left="4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32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33"/>
        </w:trPr>
        <w:tc>
          <w:tcPr>
            <w:tcW w:w="45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Developed technology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8,971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6,403</w:t>
            </w:r>
          </w:p>
        </w:tc>
      </w:tr>
      <w:tr>
        <w:trPr>
          <w:trHeight w:val="27"/>
        </w:trPr>
        <w:tc>
          <w:tcPr>
            <w:tcW w:w="4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Customer relationships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438</w:t>
            </w:r>
          </w:p>
        </w:tc>
      </w:tr>
      <w:tr>
        <w:trPr>
          <w:trHeight w:val="257"/>
        </w:trPr>
        <w:tc>
          <w:tcPr>
            <w:tcW w:w="4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9,471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6,841</w:t>
            </w:r>
          </w:p>
        </w:tc>
      </w:tr>
      <w:tr>
        <w:trPr>
          <w:trHeight w:val="20"/>
        </w:trPr>
        <w:tc>
          <w:tcPr>
            <w:tcW w:w="4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498"/>
        </w:trPr>
        <w:tc>
          <w:tcPr>
            <w:tcW w:w="4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20" w:type="dxa"/>
            <w:vAlign w:val="bottom"/>
          </w:tcPr>
          <w:p>
            <w:pPr>
              <w:spacing w:after="0"/>
              <w:rPr>
                <w:sz w:val="24"/>
                <w:szCs w:val="24"/>
                <w:color w:val="auto"/>
              </w:rPr>
            </w:pPr>
          </w:p>
        </w:tc>
      </w:tr>
      <w:tr>
        <w:trPr>
          <w:trHeight w:val="212"/>
        </w:trPr>
        <w:tc>
          <w:tcPr>
            <w:tcW w:w="4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2012</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450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7"/>
        </w:trPr>
        <w:tc>
          <w:tcPr>
            <w:tcW w:w="450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3"/>
        </w:trPr>
        <w:tc>
          <w:tcPr>
            <w:tcW w:w="450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Useful Life (in</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320" w:type="dxa"/>
            <w:vAlign w:val="bottom"/>
          </w:tcPr>
          <w:p>
            <w:pPr>
              <w:spacing w:after="0"/>
              <w:rPr>
                <w:sz w:val="17"/>
                <w:szCs w:val="17"/>
                <w:color w:val="auto"/>
              </w:rPr>
            </w:pPr>
          </w:p>
        </w:tc>
      </w:tr>
      <w:tr>
        <w:trPr>
          <w:trHeight w:val="212"/>
        </w:trPr>
        <w:tc>
          <w:tcPr>
            <w:tcW w:w="4500" w:type="dxa"/>
            <w:vAlign w:val="bottom"/>
          </w:tcPr>
          <w:p>
            <w:pPr>
              <w:spacing w:after="0"/>
              <w:rPr>
                <w:sz w:val="18"/>
                <w:szCs w:val="18"/>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Years)</w:t>
            </w:r>
          </w:p>
        </w:tc>
        <w:tc>
          <w:tcPr>
            <w:tcW w:w="1540" w:type="dxa"/>
            <w:vAlign w:val="bottom"/>
            <w:gridSpan w:val="3"/>
          </w:tcPr>
          <w:p>
            <w:pPr>
              <w:ind w:left="4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32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33"/>
        </w:trPr>
        <w:tc>
          <w:tcPr>
            <w:tcW w:w="45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other intangible assets-net:</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Developed technology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2,117</w:t>
            </w:r>
          </w:p>
        </w:tc>
      </w:tr>
      <w:tr>
        <w:trPr>
          <w:trHeight w:val="27"/>
        </w:trPr>
        <w:tc>
          <w:tcPr>
            <w:tcW w:w="4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5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intangible assets—net</w:t>
            </w: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2,117</w:t>
            </w:r>
          </w:p>
        </w:tc>
      </w:tr>
      <w:tr>
        <w:trPr>
          <w:trHeight w:val="20"/>
        </w:trPr>
        <w:tc>
          <w:tcPr>
            <w:tcW w:w="4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was $1.7 million, $1.0 million, and $0.4 million in fiscal 2013, 2012 and 2011, respectively. The following table summarizes estimated future amortization expense of other intangible assets with finite lives for future fiscal years ($ amounts in 000’s):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2380" w:type="dxa"/>
        <w:tblCellMar>
          <w:top w:w="0" w:type="dxa"/>
          <w:left w:w="0" w:type="dxa"/>
          <w:bottom w:w="0" w:type="dxa"/>
          <w:right w:w="0" w:type="dxa"/>
        </w:tblCellMar>
      </w:tblPr>
      <w:tr>
        <w:trPr>
          <w:trHeight w:val="212"/>
        </w:trPr>
        <w:tc>
          <w:tcPr>
            <w:tcW w:w="4480" w:type="dxa"/>
            <w:vAlign w:val="bottom"/>
          </w:tcPr>
          <w:p>
            <w:pPr>
              <w:spacing w:after="0"/>
              <w:rPr>
                <w:sz w:val="18"/>
                <w:szCs w:val="18"/>
                <w:color w:val="auto"/>
              </w:rPr>
            </w:pPr>
          </w:p>
        </w:tc>
        <w:tc>
          <w:tcPr>
            <w:tcW w:w="2200" w:type="dxa"/>
            <w:vAlign w:val="bottom"/>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3"/>
        </w:trPr>
        <w:tc>
          <w:tcPr>
            <w:tcW w:w="448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Years:</w:t>
            </w:r>
          </w:p>
        </w:tc>
        <w:tc>
          <w:tcPr>
            <w:tcW w:w="220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2014</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r>
      <w:tr>
        <w:trPr>
          <w:trHeight w:val="27"/>
        </w:trPr>
        <w:tc>
          <w:tcPr>
            <w:tcW w:w="448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2015</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r>
      <w:tr>
        <w:trPr>
          <w:trHeight w:val="243"/>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2016</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7"/>
        </w:trPr>
        <w:tc>
          <w:tcPr>
            <w:tcW w:w="448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2017</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43"/>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2018</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7"/>
        </w:trPr>
        <w:tc>
          <w:tcPr>
            <w:tcW w:w="448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Thereafter</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5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6,841</w:t>
            </w:r>
          </w:p>
        </w:tc>
      </w:tr>
      <w:tr>
        <w:trPr>
          <w:trHeight w:val="20"/>
        </w:trPr>
        <w:tc>
          <w:tcPr>
            <w:tcW w:w="448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INCOME PER SHARE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plus the dilutive effects of stock options, RSUs, and ESPP. Potentially dilutive shares of common stock are determined by applying the treasury stock method.</w:t>
      </w:r>
    </w:p>
    <w:p>
      <w:pPr>
        <w:spacing w:after="0" w:line="17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net income per share is as follows ($ and share amounts in 000’s, except per share amounts):</w:t>
      </w:r>
    </w:p>
    <w:p>
      <w:pPr>
        <w:spacing w:after="0" w:line="299" w:lineRule="exact"/>
        <w:rPr>
          <w:sz w:val="20"/>
          <w:szCs w:val="20"/>
          <w:color w:val="auto"/>
        </w:rPr>
      </w:pPr>
    </w:p>
    <w:tbl>
      <w:tblPr>
        <w:tblLayout w:type="fixed"/>
        <w:tblInd w:w="220" w:type="dxa"/>
        <w:tblCellMar>
          <w:top w:w="0" w:type="dxa"/>
          <w:left w:w="0" w:type="dxa"/>
          <w:bottom w:w="0" w:type="dxa"/>
          <w:right w:w="0" w:type="dxa"/>
        </w:tblCellMar>
      </w:tblPr>
      <w:tr>
        <w:trPr>
          <w:trHeight w:val="212"/>
        </w:trPr>
        <w:tc>
          <w:tcPr>
            <w:tcW w:w="6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80" w:type="dxa"/>
            <w:vAlign w:val="bottom"/>
          </w:tcPr>
          <w:p>
            <w:pPr>
              <w:spacing w:after="0"/>
              <w:rPr>
                <w:sz w:val="20"/>
                <w:szCs w:val="20"/>
                <w:color w:val="auto"/>
              </w:rPr>
            </w:pPr>
          </w:p>
        </w:tc>
        <w:tc>
          <w:tcPr>
            <w:tcW w:w="146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14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20"/>
                <w:szCs w:val="20"/>
                <w:color w:val="auto"/>
              </w:rPr>
            </w:pPr>
          </w:p>
        </w:tc>
        <w:tc>
          <w:tcPr>
            <w:tcW w:w="14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2011</w:t>
            </w:r>
          </w:p>
        </w:tc>
        <w:tc>
          <w:tcPr>
            <w:tcW w:w="0" w:type="dxa"/>
            <w:vAlign w:val="bottom"/>
          </w:tcPr>
          <w:p>
            <w:pPr>
              <w:spacing w:after="0"/>
              <w:rPr>
                <w:sz w:val="1"/>
                <w:szCs w:val="1"/>
                <w:color w:val="auto"/>
              </w:rPr>
            </w:pPr>
          </w:p>
        </w:tc>
      </w:tr>
      <w:tr>
        <w:trPr>
          <w:trHeight w:val="33"/>
        </w:trPr>
        <w:tc>
          <w:tcPr>
            <w:tcW w:w="64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44,273</w:t>
            </w:r>
          </w:p>
        </w:tc>
        <w:tc>
          <w:tcPr>
            <w:tcW w:w="120" w:type="dxa"/>
            <w:vAlign w:val="bottom"/>
          </w:tcPr>
          <w:p>
            <w:pPr>
              <w:spacing w:after="0"/>
              <w:rPr>
                <w:sz w:val="22"/>
                <w:szCs w:val="22"/>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66,836</w:t>
            </w:r>
          </w:p>
        </w:tc>
        <w:tc>
          <w:tcPr>
            <w:tcW w:w="100" w:type="dxa"/>
            <w:vAlign w:val="bottom"/>
          </w:tcPr>
          <w:p>
            <w:pPr>
              <w:spacing w:after="0"/>
              <w:rPr>
                <w:sz w:val="22"/>
                <w:szCs w:val="22"/>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62,492</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162,435</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158,074</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152,581</w:t>
            </w:r>
          </w:p>
        </w:tc>
        <w:tc>
          <w:tcPr>
            <w:tcW w:w="0" w:type="dxa"/>
            <w:vAlign w:val="bottom"/>
          </w:tcPr>
          <w:p>
            <w:pPr>
              <w:spacing w:after="0"/>
              <w:rPr>
                <w:sz w:val="1"/>
                <w:szCs w:val="1"/>
                <w:color w:val="auto"/>
              </w:rPr>
            </w:pPr>
          </w:p>
        </w:tc>
      </w:tr>
      <w:tr>
        <w:trPr>
          <w:trHeight w:val="20"/>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Diluted shares:</w:t>
            </w: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80" w:type="dxa"/>
            <w:vAlign w:val="bottom"/>
            <w:vMerge w:val="continue"/>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Weighted-average common stock outstanding-basic</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162,435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158,074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152,581</w:t>
            </w:r>
          </w:p>
        </w:tc>
        <w:tc>
          <w:tcPr>
            <w:tcW w:w="0" w:type="dxa"/>
            <w:vAlign w:val="bottom"/>
          </w:tcPr>
          <w:p>
            <w:pPr>
              <w:spacing w:after="0"/>
              <w:rPr>
                <w:sz w:val="1"/>
                <w:szCs w:val="1"/>
                <w:color w:val="auto"/>
              </w:rPr>
            </w:pPr>
          </w:p>
        </w:tc>
      </w:tr>
      <w:tr>
        <w:trPr>
          <w:trHeight w:val="243"/>
        </w:trPr>
        <w:tc>
          <w:tcPr>
            <w:tcW w:w="6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Stock options</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5,685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8,214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11,200</w:t>
            </w:r>
          </w:p>
        </w:tc>
        <w:tc>
          <w:tcPr>
            <w:tcW w:w="0" w:type="dxa"/>
            <w:vAlign w:val="bottom"/>
          </w:tcPr>
          <w:p>
            <w:pPr>
              <w:spacing w:after="0"/>
              <w:rPr>
                <w:sz w:val="1"/>
                <w:szCs w:val="1"/>
                <w:color w:val="auto"/>
              </w:rPr>
            </w:pPr>
          </w:p>
        </w:tc>
      </w:tr>
      <w:tr>
        <w:trPr>
          <w:trHeight w:val="243"/>
        </w:trPr>
        <w:tc>
          <w:tcPr>
            <w:tcW w:w="64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RSUs</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ESPP</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diluted net income per share</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168,183</w:t>
            </w:r>
          </w:p>
        </w:tc>
        <w:tc>
          <w:tcPr>
            <w:tcW w:w="12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166,329</w:t>
            </w:r>
          </w:p>
        </w:tc>
        <w:tc>
          <w:tcPr>
            <w:tcW w:w="10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163,781</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4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Borders>
              <w:bottom w:val="single" w:sz="8" w:color="CCEEFF"/>
            </w:tcBorders>
          </w:tcPr>
          <w:p>
            <w:pPr>
              <w:spacing w:after="0"/>
              <w:rPr>
                <w:sz w:val="24"/>
                <w:szCs w:val="24"/>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tcPr>
          <w:p>
            <w:pPr>
              <w:spacing w:after="0"/>
              <w:rPr>
                <w:sz w:val="24"/>
                <w:szCs w:val="24"/>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51"/>
        </w:trPr>
        <w:tc>
          <w:tcPr>
            <w:tcW w:w="6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following weighted-average shares of common stock were excluded from the computation of diluted net income per share for the periods presented, as their effect would have been antidilutive (in 000’s):</w:t>
      </w: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80"/>
          </w:cols>
          <w:pgMar w:left="240" w:top="121" w:right="37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2013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2011</w:t>
            </w:r>
          </w:p>
        </w:tc>
        <w:tc>
          <w:tcPr>
            <w:tcW w:w="0" w:type="dxa"/>
            <w:vAlign w:val="bottom"/>
          </w:tcPr>
          <w:p>
            <w:pPr>
              <w:spacing w:after="0"/>
              <w:rPr>
                <w:sz w:val="1"/>
                <w:szCs w:val="1"/>
                <w:color w:val="auto"/>
              </w:rPr>
            </w:pPr>
          </w:p>
        </w:tc>
      </w:tr>
      <w:tr>
        <w:trPr>
          <w:trHeight w:val="33"/>
        </w:trPr>
        <w:tc>
          <w:tcPr>
            <w:tcW w:w="400" w:type="dxa"/>
            <w:vAlign w:val="bottom"/>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5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7,397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7,183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3,893</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2,774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 w:type="dxa"/>
            <w:vAlign w:val="bottom"/>
          </w:tcPr>
          <w:p>
            <w:pPr>
              <w:spacing w:after="0"/>
              <w:rPr>
                <w:sz w:val="23"/>
                <w:szCs w:val="23"/>
                <w:color w:val="auto"/>
              </w:rPr>
            </w:pPr>
          </w:p>
        </w:tc>
        <w:tc>
          <w:tcPr>
            <w:tcW w:w="5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419</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10,590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Borders>
              <w:top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7,795</w:t>
            </w: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4,015</w:t>
            </w:r>
          </w:p>
        </w:tc>
        <w:tc>
          <w:tcPr>
            <w:tcW w:w="0" w:type="dxa"/>
            <w:vAlign w:val="bottom"/>
          </w:tcPr>
          <w:p>
            <w:pPr>
              <w:spacing w:after="0"/>
              <w:rPr>
                <w:sz w:val="1"/>
                <w:szCs w:val="1"/>
                <w:color w:val="auto"/>
              </w:rPr>
            </w:pPr>
          </w:p>
        </w:tc>
      </w:tr>
      <w:tr>
        <w:trPr>
          <w:trHeight w:val="27"/>
        </w:trPr>
        <w:tc>
          <w:tcPr>
            <w:tcW w:w="60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DEFERRED REVENUE</w:t>
            </w:r>
          </w:p>
        </w:tc>
        <w:tc>
          <w:tcPr>
            <w:tcW w:w="1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40" w:type="dxa"/>
            <w:vAlign w:val="bottom"/>
            <w:gridSpan w:val="4"/>
            <w:vMerge w:val="continue"/>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40" w:type="dxa"/>
            <w:vAlign w:val="bottom"/>
            <w:gridSpan w:val="4"/>
            <w:vMerge w:val="continue"/>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56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Deferred revenue consisted of the following ($ amounts in 000’s):</w:t>
            </w: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24"/>
                <w:szCs w:val="24"/>
                <w:color w:val="auto"/>
              </w:rPr>
            </w:pPr>
          </w:p>
        </w:tc>
        <w:tc>
          <w:tcPr>
            <w:tcW w:w="174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2013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5,411</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Services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425,266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348,548</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gridSpan w:val="3"/>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Ratable and other revenue</w:t>
            </w:r>
          </w:p>
        </w:tc>
        <w:tc>
          <w:tcPr>
            <w:tcW w:w="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9,226</w:t>
            </w: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deferred revenue</w:t>
            </w:r>
          </w:p>
        </w:tc>
        <w:tc>
          <w:tcPr>
            <w:tcW w:w="80" w:type="dxa"/>
            <w:vAlign w:val="bottom"/>
            <w:tcBorders>
              <w:top w:val="single" w:sz="8" w:color="auto"/>
              <w:bottom w:val="single" w:sz="8" w:color="auto"/>
            </w:tcBorders>
          </w:tcPr>
          <w:p>
            <w:pPr>
              <w:spacing w:after="0"/>
              <w:rPr>
                <w:sz w:val="24"/>
                <w:szCs w:val="24"/>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432,628</w:t>
            </w: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7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363,185</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Reported As:</w:t>
            </w:r>
          </w:p>
        </w:tc>
        <w:tc>
          <w:tcPr>
            <w:tcW w:w="16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Current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293,664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247,268</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gridSpan w:val="3"/>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Non-current</w:t>
            </w:r>
          </w:p>
        </w:tc>
        <w:tc>
          <w:tcPr>
            <w:tcW w:w="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115,917</w:t>
            </w: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deferred revenue</w:t>
            </w:r>
          </w:p>
        </w:tc>
        <w:tc>
          <w:tcPr>
            <w:tcW w:w="8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432,628</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363,185</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future principal contractual obligations as of December 31, 2013 ($ amounts in 000's):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14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Thereafter</w:t>
            </w:r>
          </w:p>
        </w:tc>
      </w:tr>
      <w:tr>
        <w:trPr>
          <w:trHeight w:val="33"/>
        </w:trPr>
        <w:tc>
          <w:tcPr>
            <w:tcW w:w="27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31,905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8,759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6,006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4,938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4,472</w:t>
            </w: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Sublease rental income</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commitments, net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30,765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8,039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5,586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4,938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4,472</w:t>
            </w: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commitments</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37,794</w:t>
            </w:r>
          </w:p>
        </w:tc>
        <w:tc>
          <w:tcPr>
            <w:tcW w:w="1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37,794</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contract commitments</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9,946</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9,632</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78,505</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55,465</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5,759</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4,472</w:t>
            </w:r>
          </w:p>
        </w:tc>
      </w:tr>
      <w:tr>
        <w:trPr>
          <w:trHeight w:val="20"/>
        </w:trPr>
        <w:tc>
          <w:tcPr>
            <w:tcW w:w="2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Operating Leases</w:t>
      </w:r>
      <w:r>
        <w:rPr>
          <w:rFonts w:ascii="Times New Roman" w:cs="Times New Roman" w:eastAsia="Times New Roman" w:hAnsi="Times New Roman"/>
          <w:sz w:val="18"/>
          <w:szCs w:val="18"/>
          <w:color w:val="auto"/>
        </w:rPr>
        <w:t>—We lease certain facilities under various non-cancelable operating leases, which expire through 2020. The terms of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leases provide for renewal options. Future minimum payments under the non-cancelable operating leases totaled $31.9 million as of December 31, 2013. Rent expense was $9.8 million, $8.7 million and $8.2 million for fiscal 2013, 2012, and 2011, respectively. Rent expense and sublease rental income are recognized using the straight-line method over the term of the lease. Sublease rental income was $0.7 million, $0.8 million, and $0.7 million in fiscal 2013, 2012, and 2011, respectively.</w:t>
      </w:r>
    </w:p>
    <w:p>
      <w:pPr>
        <w:spacing w:after="0" w:line="180"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Contract Manufacturer and Other Commitments</w:t>
      </w:r>
      <w:r>
        <w:rPr>
          <w:rFonts w:ascii="Times New Roman" w:cs="Times New Roman" w:eastAsia="Times New Roman" w:hAnsi="Times New Roman"/>
          <w:sz w:val="18"/>
          <w:szCs w:val="18"/>
          <w:color w:val="auto"/>
        </w:rPr>
        <w:t>—Our independent contract manufacturers procure components and build our products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forecasts. 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December 31, 2013, we had $37.8 million of open purchase orders with our independent contract manufacturers that may not be cancelable.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In addition to commitments with contract manufacturers, we have open purchase orders and contractual obligations in the ordinary course of business for which we have not received goods or services. As of December 31, 2013, we had $9.9 million in other purchase commitments.</w:t>
      </w:r>
    </w:p>
    <w:p>
      <w:pPr>
        <w:spacing w:after="0" w:line="158"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—We are involved in disputes, litigation, and other legal actions, including, but not limited to, the matters described below. 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defending these litigation matters, and while there can be no assurances and the outcome of these matters is currently not determinable, we currently believe that there are no existing claims or proceedings that are likely to have a material adverse effect on our financial position. There are many uncertainties associated with any litigation and these actions or other third-party claims against us may cause us to incur costly litigation or substantial settlement charges.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The actual liability in any such matters may be materially different from our estimates, if any, which could result in the need to adjust the liability and record additional expenses. We have not: recorded any material accrual for loss contingencies associated with such legal proceedings; determined that an unfavorable outcome is probable or reasonably possible; or determined that the amount or range of any possible loss is reasonably estimable.</w:t>
      </w:r>
    </w:p>
    <w:p>
      <w:pPr>
        <w:spacing w:after="0" w:line="18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August 2009, Enhanced Security Research, LLC and Security Research Holdings LLC (collectively “ESR”), a non-practicing entity, filed a complaint against us in the United States District Court for the District of Delaware alleging infringement by us and other defendants of two patents. The plaintiffs were claiming unspecified damages and were requesting an injunction against the alleged infringement. In June 2010, the Court granted our motion to stay pending the outcome of reexamination proceedings in the U.S. Patent and Trademark Office (“PTO”) on both asserted patents. The PTO rejected all of the claims of the patents in the suit and ESR appealed this result to the Board of Patent Appeals and Interferences (“BPAI”). In August 2012, the BPAI completed its review of both reexamination proceedings, and, after the BPAI’s review, all claims of the asserted ESR patents remain rejected. In October 2012, ESR filed an additional appeal of the BPAI decision with the United States Court of Appeal for the Federal Circuit. That appeal is still pending. The litigation related to ESR is no longer estimated to be material to us.</w:t>
      </w:r>
    </w:p>
    <w:p>
      <w:pPr>
        <w:spacing w:after="0" w:line="18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July 2010, Network Protection Sciences, LLC (“NPS”), a non-practicing entity, filed a complaint in the United States District Court for the Eastern District of Texas alleging patent infringement by us and other defendants. In December 2011, the United States District Court for the Eastern District of Texas ordered the case to be transferred to the Northern District of California. In June 2012, the United States District Court for the Northern District of California dismissed the other defendants for misjoinder, and the case thereafter proceeded with Fortinet as the sole defendant. Between June and August 2013, we filed a number of pretrial motions with the Court. As a result of those motions, the Court found that NPS had engaged in litigation misconduct. The Court also granted our motion to strike NPS’s expert report on the issue of damages. Shortly thereafter, in September 2013, NPS agreed to abandon the case and we did not make any payments related to this case. NPS and its principals furthermore agreed not to sue us on related patents. The litigation related to NPS is no longer material to us.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June 2012, we received a letter from SRI International, (“SRI”) claiming that we infringed certain SRI patents. We settled this matter in December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w:t>
      </w:r>
    </w:p>
    <w:p>
      <w:pPr>
        <w:spacing w:after="0" w:line="203"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—Under the indemnification provisions of our standard sales contracts, we agree to defend our customers against third-party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asserting infringement of certain intellectual property rights, which may include patents, copyrights, trademarks, or trade secrets, and to pay judgments entered on such claims. Our exposure under these indemnification provisions is generally limited by the terms of our contracts to the total amount paid by our customer under the agreement. However, certain agreements include indemnification provisions that could potentially expose us to losses in excess of the amount received under the agreement. To date, there have been no claims under such indemnification provisions.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00"/>
          </w:cols>
          <w:pgMar w:left="240" w:top="121" w:right="25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Stock-Based Compensation Plans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stock-based compensation plans include the 2000 Stock Option Plan (the “2000 Plan”), the 2008 Stock Plan (the “2008 Plan”), the 2009 Equity Incentive Plan (the “2009 Plan”), and the ESPP.</w:t>
      </w:r>
    </w:p>
    <w:p>
      <w:pPr>
        <w:spacing w:after="0" w:line="158"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2000 Stock Plan</w:t>
      </w:r>
      <w:r>
        <w:rPr>
          <w:rFonts w:ascii="Times New Roman" w:cs="Times New Roman" w:eastAsia="Times New Roman" w:hAnsi="Times New Roman"/>
          <w:sz w:val="18"/>
          <w:szCs w:val="18"/>
          <w:color w:val="auto"/>
        </w:rPr>
        <w:t>—During 2000, we adopted the 2000 Plan, which includes both incentive and non-statutory stock options. Under the 2000 Plan,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grant options to purchase up to 21,500,000 shares of common stock to employees, directors and other service providers at prices not less than the fair market value at date of grant for incentive stock options and not less than 85% of fair market value for non-statutory options. Options granted to a person who, at the time of the grant, owns more than 10% of the voting power of all classes of stock shall be at no less than 110% of the fair market value and expire five years from the date of grant. All other options generally have a contractual term of 10 years. Options generally vest over four years.</w:t>
      </w:r>
    </w:p>
    <w:p>
      <w:pPr>
        <w:spacing w:after="0" w:line="180"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2008 Stock Plan</w:t>
      </w:r>
      <w:r>
        <w:rPr>
          <w:rFonts w:ascii="Times New Roman" w:cs="Times New Roman" w:eastAsia="Times New Roman" w:hAnsi="Times New Roman"/>
          <w:sz w:val="18"/>
          <w:szCs w:val="18"/>
          <w:color w:val="auto"/>
        </w:rPr>
        <w:t>—On January 28, 2008, our board of directors approved the 2008 Plan and French Sub-Plan, which includes both incentive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non-statutory stock options. The maximum aggregate number of shares which may be subject to options and sold under the 2008 Plan and the French Sub-Plan is 5,000,000 shares, plus any shares that, as of the date of stockholder approval of the 2008 Plan, have been reserved but not issued under the 2000 Plan or shares subject to stock options or similar awards granted under the 2000 Plan that expire or otherwise terminate without having been exercised in full or that are forfeited to or repurchased by us.</w:t>
      </w:r>
    </w:p>
    <w:p>
      <w:pPr>
        <w:spacing w:after="0" w:line="18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Under the 2008 Plan and the French Sub-Plan, we may grant options to employees, directors and other service providers. In the case of an incentive stock option granted to an employee, who at the time of grant, owns stock representing more than 10% of the total combined voting power of all classes of stock, the exercise price shall be no less than 110% of the fair market value per share on the date of grant and expire five years from the date of grant, and options granted to any other employee, the per share exercise price shall be no less than 100% of the fair market value per share on the date of grant. In the case of a nonstatutory stock option and options granted to other service providers, the per share exercise price shall be no less than 100% of the fair market value per share on the date of grant.</w:t>
      </w:r>
    </w:p>
    <w:p>
      <w:pPr>
        <w:spacing w:after="0" w:line="18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2009 Equity Incentive Plan</w:t>
      </w:r>
      <w:r>
        <w:rPr>
          <w:rFonts w:ascii="Times New Roman" w:cs="Times New Roman" w:eastAsia="Times New Roman" w:hAnsi="Times New Roman"/>
          <w:sz w:val="18"/>
          <w:szCs w:val="18"/>
          <w:color w:val="auto"/>
        </w:rPr>
        <w:t>—On November 17, 2009, our board of directors approved the 2009 Plan and French Sub-Plan, which includes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stock options, stock appreciation rights, restricted stock, RSUs, and PSUs or performance shares. The maximum aggregate number of shares that may be issued under the 2009 Plan is 9,000,000 shares, plus any shares subject to stock options or similar awards granted under the 2008 Plan and the 2000 Plan that expire or otherwise terminate without having been exercised in full and shares issued pursuant to awards granted under the 2008 Plan and the 2000 Plan that are forfeited to or repurchased by us, with the maximum number of shares to be added to the 2009 Plan pursuant to such terminations, forfeitures and repurchases not to exceed 21,000,000 shares. The shares may be authorized, but unissued or reacquired common stock. The number of shares available for issuance under the 2009 Plan will be increased on the first day of each fiscal year beginning with fiscal 2011, in an amount equal to the lesser of (i) 7,000,000 shares, (ii) five percent (5%) of the outstanding shares on the last day of the immediately preceding fiscal year, or (iii) such number of shares determined by our board of directors. Under the 2009 Plan and the French Sub-Plan, we may grant awards to employees, directors and other service providers. In the case of an incentive stock option granted to an employee who, at the time of the grant, owns stock representing more than 10% of the voting power of all classes of stock, the exercise price shall be no less than 110% of the fair market value per share on the date of grant and expire five years from the date of grant, and options granted to any other employee, the per share exercise price shall be no less than 100% of the fair market value per share on the date of grant. In the case of a non statutory stock option and options granted to other service providers, the per share exercise price shall be no less than 100% of the fair market value per share on the date of grant. Options granted to individuals owning less than 10% of the total combined voting power of all classes of stock generally have a contractual term of seven years and options generally vest over four years.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2013, a total of 47,131,910 shares were authorized and available for issuance under the 2000 Plan, 2008 Plan and 2009 Plan.</w:t>
      </w:r>
    </w:p>
    <w:p>
      <w:pPr>
        <w:spacing w:after="0" w:line="221" w:lineRule="exact"/>
        <w:rPr>
          <w:sz w:val="20"/>
          <w:szCs w:val="20"/>
          <w:color w:val="auto"/>
        </w:rPr>
      </w:pPr>
    </w:p>
    <w:p>
      <w:pPr>
        <w:jc w:val="both"/>
        <w:ind w:right="2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Employee Stock Purchase Plan</w:t>
      </w:r>
      <w:r>
        <w:rPr>
          <w:rFonts w:ascii="Times New Roman" w:cs="Times New Roman" w:eastAsia="Times New Roman" w:hAnsi="Times New Roman"/>
          <w:sz w:val="18"/>
          <w:szCs w:val="18"/>
          <w:color w:val="auto"/>
        </w:rPr>
        <w:t>—In June 2011, our stockholders approved the ESPP. The purpose of the ESPP is to provide eligible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opportunity to purchase common stock through regular, systematic payroll deductions, up to a maximum of 15% of employees’ compensation for each purchase period at purchase prices equal to 85% of the lesser of the</w:t>
      </w: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60"/>
          </w:cols>
          <w:pgMar w:left="240" w:top="121" w:right="29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fair market value of our common stock at the first trading date of the applicable offering period or the purchase date. As of December 31, 2013, 6,750,770 shares were authorized and available for issuance under the ESPP.</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Employee Stock Options</w:t>
      </w:r>
    </w:p>
    <w:p>
      <w:pPr>
        <w:spacing w:after="0" w:line="229"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In determining the fair value of our employee stock options, we use the Black-Scholes option pricing model, which employs the following assumptions.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Valuation method</w:t>
      </w:r>
      <w:r>
        <w:rPr>
          <w:rFonts w:ascii="Times New Roman" w:cs="Times New Roman" w:eastAsia="Times New Roman" w:hAnsi="Times New Roman"/>
          <w:sz w:val="18"/>
          <w:szCs w:val="18"/>
          <w:color w:val="auto"/>
        </w:rPr>
        <w:t>—We estimate the fair value of stock options granted.</w:t>
      </w:r>
    </w:p>
    <w:p>
      <w:pPr>
        <w:spacing w:after="0" w:line="198"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our stock-based awards are expected to be outstanding. As we do not have sufficient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experience for determining the expected term of the stock option awards granted, we have based our expected term on the simplified method, which is calculated as the average weighted vesting period and contractual life.</w:t>
      </w:r>
    </w:p>
    <w:p>
      <w:pPr>
        <w:spacing w:after="0" w:line="174" w:lineRule="exact"/>
        <w:rPr>
          <w:sz w:val="20"/>
          <w:szCs w:val="20"/>
          <w:color w:val="auto"/>
        </w:rPr>
      </w:pPr>
    </w:p>
    <w:p>
      <w:pPr>
        <w:ind w:right="5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—The computation of expected volatility for the periods presented includes the historical and implied stock volatility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companies from a representative peer group selected based on industry and market capitalization data and our weighted historical volatility following our initial public offering in November 2009.</w:t>
      </w:r>
    </w:p>
    <w:p>
      <w:pPr>
        <w:spacing w:after="0" w:line="174" w:lineRule="exact"/>
        <w:rPr>
          <w:sz w:val="20"/>
          <w:szCs w:val="20"/>
          <w:color w:val="auto"/>
        </w:rPr>
      </w:pPr>
    </w:p>
    <w:p>
      <w:pPr>
        <w:ind w:right="3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—The fair value of our common stock is the closing sales price of the common stock (or the closing bid, if no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reported) on the effective on the date of grant.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—We base the risk-free interest rate used in the Black-Scholes valuation model on the implied yield available on U.S.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zero-coupon issues with an equivalent remaining term.</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Expected Dividend</w:t>
      </w:r>
      <w:r>
        <w:rPr>
          <w:rFonts w:ascii="Times New Roman" w:cs="Times New Roman" w:eastAsia="Times New Roman" w:hAnsi="Times New Roman"/>
          <w:sz w:val="18"/>
          <w:szCs w:val="18"/>
          <w:color w:val="auto"/>
        </w:rPr>
        <w:t>—The expected dividend weighted-average assumption is zero.</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relating to our employee stock options:</w:t>
      </w: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580" w:type="dxa"/>
            <w:vAlign w:val="bottom"/>
          </w:tcPr>
          <w:p>
            <w:pPr>
              <w:spacing w:after="0"/>
              <w:rPr>
                <w:sz w:val="18"/>
                <w:szCs w:val="18"/>
                <w:color w:val="auto"/>
              </w:rPr>
            </w:pPr>
          </w:p>
        </w:tc>
      </w:tr>
      <w:tr>
        <w:trPr>
          <w:trHeight w:val="33"/>
        </w:trPr>
        <w:tc>
          <w:tcPr>
            <w:tcW w:w="66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6600" w:type="dxa"/>
            <w:vAlign w:val="bottom"/>
          </w:tcPr>
          <w:p>
            <w:pPr>
              <w:spacing w:after="0"/>
              <w:rPr>
                <w:sz w:val="20"/>
                <w:szCs w:val="20"/>
                <w:color w:val="auto"/>
              </w:rPr>
            </w:pPr>
          </w:p>
        </w:tc>
        <w:tc>
          <w:tcPr>
            <w:tcW w:w="15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148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20"/>
                <w:szCs w:val="20"/>
                <w:color w:val="auto"/>
              </w:rPr>
            </w:pPr>
          </w:p>
        </w:tc>
        <w:tc>
          <w:tcPr>
            <w:tcW w:w="158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2011</w:t>
            </w:r>
          </w:p>
        </w:tc>
      </w:tr>
      <w:tr>
        <w:trPr>
          <w:trHeight w:val="33"/>
        </w:trPr>
        <w:tc>
          <w:tcPr>
            <w:tcW w:w="66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Expected term in years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 – 4.6</w:t>
            </w:r>
          </w:p>
        </w:tc>
      </w:tr>
      <w:tr>
        <w:trPr>
          <w:trHeight w:val="243"/>
        </w:trPr>
        <w:tc>
          <w:tcPr>
            <w:tcW w:w="6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Volatility (%)</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 – 48</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 – 52</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 – 57</w:t>
            </w:r>
          </w:p>
        </w:tc>
      </w:tr>
      <w:tr>
        <w:trPr>
          <w:trHeight w:val="27"/>
        </w:trPr>
        <w:tc>
          <w:tcPr>
            <w:tcW w:w="6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Risk-free interest rate (%)</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 – 0.9</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 – 2.0</w:t>
            </w:r>
          </w:p>
        </w:tc>
      </w:tr>
      <w:tr>
        <w:trPr>
          <w:trHeight w:val="243"/>
        </w:trPr>
        <w:tc>
          <w:tcPr>
            <w:tcW w:w="6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Dividend rate (%)</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00"/>
          </w:cols>
          <w:pgMar w:left="240" w:top="121" w:right="259" w:bottom="1440" w:gutter="0" w:footer="0" w:header="0"/>
          <w:type w:val="continuous"/>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option activity and related information for the periods presented below (in 000’s, except per share amounts, exercise prices and contractual life):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12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7"/>
        </w:trPr>
        <w:tc>
          <w:tcPr>
            <w:tcW w:w="6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120" w:type="dxa"/>
            <w:vAlign w:val="bottom"/>
          </w:tcPr>
          <w:p>
            <w:pPr>
              <w:spacing w:after="0"/>
              <w:rPr>
                <w:sz w:val="18"/>
                <w:szCs w:val="18"/>
                <w:color w:val="auto"/>
              </w:rPr>
            </w:pPr>
          </w:p>
        </w:tc>
      </w:tr>
      <w:tr>
        <w:trPr>
          <w:trHeight w:val="203"/>
        </w:trPr>
        <w:tc>
          <w:tcPr>
            <w:tcW w:w="6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12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203"/>
        </w:trPr>
        <w:tc>
          <w:tcPr>
            <w:tcW w:w="628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212"/>
        </w:trPr>
        <w:tc>
          <w:tcPr>
            <w:tcW w:w="628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Price ($)</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Life (Years)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Value ($)</w:t>
            </w:r>
          </w:p>
        </w:tc>
      </w:tr>
      <w:tr>
        <w:trPr>
          <w:trHeight w:val="33"/>
        </w:trPr>
        <w:tc>
          <w:tcPr>
            <w:tcW w:w="6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2010</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22,489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6,526</w:t>
            </w:r>
          </w:p>
        </w:tc>
        <w:tc>
          <w:tcPr>
            <w:tcW w:w="1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1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2011</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21,389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3,401</w:t>
            </w:r>
          </w:p>
        </w:tc>
        <w:tc>
          <w:tcPr>
            <w:tcW w:w="1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1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2012</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18,571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2013</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15,521</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91"/>
        </w:trPr>
        <w:tc>
          <w:tcPr>
            <w:tcW w:w="6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Options vested and expected to vest—December 31, 2013</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15,496</w:t>
            </w: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120,178</w:t>
            </w:r>
          </w:p>
        </w:tc>
      </w:tr>
      <w:tr>
        <w:trPr>
          <w:trHeight w:val="251"/>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exercisable—December 31, 2013</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12,084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118,226</w:t>
            </w:r>
          </w:p>
        </w:tc>
      </w:tr>
      <w:tr>
        <w:trPr>
          <w:trHeight w:val="20"/>
        </w:trPr>
        <w:tc>
          <w:tcPr>
            <w:tcW w:w="6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represents the pre-tax difference between the exercise price of stock options and the quoted market price of our common stock on December 31, 2013, for all in-the-money options. As of December 31, 2013, total compensation expense related to unvested stock options granted to employees but not yet recognized was $39.5 million, net of estimated forfeitures. This expense is expected to be amortized on a straight-line basis over a weighted-average period of 1.8 years.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related to our stock options is summarized below ($ amounts in 000's, except per share amounts):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54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2011</w:t>
            </w:r>
          </w:p>
        </w:tc>
      </w:tr>
      <w:tr>
        <w:trPr>
          <w:trHeight w:val="27"/>
        </w:trPr>
        <w:tc>
          <w:tcPr>
            <w:tcW w:w="61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fair value per share granted</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8.10</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41,484</w:t>
            </w:r>
          </w:p>
        </w:tc>
        <w:tc>
          <w:tcPr>
            <w:tcW w:w="1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92,323</w:t>
            </w:r>
          </w:p>
        </w:tc>
        <w:tc>
          <w:tcPr>
            <w:tcW w:w="1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113,590</w:t>
            </w:r>
          </w:p>
        </w:tc>
      </w:tr>
      <w:tr>
        <w:trPr>
          <w:trHeight w:val="27"/>
        </w:trPr>
        <w:tc>
          <w:tcPr>
            <w:tcW w:w="6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6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of options vested</w:t>
            </w:r>
          </w:p>
        </w:tc>
        <w:tc>
          <w:tcPr>
            <w:tcW w:w="1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26,411</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25,350</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11,800</w:t>
            </w:r>
          </w:p>
        </w:tc>
      </w:tr>
      <w:tr>
        <w:trPr>
          <w:trHeight w:val="27"/>
        </w:trPr>
        <w:tc>
          <w:tcPr>
            <w:tcW w:w="61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00"/>
          </w:cols>
          <w:pgMar w:left="240" w:top="121" w:right="259" w:bottom="1440" w:gutter="0" w:footer="0" w:header="0"/>
          <w:type w:val="continuous"/>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about outstanding and exercisable stock options as of December 31, 2013, as follows (in 000’s, except per share amounts, exercise prices and contractual life):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40" w:type="dxa"/>
            <w:vAlign w:val="bottom"/>
            <w:gridSpan w:val="3"/>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Options Exercisable</w:t>
            </w: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7"/>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03"/>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203"/>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r>
      <w:tr>
        <w:trPr>
          <w:trHeight w:val="203"/>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Range of Exercise</w:t>
            </w:r>
          </w:p>
        </w:tc>
        <w:tc>
          <w:tcPr>
            <w:tcW w:w="184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82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r>
      <w:tr>
        <w:trPr>
          <w:trHeight w:val="212"/>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Prices ($)</w:t>
            </w:r>
          </w:p>
        </w:tc>
        <w:tc>
          <w:tcPr>
            <w:tcW w:w="184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Life (Years)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Price ($)</w:t>
            </w:r>
          </w:p>
        </w:tc>
        <w:tc>
          <w:tcPr>
            <w:tcW w:w="182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Price ($)</w:t>
            </w:r>
          </w:p>
        </w:tc>
      </w:tr>
      <w:tr>
        <w:trPr>
          <w:trHeight w:val="33"/>
        </w:trPr>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0.48–1.20</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1,331</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1,331</w:t>
            </w:r>
          </w:p>
        </w:tc>
        <w:tc>
          <w:tcPr>
            <w:tcW w:w="19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0.97</w:t>
            </w:r>
          </w:p>
        </w:tc>
      </w:tr>
      <w:tr>
        <w:trPr>
          <w:trHeight w:val="243"/>
        </w:trPr>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3.74–4.65</w:t>
            </w:r>
          </w:p>
        </w:tc>
        <w:tc>
          <w:tcPr>
            <w:tcW w:w="1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4,902</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21"/>
                <w:szCs w:val="21"/>
                <w:color w:val="auto"/>
              </w:rPr>
            </w:pPr>
          </w:p>
        </w:tc>
        <w:tc>
          <w:tcPr>
            <w:tcW w:w="1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1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4,902</w:t>
            </w:r>
          </w:p>
        </w:tc>
        <w:tc>
          <w:tcPr>
            <w:tcW w:w="19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3.75</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5.50–6.25</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152</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152</w:t>
            </w:r>
          </w:p>
        </w:tc>
        <w:tc>
          <w:tcPr>
            <w:tcW w:w="19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5.64</w:t>
            </w:r>
          </w:p>
        </w:tc>
      </w:tr>
      <w:tr>
        <w:trPr>
          <w:trHeight w:val="243"/>
        </w:trPr>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8.43–8.99</w:t>
            </w:r>
          </w:p>
        </w:tc>
        <w:tc>
          <w:tcPr>
            <w:tcW w:w="1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1,636</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21"/>
                <w:szCs w:val="21"/>
                <w:color w:val="auto"/>
              </w:rPr>
            </w:pPr>
          </w:p>
        </w:tc>
        <w:tc>
          <w:tcPr>
            <w:tcW w:w="1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21"/>
                <w:szCs w:val="21"/>
                <w:color w:val="auto"/>
              </w:rPr>
            </w:pPr>
          </w:p>
        </w:tc>
        <w:tc>
          <w:tcPr>
            <w:tcW w:w="1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1,486</w:t>
            </w:r>
          </w:p>
        </w:tc>
        <w:tc>
          <w:tcPr>
            <w:tcW w:w="19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8.53</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15.28–19.94</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382</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231</w:t>
            </w:r>
          </w:p>
        </w:tc>
        <w:tc>
          <w:tcPr>
            <w:tcW w:w="19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15.28</w:t>
            </w:r>
          </w:p>
        </w:tc>
      </w:tr>
      <w:tr>
        <w:trPr>
          <w:trHeight w:val="243"/>
        </w:trPr>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20.13–24.92</w:t>
            </w:r>
          </w:p>
        </w:tc>
        <w:tc>
          <w:tcPr>
            <w:tcW w:w="1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4,835</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Pr>
          <w:p>
            <w:pPr>
              <w:spacing w:after="0"/>
              <w:rPr>
                <w:sz w:val="21"/>
                <w:szCs w:val="21"/>
                <w:color w:val="auto"/>
              </w:rPr>
            </w:pPr>
          </w:p>
        </w:tc>
        <w:tc>
          <w:tcPr>
            <w:tcW w:w="1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21"/>
                <w:szCs w:val="21"/>
                <w:color w:val="auto"/>
              </w:rPr>
            </w:pPr>
          </w:p>
        </w:tc>
        <w:tc>
          <w:tcPr>
            <w:tcW w:w="1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2,902</w:t>
            </w:r>
          </w:p>
        </w:tc>
        <w:tc>
          <w:tcPr>
            <w:tcW w:w="19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21.20</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26.70–26.70</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2,283</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1,080</w:t>
            </w:r>
          </w:p>
        </w:tc>
        <w:tc>
          <w:tcPr>
            <w:tcW w:w="19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26.70</w:t>
            </w:r>
          </w:p>
        </w:tc>
      </w:tr>
      <w:tr>
        <w:trPr>
          <w:trHeight w:val="237"/>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15,521</w:t>
            </w: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12,084</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and related information for RSUs for the periods presented below (in 000’s, except per share amounts):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40" w:type="dxa"/>
            <w:vAlign w:val="bottom"/>
          </w:tcPr>
          <w:p>
            <w:pPr>
              <w:spacing w:after="0"/>
              <w:rPr>
                <w:sz w:val="18"/>
                <w:szCs w:val="18"/>
                <w:color w:val="auto"/>
              </w:rPr>
            </w:pPr>
          </w:p>
        </w:tc>
        <w:tc>
          <w:tcPr>
            <w:tcW w:w="3680" w:type="dxa"/>
            <w:vAlign w:val="bottom"/>
            <w:gridSpan w:val="3"/>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r>
      <w:tr>
        <w:trPr>
          <w:trHeight w:val="33"/>
        </w:trPr>
        <w:tc>
          <w:tcPr>
            <w:tcW w:w="754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7"/>
        </w:trPr>
        <w:tc>
          <w:tcPr>
            <w:tcW w:w="7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r>
      <w:tr>
        <w:trPr>
          <w:trHeight w:val="203"/>
        </w:trPr>
        <w:tc>
          <w:tcPr>
            <w:tcW w:w="75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Grant-Date-Fair Value</w:t>
            </w:r>
          </w:p>
        </w:tc>
      </w:tr>
      <w:tr>
        <w:trPr>
          <w:trHeight w:val="212"/>
        </w:trPr>
        <w:tc>
          <w:tcPr>
            <w:tcW w:w="7540" w:type="dxa"/>
            <w:vAlign w:val="bottom"/>
          </w:tcPr>
          <w:p>
            <w:pPr>
              <w:spacing w:after="0"/>
              <w:rPr>
                <w:sz w:val="18"/>
                <w:szCs w:val="18"/>
                <w:color w:val="auto"/>
              </w:rPr>
            </w:pPr>
          </w:p>
        </w:tc>
        <w:tc>
          <w:tcPr>
            <w:tcW w:w="19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 Share ($)</w:t>
            </w:r>
          </w:p>
        </w:tc>
      </w:tr>
      <w:tr>
        <w:trPr>
          <w:trHeight w:val="33"/>
        </w:trPr>
        <w:tc>
          <w:tcPr>
            <w:tcW w:w="75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2011</w:t>
            </w: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Pr>
          <w:p>
            <w:pPr>
              <w:spacing w:after="0"/>
              <w:rPr>
                <w:sz w:val="21"/>
                <w:szCs w:val="21"/>
                <w:color w:val="auto"/>
              </w:rPr>
            </w:pPr>
          </w:p>
        </w:tc>
        <w:tc>
          <w:tcPr>
            <w:tcW w:w="1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23.79</w:t>
            </w:r>
          </w:p>
        </w:tc>
      </w:tr>
      <w:tr>
        <w:trPr>
          <w:trHeight w:val="27"/>
        </w:trPr>
        <w:tc>
          <w:tcPr>
            <w:tcW w:w="75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24.76</w:t>
            </w:r>
          </w:p>
        </w:tc>
      </w:tr>
      <w:tr>
        <w:trPr>
          <w:trHeight w:val="243"/>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2012</w:t>
            </w: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23.73</w:t>
            </w:r>
          </w:p>
        </w:tc>
      </w:tr>
      <w:tr>
        <w:trPr>
          <w:trHeight w:val="243"/>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4,104</w:t>
            </w:r>
          </w:p>
        </w:tc>
        <w:tc>
          <w:tcPr>
            <w:tcW w:w="120" w:type="dxa"/>
            <w:vAlign w:val="bottom"/>
          </w:tcPr>
          <w:p>
            <w:pPr>
              <w:spacing w:after="0"/>
              <w:rPr>
                <w:sz w:val="21"/>
                <w:szCs w:val="21"/>
                <w:color w:val="auto"/>
              </w:rPr>
            </w:pPr>
          </w:p>
        </w:tc>
        <w:tc>
          <w:tcPr>
            <w:tcW w:w="1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21.75</w:t>
            </w:r>
          </w:p>
        </w:tc>
      </w:tr>
      <w:tr>
        <w:trPr>
          <w:trHeight w:val="27"/>
        </w:trPr>
        <w:tc>
          <w:tcPr>
            <w:tcW w:w="75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21.48</w:t>
            </w:r>
          </w:p>
        </w:tc>
      </w:tr>
      <w:tr>
        <w:trPr>
          <w:trHeight w:val="243"/>
        </w:trPr>
        <w:tc>
          <w:tcPr>
            <w:tcW w:w="7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1"/>
                <w:szCs w:val="21"/>
                <w:color w:val="auto"/>
              </w:rPr>
            </w:pPr>
          </w:p>
        </w:tc>
        <w:tc>
          <w:tcPr>
            <w:tcW w:w="1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23.89</w:t>
            </w:r>
          </w:p>
        </w:tc>
      </w:tr>
      <w:tr>
        <w:trPr>
          <w:trHeight w:val="27"/>
        </w:trPr>
        <w:tc>
          <w:tcPr>
            <w:tcW w:w="754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Balance—December 31, 2013</w:t>
            </w:r>
          </w:p>
        </w:tc>
        <w:tc>
          <w:tcPr>
            <w:tcW w:w="17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4,199</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22.00</w:t>
            </w:r>
          </w:p>
        </w:tc>
      </w:tr>
      <w:tr>
        <w:trPr>
          <w:trHeight w:val="20"/>
        </w:trPr>
        <w:tc>
          <w:tcPr>
            <w:tcW w:w="75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0"/>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RSUs expected to vest—December 31, 2013</w:t>
            </w:r>
          </w:p>
        </w:tc>
        <w:tc>
          <w:tcPr>
            <w:tcW w:w="1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3,898</w:t>
            </w:r>
          </w:p>
        </w:tc>
        <w:tc>
          <w:tcPr>
            <w:tcW w:w="120" w:type="dxa"/>
            <w:vAlign w:val="bottom"/>
          </w:tcPr>
          <w:p>
            <w:pPr>
              <w:spacing w:after="0"/>
              <w:rPr>
                <w:sz w:val="20"/>
                <w:szCs w:val="20"/>
                <w:color w:val="auto"/>
              </w:rPr>
            </w:pPr>
          </w:p>
        </w:tc>
        <w:tc>
          <w:tcPr>
            <w:tcW w:w="1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22.02</w:t>
            </w:r>
          </w:p>
        </w:tc>
      </w:tr>
    </w:tbl>
    <w:p>
      <w:pPr>
        <w:spacing w:after="0" w:line="225"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2013, total compensation expense related to unvested RSUs that were granted to employees and non-employees under the 2009 Plan, but not yet recognized, was $82.6 million, net of estimated forfeitures. This expense is expected to be amortized on a straight-line basis over a weighted-average vesting period of 2.99 years.</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RSUs settle into shares of common stock upon vesting. RSUs that were previously granted began vesting in fiscal 2013. Upon the vesting of the RSUs, we net-settled the RSUs and withheld a portion of the shares to satisfy minimum statutory employee withholding taxes. Total payment for the employees’ tax obligations to the taxing authorities is reflected as a financing activity within the consolidated statements of cash flows. These net settlements had the effect of share repurchases by us as they reduced and retired the number of shares that would have otherwise been issued as a result of the vesting and did not represent an expense to us.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21" w:right="239" w:bottom="1440" w:gutter="0" w:footer="0" w:header="0"/>
          <w:type w:val="continuous"/>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number and value of the shares withheld for employee taxes for fiscal 2013 (in 000’s):</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4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withheld for taxes ($)</w:t>
            </w:r>
          </w:p>
        </w:tc>
        <w:tc>
          <w:tcPr>
            <w:tcW w:w="4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1,452</w:t>
            </w:r>
          </w:p>
        </w:tc>
      </w:tr>
    </w:tbl>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229" w:lineRule="exact"/>
        <w:rPr>
          <w:sz w:val="20"/>
          <w:szCs w:val="20"/>
          <w:color w:val="auto"/>
        </w:rPr>
      </w:pPr>
    </w:p>
    <w:p>
      <w:pPr>
        <w:ind w:right="240" w:firstLine="648"/>
        <w:spacing w:after="0" w:line="281" w:lineRule="auto"/>
        <w:rPr>
          <w:sz w:val="20"/>
          <w:szCs w:val="20"/>
          <w:color w:val="auto"/>
        </w:rPr>
      </w:pPr>
      <w:r>
        <w:rPr>
          <w:rFonts w:ascii="Times New Roman" w:cs="Times New Roman" w:eastAsia="Times New Roman" w:hAnsi="Times New Roman"/>
          <w:sz w:val="17"/>
          <w:szCs w:val="17"/>
          <w:color w:val="auto"/>
        </w:rPr>
        <w:t>During fiscal 2013, we granted PSUs to certain of our executive officers. Based on the achievement of the market-based vesting conditions during the performance period, the final settlement of the PSUs will range between 0% and 150% of the target shares underlying the PSUs based on a specified objective formula approved by our Compensation Committee. The PSUs entitle our executive officers to receive a number of shares of our common stock based on the performance of our stock price over a two- or three-year period as compared to the NASDAQ Composite index for the same periods.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assumptions relating to our PSUs for fiscal 2013:</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term in years</w:t>
            </w:r>
          </w:p>
        </w:tc>
        <w:tc>
          <w:tcPr>
            <w:tcW w:w="5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r>
      <w:tr>
        <w:trPr>
          <w:trHeight w:val="243"/>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Volatility (%)</w:t>
            </w:r>
          </w:p>
        </w:tc>
        <w:tc>
          <w:tcPr>
            <w:tcW w:w="5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50.11</w:t>
            </w:r>
          </w:p>
        </w:tc>
      </w:tr>
      <w:tr>
        <w:trPr>
          <w:trHeight w:val="27"/>
        </w:trPr>
        <w:tc>
          <w:tcPr>
            <w:tcW w:w="64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 (%)</w:t>
            </w:r>
          </w:p>
        </w:tc>
        <w:tc>
          <w:tcPr>
            <w:tcW w:w="5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0.67</w:t>
            </w:r>
          </w:p>
        </w:tc>
      </w:tr>
      <w:tr>
        <w:trPr>
          <w:trHeight w:val="243"/>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 rate (%)</w:t>
            </w:r>
          </w:p>
        </w:tc>
        <w:tc>
          <w:tcPr>
            <w:tcW w:w="5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granted 180,000 PSUs during fiscal 2013 to our executive officers, of which 50,000 shares were forfeited during fiscal 2013. The PSUs had a grant date fair value of $22.06 per share, and are included in the aforementioned activity for RSUs.</w:t>
      </w:r>
    </w:p>
    <w:p>
      <w:pPr>
        <w:spacing w:after="0" w:line="16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2013, total compensation expense related to unvested PSUs that were granted to certain of our executive officers, but not yet recognized, was $2.4 million, net of estimated forfeitures. This expense is expected to be amortized on a straight-line basis over a weighted-average vesting period of 2.59 years.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Shares Reserved for Future Issuances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common stock reserved for future issuance (in 000’s):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20" w:type="dxa"/>
            <w:vAlign w:val="bottom"/>
          </w:tcPr>
          <w:p>
            <w:pPr>
              <w:spacing w:after="0"/>
              <w:rPr>
                <w:sz w:val="18"/>
                <w:szCs w:val="18"/>
                <w:color w:val="auto"/>
              </w:rPr>
            </w:pPr>
          </w:p>
        </w:tc>
        <w:tc>
          <w:tcPr>
            <w:tcW w:w="16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982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98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stock options and RSUs</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19,720</w:t>
            </w:r>
          </w:p>
        </w:tc>
      </w:tr>
      <w:tr>
        <w:trPr>
          <w:trHeight w:val="243"/>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 for future stock option, RSU and other equity award grants</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27,412</w:t>
            </w: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Reserved for future ESPP issuances</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6,751</w:t>
            </w:r>
          </w:p>
        </w:tc>
      </w:tr>
      <w:tr>
        <w:trPr>
          <w:trHeight w:val="257"/>
        </w:trPr>
        <w:tc>
          <w:tcPr>
            <w:tcW w:w="9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common stock reserved for future issuances</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53,883</w:t>
            </w:r>
          </w:p>
        </w:tc>
      </w:tr>
      <w:tr>
        <w:trPr>
          <w:trHeight w:val="20"/>
        </w:trPr>
        <w:tc>
          <w:tcPr>
            <w:tcW w:w="9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determining the fair value of our ESPP, we use the Black-Scholes option pricing model that employs the following weighted-average assumptions:</w:t>
      </w:r>
    </w:p>
    <w:p>
      <w:pPr>
        <w:spacing w:after="0" w:line="395"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36830</wp:posOffset>
            </wp:positionV>
            <wp:extent cx="3173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440" w:type="dxa"/>
            <w:vAlign w:val="bottom"/>
            <w:gridSpan w:val="2"/>
          </w:tcPr>
          <w:p>
            <w:pPr>
              <w:ind w:left="698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2012</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2011</w:t>
            </w:r>
          </w:p>
        </w:tc>
      </w:tr>
      <w:tr>
        <w:trPr>
          <w:trHeight w:val="27"/>
        </w:trPr>
        <w:tc>
          <w:tcPr>
            <w:tcW w:w="63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 (%)</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59.9</w:t>
            </w:r>
          </w:p>
        </w:tc>
      </w:tr>
      <w:tr>
        <w:trPr>
          <w:trHeight w:val="27"/>
        </w:trPr>
        <w:tc>
          <w:tcPr>
            <w:tcW w:w="6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0.07</w:t>
            </w:r>
          </w:p>
        </w:tc>
      </w:tr>
      <w:tr>
        <w:trPr>
          <w:trHeight w:val="243"/>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rate (%)</w:t>
            </w:r>
          </w:p>
        </w:tc>
        <w:tc>
          <w:tcPr>
            <w:tcW w:w="170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21" w:right="239" w:bottom="1440" w:gutter="0" w:footer="0" w:header="0"/>
          <w:type w:val="continuous"/>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related to the ESPP is provided below (in 000's, except per share amounts):</w:t>
      </w:r>
    </w:p>
    <w:p>
      <w:pPr>
        <w:spacing w:after="0" w:line="383"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36830</wp:posOffset>
            </wp:positionV>
            <wp:extent cx="31730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2013</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2011</w:t>
            </w:r>
          </w:p>
        </w:tc>
      </w:tr>
      <w:tr>
        <w:trPr>
          <w:trHeight w:val="27"/>
        </w:trPr>
        <w:tc>
          <w:tcPr>
            <w:tcW w:w="63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share granted ($)</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6.56</w:t>
            </w:r>
          </w:p>
        </w:tc>
      </w:tr>
      <w:tr>
        <w:trPr>
          <w:trHeight w:val="243"/>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issued under the ESPP</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price per share issued ($)</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18.88</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is included in costs and expenses as follows ($ amounts in 000’s):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580" w:type="dxa"/>
            <w:vAlign w:val="bottom"/>
          </w:tcPr>
          <w:p>
            <w:pPr>
              <w:spacing w:after="0"/>
              <w:rPr>
                <w:sz w:val="18"/>
                <w:szCs w:val="18"/>
                <w:color w:val="auto"/>
              </w:rPr>
            </w:pPr>
          </w:p>
        </w:tc>
      </w:tr>
      <w:tr>
        <w:trPr>
          <w:trHeight w:val="33"/>
        </w:trPr>
        <w:tc>
          <w:tcPr>
            <w:tcW w:w="66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6600" w:type="dxa"/>
            <w:vAlign w:val="bottom"/>
          </w:tcPr>
          <w:p>
            <w:pPr>
              <w:spacing w:after="0"/>
              <w:rPr>
                <w:sz w:val="20"/>
                <w:szCs w:val="20"/>
                <w:color w:val="auto"/>
              </w:rPr>
            </w:pPr>
          </w:p>
        </w:tc>
        <w:tc>
          <w:tcPr>
            <w:tcW w:w="150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148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20"/>
                <w:szCs w:val="20"/>
                <w:color w:val="auto"/>
              </w:rPr>
            </w:pPr>
          </w:p>
        </w:tc>
        <w:tc>
          <w:tcPr>
            <w:tcW w:w="158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2011</w:t>
            </w:r>
          </w:p>
        </w:tc>
      </w:tr>
      <w:tr>
        <w:trPr>
          <w:trHeight w:val="33"/>
        </w:trPr>
        <w:tc>
          <w:tcPr>
            <w:tcW w:w="66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Cost of product revenue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w:t>
            </w:r>
          </w:p>
        </w:tc>
      </w:tr>
      <w:tr>
        <w:trPr>
          <w:trHeight w:val="243"/>
        </w:trPr>
        <w:tc>
          <w:tcPr>
            <w:tcW w:w="6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Cost of services revenue</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4,841</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1,790</w:t>
            </w:r>
          </w:p>
        </w:tc>
      </w:tr>
      <w:tr>
        <w:trPr>
          <w:trHeight w:val="27"/>
        </w:trPr>
        <w:tc>
          <w:tcPr>
            <w:tcW w:w="6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13,271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9,226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4,691</w:t>
            </w:r>
          </w:p>
        </w:tc>
      </w:tr>
      <w:tr>
        <w:trPr>
          <w:trHeight w:val="243"/>
        </w:trPr>
        <w:tc>
          <w:tcPr>
            <w:tcW w:w="6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Sales and marketing</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19,526</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12,793</w:t>
            </w:r>
          </w:p>
        </w:tc>
        <w:tc>
          <w:tcPr>
            <w:tcW w:w="1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9,325</w:t>
            </w:r>
          </w:p>
        </w:tc>
      </w:tr>
      <w:tr>
        <w:trPr>
          <w:trHeight w:val="27"/>
        </w:trPr>
        <w:tc>
          <w:tcPr>
            <w:tcW w:w="6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6,450</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4,602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3,026</w:t>
            </w:r>
          </w:p>
        </w:tc>
      </w:tr>
      <w:tr>
        <w:trPr>
          <w:trHeight w:val="257"/>
        </w:trPr>
        <w:tc>
          <w:tcPr>
            <w:tcW w:w="6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5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44,471</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30,690</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19,015</w:t>
            </w:r>
          </w:p>
        </w:tc>
      </w:tr>
      <w:tr>
        <w:trPr>
          <w:trHeight w:val="20"/>
        </w:trPr>
        <w:tc>
          <w:tcPr>
            <w:tcW w:w="66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by award type ($ amounts in 000’s)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580" w:type="dxa"/>
            <w:vAlign w:val="bottom"/>
          </w:tcPr>
          <w:p>
            <w:pPr>
              <w:spacing w:after="0"/>
              <w:rPr>
                <w:sz w:val="18"/>
                <w:szCs w:val="18"/>
                <w:color w:val="auto"/>
              </w:rPr>
            </w:pPr>
          </w:p>
        </w:tc>
      </w:tr>
      <w:tr>
        <w:trPr>
          <w:trHeight w:val="33"/>
        </w:trPr>
        <w:tc>
          <w:tcPr>
            <w:tcW w:w="66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6600" w:type="dxa"/>
            <w:vAlign w:val="bottom"/>
          </w:tcPr>
          <w:p>
            <w:pPr>
              <w:spacing w:after="0"/>
              <w:rPr>
                <w:sz w:val="20"/>
                <w:szCs w:val="20"/>
                <w:color w:val="auto"/>
              </w:rPr>
            </w:pPr>
          </w:p>
        </w:tc>
        <w:tc>
          <w:tcPr>
            <w:tcW w:w="15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148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20"/>
                <w:szCs w:val="20"/>
                <w:color w:val="auto"/>
              </w:rPr>
            </w:pPr>
          </w:p>
        </w:tc>
        <w:tc>
          <w:tcPr>
            <w:tcW w:w="158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2011</w:t>
            </w:r>
          </w:p>
        </w:tc>
      </w:tr>
      <w:tr>
        <w:trPr>
          <w:trHeight w:val="33"/>
        </w:trPr>
        <w:tc>
          <w:tcPr>
            <w:tcW w:w="66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 options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20,806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24,506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17,416</w:t>
            </w:r>
          </w:p>
        </w:tc>
      </w:tr>
      <w:tr>
        <w:trPr>
          <w:trHeight w:val="243"/>
        </w:trPr>
        <w:tc>
          <w:tcPr>
            <w:tcW w:w="6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RSUs</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18,968</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ESPP</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4,697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4,470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1,599</w:t>
            </w:r>
          </w:p>
        </w:tc>
      </w:tr>
      <w:tr>
        <w:trPr>
          <w:trHeight w:val="257"/>
        </w:trPr>
        <w:tc>
          <w:tcPr>
            <w:tcW w:w="6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44,471</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30,690</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19,015</w:t>
            </w:r>
          </w:p>
        </w:tc>
      </w:tr>
      <w:tr>
        <w:trPr>
          <w:trHeight w:val="20"/>
        </w:trPr>
        <w:tc>
          <w:tcPr>
            <w:tcW w:w="66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Total income tax benefit associated with stock-based compensation that is recognized in the consolidated statements of operations is as follows ($ amounts in 000’s):</w:t>
      </w:r>
    </w:p>
    <w:p>
      <w:pPr>
        <w:spacing w:after="0" w:line="320"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36830</wp:posOffset>
            </wp:positionV>
            <wp:extent cx="29584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2013</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2011</w:t>
            </w:r>
          </w:p>
        </w:tc>
      </w:tr>
      <w:tr>
        <w:trPr>
          <w:trHeight w:val="33"/>
        </w:trPr>
        <w:tc>
          <w:tcPr>
            <w:tcW w:w="67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660" w:type="dxa"/>
            <w:vAlign w:val="bottom"/>
            <w:gridSpan w:val="2"/>
            <w:shd w:val="clear" w:color="auto" w:fill="CCEEFF"/>
          </w:tcPr>
          <w:p>
            <w:pPr>
              <w:jc w:val="right"/>
              <w:ind w:right="3200"/>
              <w:spacing w:after="0"/>
              <w:rPr>
                <w:sz w:val="20"/>
                <w:szCs w:val="20"/>
                <w:color w:val="auto"/>
              </w:rPr>
            </w:pPr>
            <w:r>
              <w:rPr>
                <w:rFonts w:ascii="Times New Roman" w:cs="Times New Roman" w:eastAsia="Times New Roman" w:hAnsi="Times New Roman"/>
                <w:sz w:val="18"/>
                <w:szCs w:val="18"/>
                <w:color w:val="auto"/>
              </w:rPr>
              <w:t>Income tax benefit associated with stock-based compensation</w:t>
            </w:r>
          </w:p>
        </w:tc>
        <w:tc>
          <w:tcPr>
            <w:tcW w:w="5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8,331</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5,870</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3,822</w:t>
            </w:r>
          </w:p>
        </w:tc>
      </w:tr>
      <w:tr>
        <w:trPr>
          <w:trHeight w:val="27"/>
        </w:trPr>
        <w:tc>
          <w:tcPr>
            <w:tcW w:w="67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On December 6, 2013, our Board of Directors authorized a Share Repurchase Program (“the Program”) to repurchase up to $200.0 million of our outstanding common stock through December 31, 2014. Under the Program, share repurchases may be made by us from time to time in privately negotiated transactions or in open market transactions. The Program does not require us to purchase a minimum number of shares, and may be suspended, modified or discontinued at any time without prior notice. In December 2013, we repurchased 2.1 million shares of common stock under the Program in open market transactions for an aggregate purchase price of $38.9 million. The share repurchases were financed by available cash balances and cash from operations. As of December 31, 2013, $161.1 million remains available for future share repurchases under the Program.</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00"/>
          </w:cols>
          <w:pgMar w:left="240" w:top="121" w:right="259" w:bottom="1440" w:gutter="0" w:footer="0" w:header="0"/>
          <w:type w:val="continuous"/>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before income taxes consisted of the following ($ amounts in 000’s):</w:t>
      </w:r>
    </w:p>
    <w:p>
      <w:pPr>
        <w:spacing w:after="0" w:line="38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36830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tbl>
      <w:tblPr>
        <w:tblLayout w:type="fixed"/>
        <w:tblInd w:w="62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152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20"/>
                <w:szCs w:val="20"/>
                <w:color w:val="auto"/>
              </w:rPr>
            </w:pPr>
          </w:p>
        </w:tc>
        <w:tc>
          <w:tcPr>
            <w:tcW w:w="152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2011</w:t>
            </w:r>
          </w:p>
        </w:tc>
      </w:tr>
      <w:tr>
        <w:trPr>
          <w:trHeight w:val="27"/>
        </w:trPr>
        <w:tc>
          <w:tcPr>
            <w:tcW w:w="54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83,076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95,730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85,411</w:t>
            </w:r>
          </w:p>
        </w:tc>
      </w:tr>
      <w:tr>
        <w:trPr>
          <w:trHeight w:val="243"/>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1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9,266</w:t>
            </w:r>
          </w:p>
        </w:tc>
        <w:tc>
          <w:tcPr>
            <w:tcW w:w="1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6,662</w:t>
            </w:r>
          </w:p>
        </w:tc>
      </w:tr>
      <w:tr>
        <w:trPr>
          <w:trHeight w:val="27"/>
        </w:trPr>
        <w:tc>
          <w:tcPr>
            <w:tcW w:w="54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75,941</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104,996</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92,073</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419"/>
        </w:trPr>
        <w:tc>
          <w:tcPr>
            <w:tcW w:w="5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 ($ amounts in 000’s):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61"/>
        </w:trPr>
        <w:tc>
          <w:tcPr>
            <w:tcW w:w="5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520" w:type="dxa"/>
            <w:vAlign w:val="bottom"/>
          </w:tcPr>
          <w:p>
            <w:pPr>
              <w:spacing w:after="0"/>
              <w:rPr>
                <w:sz w:val="24"/>
                <w:szCs w:val="24"/>
                <w:color w:val="auto"/>
              </w:rPr>
            </w:pPr>
          </w:p>
        </w:tc>
      </w:tr>
      <w:tr>
        <w:trPr>
          <w:trHeight w:val="33"/>
        </w:trPr>
        <w:tc>
          <w:tcPr>
            <w:tcW w:w="54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152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20"/>
                <w:szCs w:val="20"/>
                <w:color w:val="auto"/>
              </w:rPr>
            </w:pPr>
          </w:p>
        </w:tc>
        <w:tc>
          <w:tcPr>
            <w:tcW w:w="152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2011</w:t>
            </w:r>
          </w:p>
        </w:tc>
      </w:tr>
      <w:tr>
        <w:trPr>
          <w:trHeight w:val="33"/>
        </w:trPr>
        <w:tc>
          <w:tcPr>
            <w:tcW w:w="54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Federal</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43,384</w:t>
            </w:r>
          </w:p>
        </w:tc>
        <w:tc>
          <w:tcPr>
            <w:tcW w:w="1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43,765</w:t>
            </w:r>
          </w:p>
        </w:tc>
        <w:tc>
          <w:tcPr>
            <w:tcW w:w="1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34,856</w:t>
            </w:r>
          </w:p>
        </w:tc>
      </w:tr>
      <w:tr>
        <w:trPr>
          <w:trHeight w:val="27"/>
        </w:trPr>
        <w:tc>
          <w:tcPr>
            <w:tcW w:w="590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State</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2,785</w:t>
            </w:r>
          </w:p>
        </w:tc>
      </w:tr>
      <w:tr>
        <w:trPr>
          <w:trHeight w:val="243"/>
        </w:trPr>
        <w:tc>
          <w:tcPr>
            <w:tcW w:w="59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Foreign</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4,175</w:t>
            </w:r>
          </w:p>
        </w:tc>
        <w:tc>
          <w:tcPr>
            <w:tcW w:w="1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1,402</w:t>
            </w:r>
          </w:p>
        </w:tc>
      </w:tr>
      <w:tr>
        <w:trPr>
          <w:trHeight w:val="27"/>
        </w:trPr>
        <w:tc>
          <w:tcPr>
            <w:tcW w:w="54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Total current</w:t>
            </w:r>
          </w:p>
        </w:tc>
        <w:tc>
          <w:tcPr>
            <w:tcW w:w="4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50,049</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48,023</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39,043</w:t>
            </w:r>
          </w:p>
        </w:tc>
      </w:tr>
      <w:tr>
        <w:trPr>
          <w:trHeight w:val="237"/>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4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r>
      <w:tr>
        <w:trPr>
          <w:trHeight w:val="27"/>
        </w:trPr>
        <w:tc>
          <w:tcPr>
            <w:tcW w:w="590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Federal</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w:t>
            </w:r>
          </w:p>
        </w:tc>
      </w:tr>
      <w:tr>
        <w:trPr>
          <w:trHeight w:val="243"/>
        </w:trPr>
        <w:tc>
          <w:tcPr>
            <w:tcW w:w="59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State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7"/>
        </w:trPr>
        <w:tc>
          <w:tcPr>
            <w:tcW w:w="590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Foreign</w:t>
            </w:r>
          </w:p>
        </w:tc>
        <w:tc>
          <w:tcPr>
            <w:tcW w:w="4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deferred</w:t>
            </w:r>
          </w:p>
        </w:tc>
        <w:tc>
          <w:tcPr>
            <w:tcW w:w="4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(18,381)</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(9,863)</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(9,462)</w:t>
            </w:r>
          </w:p>
        </w:tc>
      </w:tr>
      <w:tr>
        <w:trPr>
          <w:trHeight w:val="27"/>
        </w:trPr>
        <w:tc>
          <w:tcPr>
            <w:tcW w:w="54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31,668</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38,160</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29,581</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provision for income taxes differs from the amount computed by applying the statutory federal income tax rate as follows ($ amounts in 000’s):</w:t>
      </w:r>
    </w:p>
    <w:p>
      <w:pPr>
        <w:spacing w:after="0" w:line="199"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6"/>
          <w:szCs w:val="16"/>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38735</wp:posOffset>
            </wp:positionV>
            <wp:extent cx="3035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80" w:lineRule="exact"/>
        <w:rPr>
          <w:sz w:val="20"/>
          <w:szCs w:val="20"/>
          <w:color w:val="auto"/>
        </w:rPr>
      </w:pPr>
    </w:p>
    <w:tbl>
      <w:tblPr>
        <w:tblLayout w:type="fixed"/>
        <w:tblInd w:w="620" w:type="dxa"/>
        <w:tblCellMar>
          <w:top w:w="0" w:type="dxa"/>
          <w:left w:w="0" w:type="dxa"/>
          <w:bottom w:w="0" w:type="dxa"/>
          <w:right w:w="0" w:type="dxa"/>
        </w:tblCellMar>
      </w:tblPr>
      <w:tr>
        <w:trPr>
          <w:trHeight w:val="212"/>
        </w:trPr>
        <w:tc>
          <w:tcPr>
            <w:tcW w:w="6340" w:type="dxa"/>
            <w:vAlign w:val="bottom"/>
            <w:gridSpan w:val="2"/>
          </w:tcPr>
          <w:p>
            <w:pPr>
              <w:ind w:left="6020"/>
              <w:spacing w:after="0"/>
              <w:rPr>
                <w:sz w:val="20"/>
                <w:szCs w:val="20"/>
                <w:color w:val="auto"/>
              </w:rPr>
            </w:pPr>
            <w:r>
              <w:rPr>
                <w:rFonts w:ascii="Times New Roman" w:cs="Times New Roman" w:eastAsia="Times New Roman" w:hAnsi="Times New Roman"/>
                <w:sz w:val="16"/>
                <w:szCs w:val="16"/>
                <w:b w:val="1"/>
                <w:bCs w:val="1"/>
                <w:color w:val="auto"/>
                <w:w w:val="93"/>
              </w:rPr>
              <w:t>2013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18"/>
                <w:szCs w:val="18"/>
                <w:color w:val="auto"/>
              </w:rPr>
            </w:pPr>
          </w:p>
        </w:tc>
        <w:tc>
          <w:tcPr>
            <w:tcW w:w="152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2011</w:t>
            </w:r>
          </w:p>
        </w:tc>
      </w:tr>
      <w:tr>
        <w:trPr>
          <w:trHeight w:val="33"/>
        </w:trPr>
        <w:tc>
          <w:tcPr>
            <w:tcW w:w="54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at federal statutory tax rate</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26,579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36,749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32,225</w:t>
            </w:r>
          </w:p>
        </w:tc>
      </w:tr>
      <w:tr>
        <w:trPr>
          <w:trHeight w:val="243"/>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2,222</w:t>
            </w:r>
          </w:p>
        </w:tc>
      </w:tr>
      <w:tr>
        <w:trPr>
          <w:trHeight w:val="27"/>
        </w:trPr>
        <w:tc>
          <w:tcPr>
            <w:tcW w:w="5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taxes—net of federal benefit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243"/>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Domestic production activities deduction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7"/>
        </w:trPr>
        <w:tc>
          <w:tcPr>
            <w:tcW w:w="5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43"/>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income taxed at different rates</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6,672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7"/>
        </w:trPr>
        <w:tc>
          <w:tcPr>
            <w:tcW w:w="5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57"/>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92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31,668</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38,160</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29,581</w:t>
            </w:r>
          </w:p>
        </w:tc>
      </w:tr>
      <w:tr>
        <w:trPr>
          <w:trHeight w:val="20"/>
        </w:trPr>
        <w:tc>
          <w:tcPr>
            <w:tcW w:w="5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Significant permanent differences arise from the portion of stock-based compensation expense that is not expected to generate a tax deduction, such as stock-based compensation expense on stock option grants to certain foreign employees, offset by the actual tax benefits in the current periods from disqualifying dispositions of shares held by our U.S. employees. For stock options exercised by our U.S. employees, we receive an income tax benefit calculated as the difference between the fair market value of the stock issued at the time of the exercise and the option price, tax effected. Due to this, our income taxes payable have been reduced by the tax benefits from employee stock plan awards. The income tax benefits for fiscal 2013, 2012, and 2011 associated with dispositions from employee stock transactions of $3.5 million, $14.3 million, and $26.2 million, respectively, were recognized as additional paid-in capital.</w:t>
      </w:r>
    </w:p>
    <w:p>
      <w:pPr>
        <w:sectPr>
          <w:pgSz w:w="11900" w:h="16838" w:orient="portrait"/>
          <w:cols w:equalWidth="0" w:num="1">
            <w:col w:w="11320"/>
          </w:cols>
          <w:pgMar w:left="24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20"/>
          </w:cols>
          <w:pgMar w:left="240" w:top="121" w:right="339" w:bottom="1440" w:gutter="0" w:footer="0" w:header="0"/>
          <w:type w:val="continuous"/>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2013, we did not recognize California tax credits relating to excess tax benefits for stock-based compensation expense of $3.5 million. Unrecognized excess tax benefits will be accounted for as a credit to additional paid-in capital when realized through a reduction in income taxes payable.</w:t>
      </w:r>
    </w:p>
    <w:p>
      <w:pPr>
        <w:spacing w:after="0" w:line="17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as of the years ended are presented below ($ amount in 000’s):</w:t>
      </w:r>
    </w:p>
    <w:p>
      <w:pPr>
        <w:spacing w:after="0" w:line="299" w:lineRule="exact"/>
        <w:rPr>
          <w:sz w:val="20"/>
          <w:szCs w:val="20"/>
          <w:color w:val="auto"/>
        </w:rPr>
      </w:pPr>
    </w:p>
    <w:tbl>
      <w:tblPr>
        <w:tblLayout w:type="fixed"/>
        <w:tblInd w:w="130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17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540" w:type="dxa"/>
            <w:vAlign w:val="bottom"/>
          </w:tcPr>
          <w:p>
            <w:pPr>
              <w:spacing w:after="0"/>
              <w:rPr>
                <w:sz w:val="18"/>
                <w:szCs w:val="18"/>
                <w:color w:val="auto"/>
              </w:rPr>
            </w:pPr>
          </w:p>
        </w:tc>
        <w:tc>
          <w:tcPr>
            <w:tcW w:w="160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8"/>
                <w:szCs w:val="18"/>
                <w:color w:val="auto"/>
              </w:rPr>
            </w:pPr>
          </w:p>
        </w:tc>
        <w:tc>
          <w:tcPr>
            <w:tcW w:w="158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2012</w:t>
            </w:r>
          </w:p>
        </w:tc>
      </w:tr>
      <w:tr>
        <w:trPr>
          <w:trHeight w:val="33"/>
        </w:trPr>
        <w:tc>
          <w:tcPr>
            <w:tcW w:w="55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2,183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7"/>
        </w:trPr>
        <w:tc>
          <w:tcPr>
            <w:tcW w:w="5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47,341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36,438</w:t>
            </w:r>
          </w:p>
        </w:tc>
      </w:tr>
      <w:tr>
        <w:trPr>
          <w:trHeight w:val="243"/>
        </w:trPr>
        <w:tc>
          <w:tcPr>
            <w:tcW w:w="5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Nondeductible reserves and accruals</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16,055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13,437</w:t>
            </w:r>
          </w:p>
        </w:tc>
      </w:tr>
      <w:tr>
        <w:trPr>
          <w:trHeight w:val="27"/>
        </w:trPr>
        <w:tc>
          <w:tcPr>
            <w:tcW w:w="5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43"/>
        </w:trPr>
        <w:tc>
          <w:tcPr>
            <w:tcW w:w="5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General business credit carryforward</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7"/>
        </w:trPr>
        <w:tc>
          <w:tcPr>
            <w:tcW w:w="5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15,468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w:t>
            </w:r>
          </w:p>
        </w:tc>
      </w:tr>
      <w:tr>
        <w:trPr>
          <w:trHeight w:val="243"/>
        </w:trPr>
        <w:tc>
          <w:tcPr>
            <w:tcW w:w="55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55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5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81,038</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62,188</w:t>
            </w:r>
          </w:p>
        </w:tc>
      </w:tr>
      <w:tr>
        <w:trPr>
          <w:trHeight w:val="20"/>
        </w:trPr>
        <w:tc>
          <w:tcPr>
            <w:tcW w:w="55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assessing the realizability of deferred tax assets, we considered whether it is more likely than not that some portion or all of our deferred tax assets will be realized. This realization is dependent upon the generation of future taxable income during the periods in which those temporary differences become deductible. We concluded that it is more likely than not that we would be able to realize the benefits of our deferred tax assets in the future.</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2013, we had foreign net operating loss carryforwards of $21.7 million. The foreign net operating losses carry forward indefinitely. As of December 31, 2013, we had state tax credit carryforwards of $4.2 million available to offset our future state taxes. The state credits carry forward indefinitely.</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policy with respect to undistributed foreign subsidiaries’ earnings is to consider those earnings to be indefinitely reinvested and, accordingly, no related provision of U.S. federal and state income taxes has been provided on such earnings. Upon distribution of those earnings in the form of dividends or otherwise, we would be subject to both U.S. income taxes (subject to an adjustment for foreign tax credits) and withholding taxes in the various foreign countries. As of December 31, 2013, we have not recorded U.S. income tax on $27.5 million of foreign earnings that are deemed to be permanently reinvested overseas.</w:t>
      </w:r>
    </w:p>
    <w:p>
      <w:pPr>
        <w:spacing w:after="0" w:line="18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operate under a tax incentive agreement in Singapore, which is effective through December 31, 2023, and may be extended if certain additional requirements are satisfied. The tax incentive agreement is conditional upon our meeting certain employment and investment thresholds. We did not realize any tax savings from the Singapore tax incentives in fiscal 2013 because of net tax losses in that jurisdiction.</w:t>
      </w:r>
    </w:p>
    <w:p>
      <w:pPr>
        <w:spacing w:after="0" w:line="17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2013, we had $29.6 million of unrecognized tax benefits, of which, if recognized, $29.2 million would favorably affect our effective tax rate. Our policy is to include accrued interest and penalties related to uncertain tax benefits in income tax expense. As of December 31, 2013, 2012 and 2011, accrued interest and penalties were $1.0 million, $1.5 million, and $0.6 million,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aggregate changes in the balance of unrecognized tax benefits are as follows ($ amounts in 000’s):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6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460" w:type="dxa"/>
            <w:vAlign w:val="bottom"/>
          </w:tcPr>
          <w:p>
            <w:pPr>
              <w:spacing w:after="0"/>
              <w:rPr>
                <w:sz w:val="18"/>
                <w:szCs w:val="18"/>
                <w:color w:val="auto"/>
              </w:rPr>
            </w:pPr>
          </w:p>
        </w:tc>
      </w:tr>
      <w:tr>
        <w:trPr>
          <w:trHeight w:val="33"/>
        </w:trPr>
        <w:tc>
          <w:tcPr>
            <w:tcW w:w="66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6660" w:type="dxa"/>
            <w:vAlign w:val="bottom"/>
          </w:tcPr>
          <w:p>
            <w:pPr>
              <w:spacing w:after="0"/>
              <w:rPr>
                <w:sz w:val="20"/>
                <w:szCs w:val="20"/>
                <w:color w:val="auto"/>
              </w:rPr>
            </w:pPr>
          </w:p>
        </w:tc>
        <w:tc>
          <w:tcPr>
            <w:tcW w:w="150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146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20"/>
                <w:szCs w:val="20"/>
                <w:color w:val="auto"/>
              </w:rPr>
            </w:pPr>
          </w:p>
        </w:tc>
        <w:tc>
          <w:tcPr>
            <w:tcW w:w="146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2011</w:t>
            </w:r>
          </w:p>
        </w:tc>
      </w:tr>
      <w:tr>
        <w:trPr>
          <w:trHeight w:val="33"/>
        </w:trPr>
        <w:tc>
          <w:tcPr>
            <w:tcW w:w="6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beginning of year</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27,808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19,269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12,083</w:t>
            </w:r>
          </w:p>
        </w:tc>
      </w:tr>
      <w:tr>
        <w:trPr>
          <w:trHeight w:val="243"/>
        </w:trPr>
        <w:tc>
          <w:tcPr>
            <w:tcW w:w="6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Gross increases for tax positions related to the current year</w:t>
            </w:r>
          </w:p>
        </w:tc>
        <w:tc>
          <w:tcPr>
            <w:tcW w:w="1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4,713</w:t>
            </w:r>
          </w:p>
        </w:tc>
        <w:tc>
          <w:tcPr>
            <w:tcW w:w="10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7,550</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9,049</w:t>
            </w:r>
          </w:p>
        </w:tc>
      </w:tr>
      <w:tr>
        <w:trPr>
          <w:trHeight w:val="27"/>
        </w:trPr>
        <w:tc>
          <w:tcPr>
            <w:tcW w:w="6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increases for tax positions related to the prior year</w:t>
            </w:r>
          </w:p>
        </w:tc>
        <w:tc>
          <w:tcPr>
            <w:tcW w:w="15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Gross decreases for tax positions related to the prior year</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r>
      <w:tr>
        <w:trPr>
          <w:trHeight w:val="27"/>
        </w:trPr>
        <w:tc>
          <w:tcPr>
            <w:tcW w:w="6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end of year</w:t>
            </w:r>
          </w:p>
        </w:tc>
        <w:tc>
          <w:tcPr>
            <w:tcW w:w="15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29,604</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27,808</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19,269</w:t>
            </w:r>
          </w:p>
        </w:tc>
      </w:tr>
      <w:tr>
        <w:trPr>
          <w:trHeight w:val="20"/>
        </w:trPr>
        <w:tc>
          <w:tcPr>
            <w:tcW w:w="6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2013, 2012 and 2011, $30.2 million, $28.8 million, and $19.1 million, respectively, of the amounts reflected above were recorded as Income taxes payable—non-current in our consolidated balance sheet.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2013, there was no unrecognized tax benefits that we expect would change significantly over the next 12 months.</w:t>
      </w:r>
    </w:p>
    <w:p>
      <w:pPr>
        <w:spacing w:after="0" w:line="225"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various U.S. state and foreign jurisdictions. As we have net operating loss carryforwards for the state jurisdictions, the statute of limitations is open for all tax years. Additionally, we have foreign net operating losses that have an indefinite life. Generally, we are no longer subject to non-U.S. income tax examinations by tax authorities for tax years prior to 2007.</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During January 2013, the U.S. Federal Research and Development Tax Credit was reinstated retroactively to fiscal 2012. The U.S. Federal Research and Development Tax Credit benefit was recorded in the first quarter of fiscal 2013, the period of enactment. The State of California has been conducting an audit of our state income tax returns for fiscal 2010 and fiscal 2011. We do not expect this audit to have a significant detrimental effect on our income tax liability nor have a material impact on our results of operations.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September 13, 2013, the U.S. Treasury Department released final income tax regulations on the deduction and capitalization of expenditures related to tangible property. These final regulations apply to tax years beginning on or after January 1, 2014. Several of the provisions within the regulations will require a tax accounting method change to be filed with the IRS, resulting in a cumulative effect adjustment; however, we do not anticipate the impact of these changes to be material to our consolidated financial position, consolidated results of operations, or both.</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EMPLOYEE BENEFIT PLAN</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Tax-deferred savings plan under our 401(k) Plan, participating employees may defer a portion of their pre-tax earnings, up to the IRS annual contribution limit. In Canada, we have a Group Registered Retirement Savings Plan program (the “RRSP”) which permits participants to make tax deductible contributions up to the maximum contribution limits under the Income Tax Act. Our board of directors approved 50% matching contributions on employee contributions up to 4% of each employee’s eligible earnings. Our matching contributions to the 401(k) Plans and RRSP for fiscal 2013, 2012, and 2011 were $2.1 million, $1.8 million, and $1.5 million, respectively.</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5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 by geographic region is based on the billing address of the customer. The following tables set forth revenue and property and equipment by geographic region ($ amounts in 000’s):</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80"/>
          </w:cols>
          <w:pgMar w:left="240" w:top="121" w:right="27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6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Fiscal Year</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54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2012</w:t>
            </w:r>
          </w:p>
        </w:tc>
        <w:tc>
          <w:tcPr>
            <w:tcW w:w="1620" w:type="dxa"/>
            <w:vAlign w:val="bottom"/>
            <w:gridSpan w:val="2"/>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2011</w:t>
            </w:r>
          </w:p>
        </w:tc>
      </w:tr>
      <w:tr>
        <w:trPr>
          <w:trHeight w:val="48"/>
        </w:trPr>
        <w:tc>
          <w:tcPr>
            <w:tcW w:w="20" w:type="dxa"/>
            <w:vAlign w:val="bottom"/>
            <w:tcBorders>
              <w:bottom w:val="single" w:sz="8" w:color="CCEEFF"/>
            </w:tcBorders>
          </w:tcPr>
          <w:p>
            <w:pPr>
              <w:spacing w:after="0"/>
              <w:rPr>
                <w:sz w:val="4"/>
                <w:szCs w:val="4"/>
                <w:color w:val="auto"/>
              </w:rPr>
            </w:pPr>
          </w:p>
        </w:tc>
        <w:tc>
          <w:tcPr>
            <w:tcW w:w="600" w:type="dxa"/>
            <w:vAlign w:val="bottom"/>
            <w:tcBorders>
              <w:top w:val="single" w:sz="8" w:color="auto"/>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366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162,327</w:t>
            </w:r>
          </w:p>
        </w:tc>
        <w:tc>
          <w:tcPr>
            <w:tcW w:w="1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145,369</w:t>
            </w: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120,456</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Americas</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90,459</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71,687</w:t>
            </w:r>
          </w:p>
        </w:tc>
        <w:tc>
          <w:tcPr>
            <w:tcW w:w="16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52,038</w:t>
            </w:r>
          </w:p>
        </w:tc>
      </w:tr>
      <w:tr>
        <w:trPr>
          <w:trHeight w:val="237"/>
        </w:trPr>
        <w:tc>
          <w:tcPr>
            <w:tcW w:w="20" w:type="dxa"/>
            <w:vAlign w:val="bottom"/>
          </w:tcPr>
          <w:p>
            <w:pPr>
              <w:spacing w:after="0"/>
              <w:rPr>
                <w:sz w:val="20"/>
                <w:szCs w:val="20"/>
                <w:color w:val="auto"/>
              </w:rPr>
            </w:pPr>
          </w:p>
        </w:tc>
        <w:tc>
          <w:tcPr>
            <w:tcW w:w="5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 Americas</w:t>
            </w:r>
          </w:p>
        </w:tc>
        <w:tc>
          <w:tcPr>
            <w:tcW w:w="15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252,786</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217,056</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172,494</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208,979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184,175</w:t>
            </w:r>
          </w:p>
        </w:tc>
        <w:tc>
          <w:tcPr>
            <w:tcW w:w="16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152,385</w:t>
            </w:r>
          </w:p>
        </w:tc>
      </w:tr>
      <w:tr>
        <w:trPr>
          <w:trHeight w:val="243"/>
        </w:trPr>
        <w:tc>
          <w:tcPr>
            <w:tcW w:w="20" w:type="dxa"/>
            <w:vAlign w:val="bottom"/>
          </w:tcPr>
          <w:p>
            <w:pPr>
              <w:spacing w:after="0"/>
              <w:rPr>
                <w:sz w:val="21"/>
                <w:szCs w:val="21"/>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Asia Pacific and Japan ("APAC")</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153,532</w:t>
            </w:r>
          </w:p>
        </w:tc>
        <w:tc>
          <w:tcPr>
            <w:tcW w:w="1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132,408</w:t>
            </w: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108,697</w:t>
            </w:r>
          </w:p>
        </w:tc>
      </w:tr>
      <w:tr>
        <w:trPr>
          <w:trHeight w:val="27"/>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40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615,297</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533,639</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433,576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84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6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8"/>
        </w:trPr>
        <w:tc>
          <w:tcPr>
            <w:tcW w:w="20" w:type="dxa"/>
            <w:vAlign w:val="bottom"/>
          </w:tcPr>
          <w:p>
            <w:pPr>
              <w:spacing w:after="0"/>
              <w:rPr>
                <w:sz w:val="15"/>
                <w:szCs w:val="15"/>
                <w:color w:val="auto"/>
              </w:rPr>
            </w:pPr>
          </w:p>
        </w:tc>
        <w:tc>
          <w:tcPr>
            <w:tcW w:w="5400" w:type="dxa"/>
            <w:vAlign w:val="bottom"/>
            <w:gridSpan w:val="3"/>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Property and Equipment</w:t>
            </w:r>
          </w:p>
        </w:tc>
        <w:tc>
          <w:tcPr>
            <w:tcW w:w="1540" w:type="dxa"/>
            <w:vAlign w:val="bottom"/>
          </w:tcPr>
          <w:p>
            <w:pPr>
              <w:jc w:val="right"/>
              <w:ind w:right="532"/>
              <w:spacing w:after="0" w:line="178" w:lineRule="exact"/>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15"/>
                <w:szCs w:val="15"/>
                <w:color w:val="auto"/>
              </w:rPr>
            </w:pPr>
          </w:p>
        </w:tc>
        <w:tc>
          <w:tcPr>
            <w:tcW w:w="152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w w:val="99"/>
              </w:rPr>
              <w:t>2012</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600" w:type="dxa"/>
            <w:vAlign w:val="bottom"/>
            <w:tcBorders>
              <w:top w:val="single" w:sz="8" w:color="auto"/>
              <w:bottom w:val="single" w:sz="8" w:color="CCEEFF"/>
            </w:tcBorders>
          </w:tcPr>
          <w:p>
            <w:pPr>
              <w:spacing w:after="0"/>
              <w:rPr>
                <w:sz w:val="4"/>
                <w:szCs w:val="4"/>
                <w:color w:val="auto"/>
              </w:rPr>
            </w:pPr>
          </w:p>
        </w:tc>
        <w:tc>
          <w:tcPr>
            <w:tcW w:w="1140" w:type="dxa"/>
            <w:vAlign w:val="bottom"/>
            <w:tcBorders>
              <w:top w:val="single" w:sz="8" w:color="auto"/>
              <w:bottom w:val="single" w:sz="8" w:color="CCEEFF"/>
            </w:tcBorders>
          </w:tcPr>
          <w:p>
            <w:pPr>
              <w:spacing w:after="0"/>
              <w:rPr>
                <w:sz w:val="4"/>
                <w:szCs w:val="4"/>
                <w:color w:val="auto"/>
              </w:rPr>
            </w:pPr>
          </w:p>
        </w:tc>
        <w:tc>
          <w:tcPr>
            <w:tcW w:w="3660" w:type="dxa"/>
            <w:vAlign w:val="bottom"/>
            <w:tcBorders>
              <w:bottom w:val="single" w:sz="8" w:color="CCEEFF"/>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20" w:type="dxa"/>
            <w:vAlign w:val="bottom"/>
            <w:tcBorders>
              <w:bottom w:val="single" w:sz="8" w:color="CCEEFF"/>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Americas:</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29,334</w:t>
            </w:r>
          </w:p>
        </w:tc>
        <w:tc>
          <w:tcPr>
            <w:tcW w:w="1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18,764</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4,372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4,376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Other Americas</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Americas</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33,751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23,227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EMEA</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APAC</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54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Total property and equipment—net</w:t>
            </w:r>
          </w:p>
        </w:tc>
        <w:tc>
          <w:tcPr>
            <w:tcW w:w="15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36,652</w:t>
            </w:r>
          </w:p>
        </w:tc>
        <w:tc>
          <w:tcPr>
            <w:tcW w:w="10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25,638</w:t>
            </w: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balances of other comprehensive income for fiscal 2013 and 2012 ($ amounts in 000's):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4"/>
          </w:tcPr>
          <w:p>
            <w:pPr>
              <w:ind w:left="1000"/>
              <w:spacing w:after="0"/>
              <w:rPr>
                <w:sz w:val="20"/>
                <w:szCs w:val="20"/>
                <w:color w:val="auto"/>
              </w:rPr>
            </w:pPr>
            <w:r>
              <w:rPr>
                <w:rFonts w:ascii="Times New Roman" w:cs="Times New Roman" w:eastAsia="Times New Roman" w:hAnsi="Times New Roman"/>
                <w:sz w:val="16"/>
                <w:szCs w:val="16"/>
                <w:b w:val="1"/>
                <w:bCs w:val="1"/>
                <w:color w:val="auto"/>
              </w:rPr>
              <w:t>December 31, 2013</w:t>
            </w:r>
          </w:p>
        </w:tc>
        <w:tc>
          <w:tcPr>
            <w:tcW w:w="158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7"/>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Tax benefit or</w:t>
            </w:r>
          </w:p>
        </w:tc>
        <w:tc>
          <w:tcPr>
            <w:tcW w:w="1580" w:type="dxa"/>
            <w:vAlign w:val="bottom"/>
          </w:tcPr>
          <w:p>
            <w:pPr>
              <w:spacing w:after="0"/>
              <w:rPr>
                <w:sz w:val="18"/>
                <w:szCs w:val="18"/>
                <w:color w:val="auto"/>
              </w:rPr>
            </w:pPr>
          </w:p>
        </w:tc>
      </w:tr>
      <w:tr>
        <w:trPr>
          <w:trHeight w:val="203"/>
        </w:trPr>
        <w:tc>
          <w:tcPr>
            <w:tcW w:w="4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provision related to</w:t>
            </w:r>
          </w:p>
        </w:tc>
        <w:tc>
          <w:tcPr>
            <w:tcW w:w="15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items of other</w:t>
            </w:r>
          </w:p>
        </w:tc>
        <w:tc>
          <w:tcPr>
            <w:tcW w:w="15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Translation Gains and</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Unrealized Gains and</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580" w:type="dxa"/>
            <w:vAlign w:val="bottom"/>
          </w:tcPr>
          <w:p>
            <w:pPr>
              <w:spacing w:after="0"/>
              <w:rPr>
                <w:sz w:val="17"/>
                <w:szCs w:val="17"/>
                <w:color w:val="auto"/>
              </w:rPr>
            </w:pPr>
          </w:p>
        </w:tc>
      </w:tr>
      <w:tr>
        <w:trPr>
          <w:trHeight w:val="212"/>
        </w:trPr>
        <w:tc>
          <w:tcPr>
            <w:tcW w:w="470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Losses on Investments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or loss</w:t>
            </w:r>
          </w:p>
        </w:tc>
        <w:tc>
          <w:tcPr>
            <w:tcW w:w="158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1,755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3,091</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5"/>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61"/>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comprehensive income</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1,092</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160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4"/>
          </w:tcPr>
          <w:p>
            <w:pPr>
              <w:ind w:left="1000"/>
              <w:spacing w:after="0"/>
              <w:rPr>
                <w:sz w:val="20"/>
                <w:szCs w:val="20"/>
                <w:color w:val="auto"/>
              </w:rPr>
            </w:pPr>
            <w:r>
              <w:rPr>
                <w:rFonts w:ascii="Times New Roman" w:cs="Times New Roman" w:eastAsia="Times New Roman" w:hAnsi="Times New Roman"/>
                <w:sz w:val="16"/>
                <w:szCs w:val="16"/>
                <w:b w:val="1"/>
                <w:bCs w:val="1"/>
                <w:color w:val="auto"/>
              </w:rPr>
              <w:t>December 31, 2012</w:t>
            </w:r>
          </w:p>
        </w:tc>
        <w:tc>
          <w:tcPr>
            <w:tcW w:w="158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7"/>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Tax benefit or</w:t>
            </w:r>
          </w:p>
        </w:tc>
        <w:tc>
          <w:tcPr>
            <w:tcW w:w="1580" w:type="dxa"/>
            <w:vAlign w:val="bottom"/>
          </w:tcPr>
          <w:p>
            <w:pPr>
              <w:spacing w:after="0"/>
              <w:rPr>
                <w:sz w:val="18"/>
                <w:szCs w:val="18"/>
                <w:color w:val="auto"/>
              </w:rPr>
            </w:pPr>
          </w:p>
        </w:tc>
      </w:tr>
      <w:tr>
        <w:trPr>
          <w:trHeight w:val="203"/>
        </w:trPr>
        <w:tc>
          <w:tcPr>
            <w:tcW w:w="4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provision related to</w:t>
            </w:r>
          </w:p>
        </w:tc>
        <w:tc>
          <w:tcPr>
            <w:tcW w:w="15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items of other</w:t>
            </w:r>
          </w:p>
        </w:tc>
        <w:tc>
          <w:tcPr>
            <w:tcW w:w="158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Translation Gains and</w:t>
            </w: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Unrealized Gains and</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580" w:type="dxa"/>
            <w:vAlign w:val="bottom"/>
          </w:tcPr>
          <w:p>
            <w:pPr>
              <w:spacing w:after="0"/>
              <w:rPr>
                <w:sz w:val="17"/>
                <w:szCs w:val="17"/>
                <w:color w:val="auto"/>
              </w:rPr>
            </w:pPr>
          </w:p>
        </w:tc>
      </w:tr>
      <w:tr>
        <w:trPr>
          <w:trHeight w:val="212"/>
        </w:trPr>
        <w:tc>
          <w:tcPr>
            <w:tcW w:w="470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Losses on Investments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or loss</w:t>
            </w:r>
          </w:p>
        </w:tc>
        <w:tc>
          <w:tcPr>
            <w:tcW w:w="1580" w:type="dxa"/>
            <w:vAlign w:val="bottom"/>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w:t>
            </w: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6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21"/>
                <w:szCs w:val="21"/>
                <w:color w:val="auto"/>
              </w:rPr>
            </w:pPr>
          </w:p>
        </w:tc>
        <w:tc>
          <w:tcPr>
            <w:tcW w:w="16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3,380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2,721</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5"/>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61"/>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comprehensive income</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16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20"/>
                <w:szCs w:val="20"/>
                <w:color w:val="auto"/>
              </w:rPr>
            </w:pPr>
          </w:p>
        </w:tc>
        <w:tc>
          <w:tcPr>
            <w:tcW w:w="16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3,331</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2,689</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16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1,755</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3,091</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details about the reclassification out of accumulated other comprehensive income for fiscal 2013 and 2012 ($ amounts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000s):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b w:val="1"/>
          <w:bCs w:val="1"/>
          <w:color w:val="auto"/>
        </w:rPr>
        <w:t>Details about Accumulated Other Comprehensive Income Components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6"/>
          <w:szCs w:val="16"/>
          <w:b w:val="1"/>
          <w:bCs w:val="1"/>
          <w:color w:val="auto"/>
        </w:rPr>
        <w:t>Amount Reclassified from Accumulated Other Comprehensive Income</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center"/>
        <w:ind w:right="80"/>
        <w:spacing w:after="0" w:line="292" w:lineRule="auto"/>
        <w:rPr>
          <w:sz w:val="20"/>
          <w:szCs w:val="20"/>
          <w:color w:val="auto"/>
        </w:rPr>
      </w:pPr>
      <w:r>
        <w:rPr>
          <w:rFonts w:ascii="Times New Roman" w:cs="Times New Roman" w:eastAsia="Times New Roman" w:hAnsi="Times New Roman"/>
          <w:sz w:val="16"/>
          <w:szCs w:val="16"/>
          <w:b w:val="1"/>
          <w:bCs w:val="1"/>
          <w:color w:val="auto"/>
        </w:rPr>
        <w:t>Affected Line Item in the Statement Where Net Income is Presented</w:t>
      </w:r>
    </w:p>
    <w:p>
      <w:pPr>
        <w:spacing w:after="0" w:line="1" w:lineRule="exact"/>
        <w:rPr>
          <w:sz w:val="20"/>
          <w:szCs w:val="20"/>
          <w:color w:val="auto"/>
        </w:rPr>
      </w:pPr>
    </w:p>
    <w:p>
      <w:pPr>
        <w:sectPr>
          <w:pgSz w:w="11900" w:h="16838" w:orient="portrait"/>
          <w:cols w:equalWidth="0" w:num="3">
            <w:col w:w="5980" w:space="720"/>
            <w:col w:w="1820" w:space="360"/>
            <w:col w:w="254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6400" w:type="dxa"/>
            <w:vAlign w:val="bottom"/>
            <w:tcBorders>
              <w:top w:val="single" w:sz="8" w:color="auto"/>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0" w:type="dxa"/>
            <w:vAlign w:val="bottom"/>
          </w:tcPr>
          <w:p>
            <w:pPr>
              <w:spacing w:after="0"/>
              <w:rPr>
                <w:sz w:val="1"/>
                <w:szCs w:val="1"/>
                <w:color w:val="auto"/>
              </w:rPr>
            </w:pPr>
          </w:p>
        </w:tc>
      </w:tr>
      <w:tr>
        <w:trPr>
          <w:trHeight w:val="243"/>
        </w:trPr>
        <w:tc>
          <w:tcPr>
            <w:tcW w:w="6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Tax provision related to items of other comprehensive income or loss</w:t>
            </w:r>
          </w:p>
        </w:tc>
        <w:tc>
          <w:tcPr>
            <w:tcW w:w="2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reclassification for the period</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ind w:left="5060"/>
              <w:spacing w:after="0"/>
              <w:rPr>
                <w:sz w:val="20"/>
                <w:szCs w:val="20"/>
                <w:color w:val="auto"/>
              </w:rPr>
            </w:pPr>
            <w:r>
              <w:rPr>
                <w:rFonts w:ascii="Times New Roman" w:cs="Times New Roman" w:eastAsia="Times New Roman" w:hAnsi="Times New Roman"/>
                <w:sz w:val="16"/>
                <w:szCs w:val="16"/>
                <w:b w:val="1"/>
                <w:bCs w:val="1"/>
                <w:color w:val="auto"/>
              </w:rPr>
              <w:t>December 31, 2012</w:t>
            </w: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654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Reclassified from</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00" w:type="dxa"/>
            <w:vAlign w:val="bottom"/>
          </w:tcPr>
          <w:p>
            <w:pPr>
              <w:spacing w:after="0"/>
              <w:rPr>
                <w:sz w:val="17"/>
                <w:szCs w:val="17"/>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Affected Line Item in the Statement</w:t>
            </w:r>
          </w:p>
        </w:tc>
        <w:tc>
          <w:tcPr>
            <w:tcW w:w="0" w:type="dxa"/>
            <w:vAlign w:val="bottom"/>
          </w:tcPr>
          <w:p>
            <w:pPr>
              <w:spacing w:after="0"/>
              <w:rPr>
                <w:sz w:val="1"/>
                <w:szCs w:val="1"/>
                <w:color w:val="auto"/>
              </w:rPr>
            </w:pPr>
          </w:p>
        </w:tc>
      </w:tr>
      <w:tr>
        <w:trPr>
          <w:trHeight w:val="212"/>
        </w:trPr>
        <w:tc>
          <w:tcPr>
            <w:tcW w:w="6540" w:type="dxa"/>
            <w:vAlign w:val="bottom"/>
            <w:gridSpan w:val="2"/>
          </w:tcPr>
          <w:p>
            <w:pPr>
              <w:ind w:left="760"/>
              <w:spacing w:after="0"/>
              <w:rPr>
                <w:sz w:val="20"/>
                <w:szCs w:val="20"/>
                <w:color w:val="auto"/>
              </w:rPr>
            </w:pPr>
            <w:r>
              <w:rPr>
                <w:rFonts w:ascii="Times New Roman" w:cs="Times New Roman" w:eastAsia="Times New Roman" w:hAnsi="Times New Roman"/>
                <w:sz w:val="16"/>
                <w:szCs w:val="16"/>
                <w:b w:val="1"/>
                <w:bCs w:val="1"/>
                <w:color w:val="auto"/>
              </w:rPr>
              <w:t>Details about Accumulated Other Comprehensive Income Components</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00" w:type="dxa"/>
            <w:vAlign w:val="bottom"/>
          </w:tcPr>
          <w:p>
            <w:pPr>
              <w:spacing w:after="0"/>
              <w:rPr>
                <w:sz w:val="18"/>
                <w:szCs w:val="18"/>
                <w:color w:val="auto"/>
              </w:rPr>
            </w:pPr>
          </w:p>
        </w:tc>
        <w:tc>
          <w:tcPr>
            <w:tcW w:w="26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Where Net Income is Presented</w:t>
            </w:r>
          </w:p>
        </w:tc>
        <w:tc>
          <w:tcPr>
            <w:tcW w:w="0" w:type="dxa"/>
            <w:vAlign w:val="bottom"/>
          </w:tcPr>
          <w:p>
            <w:pPr>
              <w:spacing w:after="0"/>
              <w:rPr>
                <w:sz w:val="1"/>
                <w:szCs w:val="1"/>
                <w:color w:val="auto"/>
              </w:rPr>
            </w:pPr>
          </w:p>
        </w:tc>
      </w:tr>
      <w:tr>
        <w:trPr>
          <w:trHeight w:val="33"/>
        </w:trPr>
        <w:tc>
          <w:tcPr>
            <w:tcW w:w="6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0" w:type="dxa"/>
            <w:vAlign w:val="bottom"/>
          </w:tcPr>
          <w:p>
            <w:pPr>
              <w:spacing w:after="0"/>
              <w:rPr>
                <w:sz w:val="1"/>
                <w:szCs w:val="1"/>
                <w:color w:val="auto"/>
              </w:rPr>
            </w:pPr>
          </w:p>
        </w:tc>
      </w:tr>
      <w:tr>
        <w:trPr>
          <w:trHeight w:val="243"/>
        </w:trPr>
        <w:tc>
          <w:tcPr>
            <w:tcW w:w="6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Tax provision related to items of other comprehensive income or loss</w:t>
            </w:r>
          </w:p>
        </w:tc>
        <w:tc>
          <w:tcPr>
            <w:tcW w:w="2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gridSpan w:val="2"/>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reclassification for the period</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w:t>
      </w:r>
    </w:p>
    <w:p>
      <w:pPr>
        <w:spacing w:after="0" w:line="94"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In January 2014, we entered into an agreement with Palo Alto Networks, Inc. (“Palo Alto Networks”), whereby Palo Alto Networks paid us a lump sum payment of $20.0 million for a six year mutual covenant-not-to-sue which precludes either party from asserting claims of patent infringement against the other party. The agreement also contained a release of past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121" w:right="239" w:bottom="1440" w:gutter="0" w:footer="0" w:header="0"/>
          <w:type w:val="continuous"/>
        </w:sectPr>
      </w:pPr>
    </w:p>
    <w:bookmarkStart w:id="94" w:name="page95"/>
    <w:bookmarkEnd w:id="9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the end of the period covered by this Annual Report on Form 10-K.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our disclosure controls and procedures were effective as of December 31, 2013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Report on Internal Control Over Financial Reporting</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 13a-15(f) and 15d-15(f) under the Exchange Act. Management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Control—Integrated Framework (1992)</w:t>
      </w:r>
      <w:r>
        <w:rPr>
          <w:rFonts w:ascii="Times New Roman" w:cs="Times New Roman" w:eastAsia="Times New Roman" w:hAnsi="Times New Roman"/>
          <w:sz w:val="18"/>
          <w:szCs w:val="18"/>
          <w:color w:val="auto"/>
        </w:rPr>
        <w:t xml:space="preserve"> issued by the Committee of Sponsoring Organizations of the Treadway Commission. Based on this evaluation, management concluded that our internal control over financial reporting was effective as of December 31, 2013. Management reviewed the results of its assessment with our Audit Committee. The effectiveness of our internal control over financial reporting as of December 31, 2013 has been audited by Deloitte &amp; Touche LLP, an independent registered public accounting firm, as stated in its report, which appears in this Item under the heading “Report of Independent Registered Public Accounting Firm.”</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or 15d-15(f) under the Exchange Act) during our fourth quarter of fiscal 2013 that have materially affected, or are reasonably likely to materially affect, our internal control over financial reporting.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118" w:right="239" w:bottom="1440" w:gutter="0" w:footer="0" w:header="0"/>
        </w:sectPr>
      </w:pPr>
    </w:p>
    <w:bookmarkStart w:id="95" w:name="page96"/>
    <w:bookmarkEnd w:id="9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Fortinet,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Sunnyvale, California</w:t>
      </w:r>
    </w:p>
    <w:p>
      <w:pPr>
        <w:spacing w:after="0" w:line="200" w:lineRule="exact"/>
        <w:rPr>
          <w:sz w:val="20"/>
          <w:szCs w:val="20"/>
          <w:color w:val="auto"/>
        </w:rPr>
      </w:pPr>
    </w:p>
    <w:p>
      <w:pPr>
        <w:spacing w:after="0" w:line="22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Fortinet, Inc. and subsidiaries (collectively, the “Company”) as of December 31, 2013, based on criteria established in </w:t>
      </w:r>
      <w:r>
        <w:rPr>
          <w:rFonts w:ascii="Times New Roman" w:cs="Times New Roman" w:eastAsia="Times New Roman" w:hAnsi="Times New Roman"/>
          <w:sz w:val="18"/>
          <w:szCs w:val="18"/>
          <w:i w:val="1"/>
          <w:iCs w:val="1"/>
          <w:color w:val="auto"/>
        </w:rPr>
        <w:t>Internal Control - Integrated Framework (1992)</w:t>
      </w:r>
      <w:r>
        <w:rPr>
          <w:rFonts w:ascii="Times New Roman" w:cs="Times New Roman" w:eastAsia="Times New Roman" w:hAnsi="Times New Roman"/>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our opinion, the Company maintained, in all material respects, effective internal control over financial reporting as of December 31, 2013, based on the criteria established in </w:t>
      </w:r>
      <w:r>
        <w:rPr>
          <w:rFonts w:ascii="Times New Roman" w:cs="Times New Roman" w:eastAsia="Times New Roman" w:hAnsi="Times New Roman"/>
          <w:sz w:val="18"/>
          <w:szCs w:val="18"/>
          <w:i w:val="1"/>
          <w:iCs w:val="1"/>
          <w:color w:val="auto"/>
        </w:rPr>
        <w:t>Internal Control - Integrated Framework (1992)</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76" w:lineRule="exact"/>
        <w:rPr>
          <w:sz w:val="20"/>
          <w:szCs w:val="20"/>
          <w:color w:val="auto"/>
        </w:rPr>
      </w:pPr>
    </w:p>
    <w:p>
      <w:pPr>
        <w:ind w:right="520" w:firstLine="648"/>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consolidated financial statements and consolidated financial statement schedule listed in the Index at Item 15 as of and for the year ended December 31, 2013, of the Company and our report dated February 27, 2014 expressed an unqualified opinion on those consolidated financial statements and financial statement schedule.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118" w:right="239" w:bottom="1440" w:gutter="0" w:footer="0" w:header="0"/>
        </w:sectPr>
      </w:pPr>
    </w:p>
    <w:bookmarkStart w:id="96" w:name="page97"/>
    <w:bookmarkEnd w:id="9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2014 Annual Meeting of Stockholders to be filed with the SEC within 120 days after the end of the fiscal year covered by this Annual Report on Form 10-K.</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part of our system of corporate governance, our board of directors has adopted a code of business conduct and ethics. The code applies to all of our employees, officers (including our principal executive officer, principal financial officer, principal accounting officer or controller, or persons performing similar functions), agents and representatives, including our independent directors and consultants, who are not our employees, with regard to their Fortinet-related activities. Our code of business conduct and ethics is available on our website at www.fortinet.com under “About Us—Investor Relations—Corporate Governance.” We will post on this section of our website any amendment to our code of business conduct and ethics, as well as any waivers of our code of business conduct and ethics, that are required to be disclosed by the rules of the SEC or the NASDAQ Stock Market.</w:t>
      </w:r>
    </w:p>
    <w:p>
      <w:pPr>
        <w:spacing w:after="0" w:line="18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2014 Annual Meeting of Stockholders to be filed with the SEC within 120 days after the end of the fiscal year covered by this Annual Report on Form 10-K.</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2014 Annual Meeting of Stockholders to be filed with the SEC within 120 days after the end of the fiscal year covered by this Annual Report on Form 10-K.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2014 Annual Meeting of Stockholders to be filed with the SEC within 120 days after the end of the fiscal year covered by this Annual Report on Form 10-K.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tab/>
        <w:t>Principal Accounting Fees and Services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definitive proxy statement with respect to our 2014 Annual Meeting of Stockholders to be filed with the SEC within 120 days after the end of the fiscal year covered by this Annual Report on Form 10-K.</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360"/>
          </w:cols>
          <w:pgMar w:left="240" w:top="118" w:right="299" w:bottom="1440" w:gutter="0" w:footer="0" w:header="0"/>
        </w:sectPr>
      </w:pPr>
    </w:p>
    <w:bookmarkStart w:id="97" w:name="page98"/>
    <w:bookmarkEnd w:id="9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 on Form 10-K:</w:t>
      </w:r>
    </w:p>
    <w:p>
      <w:pPr>
        <w:spacing w:after="0" w:line="223" w:lineRule="exact"/>
        <w:rPr>
          <w:sz w:val="20"/>
          <w:szCs w:val="20"/>
          <w:color w:val="auto"/>
        </w:rPr>
      </w:pPr>
    </w:p>
    <w:p>
      <w:pPr>
        <w:ind w:left="1300" w:right="260" w:hanging="644"/>
        <w:spacing w:after="0" w:line="267"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information concerning Fortinet’s financial statements and the Report of Independent Registered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Firm required by this Item 15(a)(1) is incorporated by reference herein to the section of this Annual Report on Form 10-K in Part II, Item 8, titled “Financial Statements and Supplementary Data.”</w:t>
      </w:r>
    </w:p>
    <w:p>
      <w:pPr>
        <w:spacing w:after="0" w:line="17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w:t>
      </w:r>
      <w:r>
        <w:rPr>
          <w:rFonts w:ascii="Times New Roman" w:cs="Times New Roman" w:eastAsia="Times New Roman" w:hAnsi="Times New Roman"/>
          <w:sz w:val="18"/>
          <w:szCs w:val="18"/>
          <w:color w:val="auto"/>
        </w:rPr>
        <w:t>: The following financial statement schedule of Fortinet, Inc., for the fiscal years ended December 31,</w:t>
      </w:r>
    </w:p>
    <w:p>
      <w:pPr>
        <w:spacing w:after="0" w:line="29" w:lineRule="exact"/>
        <w:rPr>
          <w:rFonts w:ascii="Times New Roman" w:cs="Times New Roman" w:eastAsia="Times New Roman" w:hAnsi="Times New Roman"/>
          <w:sz w:val="18"/>
          <w:szCs w:val="18"/>
          <w:color w:val="auto"/>
        </w:rPr>
      </w:pPr>
    </w:p>
    <w:p>
      <w:pPr>
        <w:ind w:left="1300" w:right="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2013, 2012 and 2011, is filed as part of this Annual Report on Form 10-K and should be read in conjunction with our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178"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6"/>
          <w:szCs w:val="16"/>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38735</wp:posOffset>
            </wp:positionV>
            <wp:extent cx="31813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gridSpan w:val="2"/>
          </w:tcPr>
          <w:p>
            <w:pPr>
              <w:ind w:left="7060"/>
              <w:spacing w:after="0"/>
              <w:rPr>
                <w:sz w:val="20"/>
                <w:szCs w:val="20"/>
                <w:color w:val="auto"/>
              </w:rPr>
            </w:pPr>
            <w:r>
              <w:rPr>
                <w:rFonts w:ascii="Times New Roman" w:cs="Times New Roman" w:eastAsia="Times New Roman" w:hAnsi="Times New Roman"/>
                <w:sz w:val="16"/>
                <w:szCs w:val="16"/>
                <w:b w:val="1"/>
                <w:bCs w:val="1"/>
                <w:color w:val="auto"/>
              </w:rPr>
              <w:t>2013</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18"/>
                <w:szCs w:val="18"/>
                <w:color w:val="auto"/>
              </w:rPr>
            </w:pPr>
          </w:p>
        </w:tc>
        <w:tc>
          <w:tcPr>
            <w:tcW w:w="158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2011</w:t>
            </w:r>
          </w:p>
        </w:tc>
      </w:tr>
      <w:tr>
        <w:trPr>
          <w:trHeight w:val="33"/>
        </w:trPr>
        <w:tc>
          <w:tcPr>
            <w:tcW w:w="6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amounts in 000’s)</w:t>
            </w:r>
          </w:p>
        </w:tc>
        <w:tc>
          <w:tcPr>
            <w:tcW w:w="158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Beginning balance</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303</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Charged (credited) to costs and expenses, net of write-offs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r>
      <w:tr>
        <w:trPr>
          <w:trHeight w:val="297"/>
        </w:trPr>
        <w:tc>
          <w:tcPr>
            <w:tcW w:w="64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Ending balance</w:t>
            </w:r>
          </w:p>
        </w:tc>
        <w:tc>
          <w:tcPr>
            <w:tcW w:w="104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24"/>
                <w:szCs w:val="24"/>
                <w:color w:val="auto"/>
              </w:rPr>
            </w:pPr>
          </w:p>
        </w:tc>
        <w:tc>
          <w:tcPr>
            <w:tcW w:w="16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336</w:t>
            </w:r>
          </w:p>
        </w:tc>
      </w:tr>
      <w:tr>
        <w:trPr>
          <w:trHeight w:val="284"/>
        </w:trPr>
        <w:tc>
          <w:tcPr>
            <w:tcW w:w="6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43"/>
        </w:trPr>
        <w:tc>
          <w:tcPr>
            <w:tcW w:w="7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Sales Returns Reserve:</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Beginning balance</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1,979</w:t>
            </w:r>
          </w:p>
        </w:tc>
      </w:tr>
      <w:tr>
        <w:trPr>
          <w:trHeight w:val="243"/>
        </w:trPr>
        <w:tc>
          <w:tcPr>
            <w:tcW w:w="74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Charged (credited) to costs and expenses, net of deductions</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372</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4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Ending balance</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4,573</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2,351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160" w:lineRule="exact"/>
        <w:rPr>
          <w:sz w:val="20"/>
          <w:szCs w:val="20"/>
          <w:color w:val="auto"/>
        </w:rPr>
      </w:pPr>
    </w:p>
    <w:p>
      <w:pPr>
        <w:ind w:left="1300" w:hanging="644"/>
        <w:spacing w:after="0" w:line="284"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See Item 15(b) below. We have filed, or incorporated into this Annual Report on Form 10-K by reference, the exhibits listed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accompanying Exhibit Index immediately following the signature page of this Annual Report on Form 10-K.</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Exhibits:</w:t>
      </w:r>
    </w:p>
    <w:p>
      <w:pPr>
        <w:spacing w:after="0" w:line="225"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exhibit list in the Exhibit Index immediately following the signature page of this Annual Report on Form 10-K is incorporated herein by reference as the list of exhibits required by this Item 15(b).</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Financial Statement Schedules: See Item 15(a) above.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118" w:right="239" w:bottom="1440" w:gutter="0" w:footer="0" w:header="0"/>
        </w:sectPr>
      </w:pPr>
    </w:p>
    <w:bookmarkStart w:id="98" w:name="page99"/>
    <w:bookmarkEnd w:id="9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28, 2014.</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297" w:lineRule="exact"/>
        <w:rPr>
          <w:sz w:val="20"/>
          <w:szCs w:val="20"/>
          <w:color w:val="auto"/>
        </w:rPr>
      </w:pPr>
    </w:p>
    <w:p>
      <w:pPr>
        <w:ind w:left="3580"/>
        <w:spacing w:after="0"/>
        <w:tabs>
          <w:tab w:leader="none" w:pos="6720" w:val="left"/>
          <w:tab w:leader="none" w:pos="7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34290</wp:posOffset>
            </wp:positionV>
            <wp:extent cx="46310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6"/>
          <w:szCs w:val="16"/>
          <w:b w:val="1"/>
          <w:bCs w:val="1"/>
          <w:color w:val="auto"/>
        </w:rPr>
        <w:t>Andrew Del Matto,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Ken Xie and Andrew Del Matto, jointly and severally, his attorney-in-fact, with the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6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82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30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3"/>
              </w:rPr>
              <w:t>/s/</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Ken Xie</w:t>
            </w:r>
          </w:p>
        </w:tc>
        <w:tc>
          <w:tcPr>
            <w:tcW w:w="1620" w:type="dxa"/>
            <w:vAlign w:val="bottom"/>
          </w:tcPr>
          <w:p>
            <w:pPr>
              <w:spacing w:after="0"/>
              <w:rPr>
                <w:sz w:val="24"/>
                <w:szCs w:val="24"/>
                <w:color w:val="auto"/>
              </w:rPr>
            </w:pPr>
          </w:p>
        </w:tc>
        <w:tc>
          <w:tcPr>
            <w:tcW w:w="55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28, 2014</w:t>
            </w:r>
          </w:p>
        </w:tc>
        <w:tc>
          <w:tcPr>
            <w:tcW w:w="0" w:type="dxa"/>
            <w:vAlign w:val="bottom"/>
          </w:tcPr>
          <w:p>
            <w:pPr>
              <w:spacing w:after="0"/>
              <w:rPr>
                <w:sz w:val="1"/>
                <w:szCs w:val="1"/>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520" w:type="dxa"/>
            <w:vAlign w:val="bottom"/>
            <w:gridSpan w:val="3"/>
            <w:vMerge w:val="restart"/>
          </w:tcPr>
          <w:p>
            <w:pPr>
              <w:ind w:left="3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Ken Xie</w:t>
            </w:r>
          </w:p>
        </w:tc>
        <w:tc>
          <w:tcPr>
            <w:tcW w:w="5520" w:type="dxa"/>
            <w:vAlign w:val="bottom"/>
            <w:gridSpan w:val="3"/>
            <w:vMerge w:val="continue"/>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/s/</w:t>
            </w:r>
          </w:p>
        </w:tc>
        <w:tc>
          <w:tcPr>
            <w:tcW w:w="2700" w:type="dxa"/>
            <w:vAlign w:val="bottom"/>
            <w:gridSpan w:val="4"/>
          </w:tcPr>
          <w:p>
            <w:pPr>
              <w:jc w:val="center"/>
              <w:ind w:right="1320"/>
              <w:spacing w:after="0"/>
              <w:rPr>
                <w:sz w:val="20"/>
                <w:szCs w:val="20"/>
                <w:color w:val="auto"/>
              </w:rPr>
            </w:pPr>
            <w:r>
              <w:rPr>
                <w:rFonts w:ascii="Times New Roman" w:cs="Times New Roman" w:eastAsia="Times New Roman" w:hAnsi="Times New Roman"/>
                <w:sz w:val="18"/>
                <w:szCs w:val="18"/>
                <w:color w:val="auto"/>
                <w:w w:val="98"/>
              </w:rPr>
              <w:t>Andrew Del Matto</w:t>
            </w:r>
          </w:p>
        </w:tc>
        <w:tc>
          <w:tcPr>
            <w:tcW w:w="55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28, 2014</w:t>
            </w: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520" w:type="dxa"/>
            <w:vAlign w:val="bottom"/>
            <w:gridSpan w:val="3"/>
            <w:vMerge w:val="restart"/>
          </w:tcPr>
          <w:p>
            <w:pPr>
              <w:ind w:left="3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Andrew Del Matto</w:t>
            </w:r>
          </w:p>
        </w:tc>
        <w:tc>
          <w:tcPr>
            <w:tcW w:w="5520" w:type="dxa"/>
            <w:vAlign w:val="bottom"/>
            <w:gridSpan w:val="3"/>
            <w:vMerge w:val="continue"/>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5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/s/</w:t>
            </w:r>
          </w:p>
        </w:tc>
        <w:tc>
          <w:tcPr>
            <w:tcW w:w="2480" w:type="dxa"/>
            <w:vAlign w:val="bottom"/>
            <w:gridSpan w:val="3"/>
          </w:tcPr>
          <w:p>
            <w:pPr>
              <w:jc w:val="center"/>
              <w:ind w:right="1540"/>
              <w:spacing w:after="0"/>
              <w:rPr>
                <w:sz w:val="20"/>
                <w:szCs w:val="20"/>
                <w:color w:val="auto"/>
              </w:rPr>
            </w:pPr>
            <w:r>
              <w:rPr>
                <w:rFonts w:ascii="Times New Roman" w:cs="Times New Roman" w:eastAsia="Times New Roman" w:hAnsi="Times New Roman"/>
                <w:sz w:val="18"/>
                <w:szCs w:val="18"/>
                <w:color w:val="auto"/>
              </w:rPr>
              <w:t>Michael Xie</w:t>
            </w:r>
          </w:p>
        </w:tc>
        <w:tc>
          <w:tcPr>
            <w:tcW w:w="55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President, Chief Technology Officer and Director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28, 2014</w:t>
            </w:r>
          </w:p>
        </w:tc>
        <w:tc>
          <w:tcPr>
            <w:tcW w:w="0" w:type="dxa"/>
            <w:vAlign w:val="bottom"/>
          </w:tcPr>
          <w:p>
            <w:pPr>
              <w:spacing w:after="0"/>
              <w:rPr>
                <w:sz w:val="1"/>
                <w:szCs w:val="1"/>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Michael Xie</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/s/</w:t>
            </w:r>
          </w:p>
        </w:tc>
        <w:tc>
          <w:tcPr>
            <w:tcW w:w="2480" w:type="dxa"/>
            <w:vAlign w:val="bottom"/>
            <w:gridSpan w:val="3"/>
          </w:tcPr>
          <w:p>
            <w:pPr>
              <w:jc w:val="center"/>
              <w:ind w:right="1540"/>
              <w:spacing w:after="0"/>
              <w:rPr>
                <w:sz w:val="20"/>
                <w:szCs w:val="20"/>
                <w:color w:val="auto"/>
              </w:rPr>
            </w:pPr>
            <w:r>
              <w:rPr>
                <w:rFonts w:ascii="Times New Roman" w:cs="Times New Roman" w:eastAsia="Times New Roman" w:hAnsi="Times New Roman"/>
                <w:sz w:val="18"/>
                <w:szCs w:val="18"/>
                <w:color w:val="auto"/>
              </w:rPr>
              <w:t>Ming Hsieh</w:t>
            </w:r>
          </w:p>
        </w:tc>
        <w:tc>
          <w:tcPr>
            <w:tcW w:w="55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28, 2014</w:t>
            </w:r>
          </w:p>
        </w:tc>
        <w:tc>
          <w:tcPr>
            <w:tcW w:w="0" w:type="dxa"/>
            <w:vAlign w:val="bottom"/>
          </w:tcPr>
          <w:p>
            <w:pPr>
              <w:spacing w:after="0"/>
              <w:rPr>
                <w:sz w:val="1"/>
                <w:szCs w:val="1"/>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Ming Hsieh</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100" w:type="dxa"/>
            <w:vAlign w:val="bottom"/>
          </w:tcPr>
          <w:p>
            <w:pPr>
              <w:spacing w:after="0"/>
              <w:rPr>
                <w:sz w:val="24"/>
                <w:szCs w:val="24"/>
                <w:color w:val="auto"/>
              </w:rPr>
            </w:pPr>
          </w:p>
        </w:tc>
        <w:tc>
          <w:tcPr>
            <w:tcW w:w="2380" w:type="dxa"/>
            <w:vAlign w:val="bottom"/>
            <w:gridSpan w:val="2"/>
          </w:tcPr>
          <w:p>
            <w:pPr>
              <w:jc w:val="center"/>
              <w:ind w:right="1280"/>
              <w:spacing w:after="0"/>
              <w:rPr>
                <w:sz w:val="20"/>
                <w:szCs w:val="20"/>
                <w:color w:val="auto"/>
              </w:rPr>
            </w:pPr>
            <w:r>
              <w:rPr>
                <w:rFonts w:ascii="Times New Roman" w:cs="Times New Roman" w:eastAsia="Times New Roman" w:hAnsi="Times New Roman"/>
                <w:sz w:val="18"/>
                <w:szCs w:val="18"/>
                <w:color w:val="auto"/>
              </w:rPr>
              <w:t>Chenming Hu</w:t>
            </w:r>
          </w:p>
        </w:tc>
        <w:tc>
          <w:tcPr>
            <w:tcW w:w="55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28, 2014</w:t>
            </w:r>
          </w:p>
        </w:tc>
        <w:tc>
          <w:tcPr>
            <w:tcW w:w="0" w:type="dxa"/>
            <w:vAlign w:val="bottom"/>
          </w:tcPr>
          <w:p>
            <w:pPr>
              <w:spacing w:after="0"/>
              <w:rPr>
                <w:sz w:val="1"/>
                <w:szCs w:val="1"/>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270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Chenming Hu</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5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/s/</w:t>
            </w:r>
          </w:p>
        </w:tc>
        <w:tc>
          <w:tcPr>
            <w:tcW w:w="248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rPr>
              <w:t>Hong Liang Lu</w:t>
            </w:r>
          </w:p>
        </w:tc>
        <w:tc>
          <w:tcPr>
            <w:tcW w:w="55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28, 2014</w:t>
            </w:r>
          </w:p>
        </w:tc>
        <w:tc>
          <w:tcPr>
            <w:tcW w:w="0" w:type="dxa"/>
            <w:vAlign w:val="bottom"/>
          </w:tcPr>
          <w:p>
            <w:pPr>
              <w:spacing w:after="0"/>
              <w:rPr>
                <w:sz w:val="1"/>
                <w:szCs w:val="1"/>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270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Hong Liang Lu</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0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3"/>
              </w:rPr>
              <w:t>/s/</w:t>
            </w:r>
          </w:p>
        </w:tc>
        <w:tc>
          <w:tcPr>
            <w:tcW w:w="270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color w:val="auto"/>
                <w:w w:val="98"/>
              </w:rPr>
              <w:t>William H. Neukom</w:t>
            </w:r>
          </w:p>
        </w:tc>
        <w:tc>
          <w:tcPr>
            <w:tcW w:w="55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28, 2014</w:t>
            </w: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William H. Neukom</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40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/s/ Christopher B. Paisley</w:t>
            </w:r>
          </w:p>
        </w:tc>
        <w:tc>
          <w:tcPr>
            <w:tcW w:w="55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8"/>
              </w:rPr>
              <w:t>February 28, 2014</w:t>
            </w:r>
          </w:p>
        </w:tc>
        <w:tc>
          <w:tcPr>
            <w:tcW w:w="0" w:type="dxa"/>
            <w:vAlign w:val="bottom"/>
          </w:tcPr>
          <w:p>
            <w:pPr>
              <w:spacing w:after="0"/>
              <w:rPr>
                <w:sz w:val="1"/>
                <w:szCs w:val="1"/>
                <w:color w:val="auto"/>
              </w:rPr>
            </w:pPr>
          </w:p>
        </w:tc>
      </w:tr>
      <w:tr>
        <w:trPr>
          <w:trHeight w:val="27"/>
        </w:trPr>
        <w:tc>
          <w:tcPr>
            <w:tcW w:w="16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Christopher B. Paisley</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18" w:right="279" w:bottom="1440" w:gutter="0" w:footer="0" w:header="0"/>
        </w:sect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380"/>
          </w:cols>
          <w:pgMar w:left="240" w:top="118" w:right="279" w:bottom="1440" w:gutter="0" w:footer="0" w:header="0"/>
          <w:type w:val="continuous"/>
        </w:sectPr>
      </w:pPr>
    </w:p>
    <w:bookmarkStart w:id="99" w:name="page100"/>
    <w:bookmarkEnd w:id="9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20" w:type="dxa"/>
            <w:vAlign w:val="bottom"/>
            <w:gridSpan w:val="2"/>
            <w:vMerge w:val="restart"/>
          </w:tcPr>
          <w:p>
            <w:pPr>
              <w:ind w:left="1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86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0" w:type="dxa"/>
            <w:vAlign w:val="bottom"/>
          </w:tcPr>
          <w:p>
            <w:pPr>
              <w:spacing w:after="0"/>
              <w:rPr>
                <w:sz w:val="1"/>
                <w:szCs w:val="1"/>
                <w:color w:val="auto"/>
              </w:rPr>
            </w:pPr>
          </w:p>
        </w:tc>
      </w:tr>
      <w:tr>
        <w:trPr>
          <w:trHeight w:val="195"/>
        </w:trPr>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20" w:type="dxa"/>
            <w:vAlign w:val="bottom"/>
            <w:gridSpan w:val="2"/>
            <w:vMerge w:val="continue"/>
          </w:tcPr>
          <w:p>
            <w:pPr>
              <w:spacing w:after="0"/>
              <w:rPr>
                <w:sz w:val="16"/>
                <w:szCs w:val="16"/>
                <w:color w:val="auto"/>
              </w:rPr>
            </w:pPr>
          </w:p>
        </w:tc>
        <w:tc>
          <w:tcPr>
            <w:tcW w:w="3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tcBorders>
              <w:top w:val="single" w:sz="8" w:color="auto"/>
            </w:tcBorders>
          </w:tcPr>
          <w:p>
            <w:pPr>
              <w:ind w:left="17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0" w:type="dxa"/>
            <w:vAlign w:val="bottom"/>
          </w:tcPr>
          <w:p>
            <w:pPr>
              <w:spacing w:after="0"/>
              <w:rPr>
                <w:sz w:val="1"/>
                <w:szCs w:val="1"/>
                <w:color w:val="auto"/>
              </w:rPr>
            </w:pPr>
          </w:p>
        </w:tc>
      </w:tr>
      <w:tr>
        <w:trPr>
          <w:trHeight w:val="284"/>
        </w:trPr>
        <w:tc>
          <w:tcPr>
            <w:tcW w:w="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Amended and Restated Certificate of Incorporation</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as amended (File No. 333-</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161190)</w:t>
            </w:r>
          </w:p>
        </w:tc>
        <w:tc>
          <w:tcPr>
            <w:tcW w:w="0" w:type="dxa"/>
            <w:vAlign w:val="bottom"/>
          </w:tcPr>
          <w:p>
            <w:pPr>
              <w:spacing w:after="0"/>
              <w:rPr>
                <w:sz w:val="1"/>
                <w:szCs w:val="1"/>
                <w:color w:val="auto"/>
              </w:rPr>
            </w:pPr>
          </w:p>
        </w:tc>
      </w:tr>
      <w:tr>
        <w:trPr>
          <w:trHeight w:val="324"/>
        </w:trPr>
        <w:tc>
          <w:tcPr>
            <w:tcW w:w="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Amended and Restated Bylaws</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Report on Form 8-K (File No. 001-34511)</w:t>
            </w:r>
          </w:p>
        </w:tc>
        <w:tc>
          <w:tcPr>
            <w:tcW w:w="0" w:type="dxa"/>
            <w:vAlign w:val="bottom"/>
          </w:tcPr>
          <w:p>
            <w:pPr>
              <w:spacing w:after="0"/>
              <w:rPr>
                <w:sz w:val="1"/>
                <w:szCs w:val="1"/>
                <w:color w:val="auto"/>
              </w:rPr>
            </w:pPr>
          </w:p>
        </w:tc>
      </w:tr>
      <w:tr>
        <w:trPr>
          <w:trHeight w:val="352"/>
        </w:trPr>
        <w:tc>
          <w:tcPr>
            <w:tcW w:w="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Specimen common stock certificate of the Company</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as amended (File No. 333-</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161190)</w:t>
            </w:r>
          </w:p>
        </w:tc>
        <w:tc>
          <w:tcPr>
            <w:tcW w:w="0" w:type="dxa"/>
            <w:vAlign w:val="bottom"/>
          </w:tcPr>
          <w:p>
            <w:pPr>
              <w:spacing w:after="0"/>
              <w:rPr>
                <w:sz w:val="1"/>
                <w:szCs w:val="1"/>
                <w:color w:val="auto"/>
              </w:rPr>
            </w:pPr>
          </w:p>
        </w:tc>
      </w:tr>
      <w:tr>
        <w:trPr>
          <w:trHeight w:val="284"/>
        </w:trPr>
        <w:tc>
          <w:tcPr>
            <w:tcW w:w="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4"/>
                <w:szCs w:val="24"/>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 Amended and Restated Investors Rights Agreement, dated</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as amended (File No. 333-</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as of February 24, 2004, between the Company and certain</w:t>
            </w:r>
          </w:p>
        </w:tc>
        <w:tc>
          <w:tcPr>
            <w:tcW w:w="38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161190)</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holders of the Company’s capital stock named therein</w:t>
            </w: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Forms of Indemnification Agreement between the Company and</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as amended (File No. 333-</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its directors and officers</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161190)</w:t>
            </w: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10.2</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2000 Stock Plan and forms of agreement thereunder</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as amended (File No. 333-</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161190)</w:t>
            </w: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10.3</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2008 Stock Plan and forms of agreement thereunder</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as amended (File No. 333-</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161190)</w:t>
            </w: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10.4</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2009 Equity Incentive Plan and forms of restricted stock unit</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as amended (File No. 333-</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award and restricted stock agreement thereunder</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161190)</w:t>
            </w: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10.5</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Forms of stock option agreement under 2009 Equity Incentive</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Report on Form 10-K (File No. 001-34511)</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10.6</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 of performance stock unit award agreement under 2009</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Incentive Plan</w:t>
            </w: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10.7</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Fortinet, Inc. 2011 Employee Stock Purchase Plan</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Report on Form 8-K (File No. 001-34511)</w:t>
            </w:r>
          </w:p>
        </w:tc>
        <w:tc>
          <w:tcPr>
            <w:tcW w:w="0" w:type="dxa"/>
            <w:vAlign w:val="bottom"/>
          </w:tcPr>
          <w:p>
            <w:pPr>
              <w:spacing w:after="0"/>
              <w:rPr>
                <w:sz w:val="1"/>
                <w:szCs w:val="1"/>
                <w:color w:val="auto"/>
              </w:rPr>
            </w:pPr>
          </w:p>
        </w:tc>
      </w:tr>
      <w:tr>
        <w:trPr>
          <w:trHeight w:val="392"/>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10.8</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Fortinet, Inc. Bonus Plan</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Report on Form 8-K (File No. 001-34511)</w:t>
            </w:r>
          </w:p>
        </w:tc>
        <w:tc>
          <w:tcPr>
            <w:tcW w:w="0" w:type="dxa"/>
            <w:vAlign w:val="bottom"/>
          </w:tcPr>
          <w:p>
            <w:pPr>
              <w:spacing w:after="0"/>
              <w:rPr>
                <w:sz w:val="1"/>
                <w:szCs w:val="1"/>
                <w:color w:val="auto"/>
              </w:rPr>
            </w:pPr>
          </w:p>
        </w:tc>
      </w:tr>
      <w:tr>
        <w:trPr>
          <w:trHeight w:val="392"/>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10.9</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Fortinet, Inc. Cash and Equity Incentive Plan</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352"/>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10.10</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 of Change of Control Agreement between the Company and</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S-1, as amended (File No. 001-</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its directors</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34511)</w:t>
            </w: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10.11</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Separation and Change of Control Agreement, dated as of August</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as amended (File No. 333-</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7, 2009, between the Company and Ken Xie</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161190)</w:t>
            </w: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10.12</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Separation and Change of Control Agreement, dated as of August</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as amended (File No. 333-</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7, 2009, between the Company and Michael Xie</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161190)</w:t>
            </w: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10.13</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Separation and Change of Control Agreement, dated as of August</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as amended (File No. 333-</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7, 2009, between the Company and John Whittle</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161190)</w:t>
            </w: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10.14</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Offer Letter, dated as of August 31, 2007, by and between the</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Registration Statement on Form S-l, as amended (File No. 333-</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Company and John Whittle</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161190)</w:t>
            </w: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10.15</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Offer Letter, dated as of November 9, 2011, by and between the</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Annual Report on Form 10-K (File No. 001-34511)</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Company and Nancy Bush</w:t>
            </w: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10.16</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Promotion Letter, dated September 26, 2012, by and between the</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Quarterly Report on Form 10-Q (File No. 001-34511)</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Company and Nancy Bush</w:t>
            </w: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10.17</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Offer Letter, dated as of December 17, 2013, by and between the</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Report on Form 8-K (File No. 001-34511)</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Company and Andrew Del Matto</w:t>
            </w: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10.18</w:t>
            </w:r>
            <w:r>
              <w:rPr>
                <w:rFonts w:ascii="Times New Roman" w:cs="Times New Roman" w:eastAsia="Times New Roman" w:hAnsi="Times New Roman"/>
                <w:sz w:val="8"/>
                <w:szCs w:val="8"/>
                <w:color w:val="auto"/>
              </w:rPr>
              <w:t>†</w:t>
            </w: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Letter regarding stock grants, dated as of December 17, 2013,</w:t>
            </w:r>
          </w:p>
        </w:tc>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Report on Form 8-K (File No. 001-34511)</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between the Company and Andrew Del Matto</w:t>
            </w:r>
          </w:p>
        </w:tc>
        <w:tc>
          <w:tcPr>
            <w:tcW w:w="3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1"/>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90"/>
        </w:trPr>
        <w:tc>
          <w:tcPr>
            <w:tcW w:w="1360" w:type="dxa"/>
            <w:vAlign w:val="bottom"/>
            <w:vMerge w:val="continue"/>
          </w:tcPr>
          <w:p>
            <w:pPr>
              <w:spacing w:after="0"/>
              <w:rPr>
                <w:sz w:val="16"/>
                <w:szCs w:val="16"/>
                <w:color w:val="auto"/>
              </w:rPr>
            </w:pPr>
          </w:p>
        </w:tc>
        <w:tc>
          <w:tcPr>
            <w:tcW w:w="9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0" w:type="dxa"/>
            <w:vAlign w:val="bottom"/>
          </w:tcPr>
          <w:p>
            <w:pPr>
              <w:spacing w:after="0"/>
              <w:rPr>
                <w:sz w:val="1"/>
                <w:szCs w:val="1"/>
                <w:color w:val="auto"/>
              </w:rPr>
            </w:pPr>
          </w:p>
        </w:tc>
      </w:tr>
      <w:tr>
        <w:trPr>
          <w:trHeight w:val="324"/>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August 10, 2009</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January 25, 2012</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November 2, 2009</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August 10, 2009</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621"/>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August 10, 2009</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August 10, 2009</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August 10, 2009</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August 10, 2009</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February 28, 2012</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August 6, 2013</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99.1</w:t>
            </w: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June 27, 2011</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January 26, 2010</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November 5, 2013</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392"/>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August 10, 2009</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10.11</w:t>
            </w: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August 10, 2009</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August 10, 2009</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August 10, 2009</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August 10, 2009</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10.10</w:t>
            </w: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February 27, 2013</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October 30, 2012</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December 20, 2013</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99.1</w:t>
            </w:r>
          </w:p>
        </w:tc>
        <w:tc>
          <w:tcPr>
            <w:tcW w:w="0" w:type="dxa"/>
            <w:vAlign w:val="bottom"/>
          </w:tcPr>
          <w:p>
            <w:pPr>
              <w:spacing w:after="0"/>
              <w:rPr>
                <w:sz w:val="1"/>
                <w:szCs w:val="1"/>
                <w:color w:val="auto"/>
              </w:rPr>
            </w:pPr>
          </w:p>
        </w:tc>
      </w:tr>
      <w:tr>
        <w:trPr>
          <w:trHeight w:val="473"/>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December 20, 2013</w:t>
            </w:r>
          </w:p>
        </w:tc>
        <w:tc>
          <w:tcPr>
            <w:tcW w:w="9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99.2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-6622415</wp:posOffset>
            </wp:positionV>
            <wp:extent cx="15779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ectPr>
          <w:pgSz w:w="11900" w:h="16838" w:orient="portrait"/>
          <w:cols w:equalWidth="0" w:num="2">
            <w:col w:w="8820" w:space="140"/>
            <w:col w:w="2260"/>
          </w:cols>
          <w:pgMar w:left="240" w:top="118" w:right="4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61"/>
        </w:trPr>
        <w:tc>
          <w:tcPr>
            <w:tcW w:w="4820" w:type="dxa"/>
            <w:vAlign w:val="bottom"/>
            <w:gridSpan w:val="3"/>
          </w:tcPr>
          <w:p>
            <w:pPr>
              <w:spacing w:after="0"/>
              <w:rPr>
                <w:rFonts w:ascii="Times New Roman" w:cs="Times New Roman" w:eastAsia="Times New Roman" w:hAnsi="Times New Roman"/>
                <w:sz w:val="14"/>
                <w:szCs w:val="14"/>
                <w:color w:val="0000EE"/>
              </w:rPr>
            </w:pPr>
            <w:hyperlink w:anchor="page2">
              <w:r>
                <w:rPr>
                  <w:rFonts w:ascii="Times New Roman" w:cs="Times New Roman" w:eastAsia="Times New Roman" w:hAnsi="Times New Roman"/>
                  <w:sz w:val="14"/>
                  <w:szCs w:val="14"/>
                  <w:color w:val="0000EE"/>
                </w:rPr>
                <w:t>Table of Contents</w:t>
              </w:r>
            </w:hyperlink>
          </w:p>
        </w:tc>
        <w:tc>
          <w:tcPr>
            <w:tcW w:w="36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538"/>
        </w:trPr>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10.19</w:t>
            </w:r>
            <w:r>
              <w:rPr>
                <w:rFonts w:ascii="Times New Roman" w:cs="Times New Roman" w:eastAsia="Times New Roman" w:hAnsi="Times New Roman"/>
                <w:sz w:val="8"/>
                <w:szCs w:val="8"/>
                <w:color w:val="auto"/>
              </w:rPr>
              <w:t>†</w:t>
            </w:r>
          </w:p>
        </w:tc>
        <w:tc>
          <w:tcPr>
            <w:tcW w:w="41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Change of Control Severance Agreement, dated as of December</w:t>
            </w:r>
          </w:p>
        </w:tc>
        <w:tc>
          <w:tcPr>
            <w:tcW w:w="3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Current Report on Form 8-K (File No. 001-34511)</w:t>
            </w:r>
          </w:p>
        </w:tc>
        <w:tc>
          <w:tcPr>
            <w:tcW w:w="18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December 20, 2013</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w:t>
            </w:r>
          </w:p>
        </w:tc>
      </w:tr>
      <w:tr>
        <w:trPr>
          <w:trHeight w:val="188"/>
        </w:trPr>
        <w:tc>
          <w:tcPr>
            <w:tcW w:w="680" w:type="dxa"/>
            <w:vAlign w:val="bottom"/>
          </w:tcPr>
          <w:p>
            <w:pPr>
              <w:spacing w:after="0"/>
              <w:rPr>
                <w:sz w:val="16"/>
                <w:szCs w:val="16"/>
                <w:color w:val="auto"/>
              </w:rPr>
            </w:pPr>
          </w:p>
        </w:tc>
        <w:tc>
          <w:tcPr>
            <w:tcW w:w="41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17, 2013, between registrant and Andrew Del Matto</w:t>
            </w:r>
          </w:p>
        </w:tc>
        <w:tc>
          <w:tcPr>
            <w:tcW w:w="36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84"/>
        </w:trPr>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10.20</w:t>
            </w:r>
            <w:r>
              <w:rPr>
                <w:rFonts w:ascii="Times New Roman" w:cs="Times New Roman" w:eastAsia="Times New Roman" w:hAnsi="Times New Roman"/>
                <w:sz w:val="8"/>
                <w:szCs w:val="8"/>
                <w:color w:val="auto"/>
              </w:rPr>
              <w:t>†</w:t>
            </w:r>
          </w:p>
        </w:tc>
        <w:tc>
          <w:tcPr>
            <w:tcW w:w="41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Separation and Release Agreement, dated as of November 26,</w:t>
            </w:r>
          </w:p>
        </w:tc>
        <w:tc>
          <w:tcPr>
            <w:tcW w:w="3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Current Report on Form 8-K (File No. 001-34511)</w:t>
            </w:r>
          </w:p>
        </w:tc>
        <w:tc>
          <w:tcPr>
            <w:tcW w:w="18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November 27, 2013</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w:t>
            </w:r>
          </w:p>
        </w:tc>
      </w:tr>
      <w:tr>
        <w:trPr>
          <w:trHeight w:val="188"/>
        </w:trPr>
        <w:tc>
          <w:tcPr>
            <w:tcW w:w="680" w:type="dxa"/>
            <w:vAlign w:val="bottom"/>
          </w:tcPr>
          <w:p>
            <w:pPr>
              <w:spacing w:after="0"/>
              <w:rPr>
                <w:sz w:val="16"/>
                <w:szCs w:val="16"/>
                <w:color w:val="auto"/>
              </w:rPr>
            </w:pPr>
          </w:p>
        </w:tc>
        <w:tc>
          <w:tcPr>
            <w:tcW w:w="41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2013, between the Company and Ahmed Rubaie</w:t>
            </w:r>
          </w:p>
        </w:tc>
        <w:tc>
          <w:tcPr>
            <w:tcW w:w="36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84"/>
        </w:trPr>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10.21</w:t>
            </w:r>
            <w:r>
              <w:rPr>
                <w:rFonts w:ascii="Times New Roman" w:cs="Times New Roman" w:eastAsia="Times New Roman" w:hAnsi="Times New Roman"/>
                <w:sz w:val="8"/>
                <w:szCs w:val="8"/>
                <w:color w:val="auto"/>
              </w:rPr>
              <w:t>†</w:t>
            </w:r>
          </w:p>
        </w:tc>
        <w:tc>
          <w:tcPr>
            <w:tcW w:w="41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Offer Letter, dated as of April 16, 2013, between the Company</w:t>
            </w:r>
          </w:p>
        </w:tc>
        <w:tc>
          <w:tcPr>
            <w:tcW w:w="3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Current Report on Form 8-K (File No. 001-34511)</w:t>
            </w:r>
          </w:p>
        </w:tc>
        <w:tc>
          <w:tcPr>
            <w:tcW w:w="18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April 19, 2013</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w:t>
            </w:r>
          </w:p>
        </w:tc>
      </w:tr>
      <w:tr>
        <w:trPr>
          <w:trHeight w:val="188"/>
        </w:trPr>
        <w:tc>
          <w:tcPr>
            <w:tcW w:w="680" w:type="dxa"/>
            <w:vAlign w:val="bottom"/>
          </w:tcPr>
          <w:p>
            <w:pPr>
              <w:spacing w:after="0"/>
              <w:rPr>
                <w:sz w:val="16"/>
                <w:szCs w:val="16"/>
                <w:color w:val="auto"/>
              </w:rPr>
            </w:pPr>
          </w:p>
        </w:tc>
        <w:tc>
          <w:tcPr>
            <w:tcW w:w="41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and Ahmed Rubaie</w:t>
            </w:r>
          </w:p>
        </w:tc>
        <w:tc>
          <w:tcPr>
            <w:tcW w:w="36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84"/>
        </w:trPr>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10.22</w:t>
            </w:r>
            <w:r>
              <w:rPr>
                <w:rFonts w:ascii="Times New Roman" w:cs="Times New Roman" w:eastAsia="Times New Roman" w:hAnsi="Times New Roman"/>
                <w:sz w:val="8"/>
                <w:szCs w:val="8"/>
                <w:color w:val="auto"/>
              </w:rPr>
              <w:t>†</w:t>
            </w:r>
          </w:p>
        </w:tc>
        <w:tc>
          <w:tcPr>
            <w:tcW w:w="41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Change of Control Severance Agreement, dated as of April 16,</w:t>
            </w:r>
          </w:p>
        </w:tc>
        <w:tc>
          <w:tcPr>
            <w:tcW w:w="3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Current Report on Form 8-K (File No. 001-34511)</w:t>
            </w:r>
          </w:p>
        </w:tc>
        <w:tc>
          <w:tcPr>
            <w:tcW w:w="18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April 19, 2013</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w:t>
            </w:r>
          </w:p>
        </w:tc>
      </w:tr>
      <w:tr>
        <w:trPr>
          <w:trHeight w:val="188"/>
        </w:trPr>
        <w:tc>
          <w:tcPr>
            <w:tcW w:w="680" w:type="dxa"/>
            <w:vAlign w:val="bottom"/>
          </w:tcPr>
          <w:p>
            <w:pPr>
              <w:spacing w:after="0"/>
              <w:rPr>
                <w:sz w:val="16"/>
                <w:szCs w:val="16"/>
                <w:color w:val="auto"/>
              </w:rPr>
            </w:pPr>
          </w:p>
        </w:tc>
        <w:tc>
          <w:tcPr>
            <w:tcW w:w="41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2013, between the Company and Ahmed Rubaie</w:t>
            </w:r>
          </w:p>
        </w:tc>
        <w:tc>
          <w:tcPr>
            <w:tcW w:w="36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324"/>
        </w:trPr>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21.1</w:t>
            </w:r>
          </w:p>
        </w:tc>
        <w:tc>
          <w:tcPr>
            <w:tcW w:w="41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List of subsidiaries</w:t>
            </w:r>
          </w:p>
        </w:tc>
        <w:tc>
          <w:tcPr>
            <w:tcW w:w="3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Annual Report on Form 10-K (File No. 001-34511)</w:t>
            </w:r>
          </w:p>
        </w:tc>
        <w:tc>
          <w:tcPr>
            <w:tcW w:w="18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February 27, 2013</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r>
      <w:tr>
        <w:trPr>
          <w:trHeight w:val="392"/>
        </w:trPr>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23.1*</w:t>
            </w:r>
          </w:p>
        </w:tc>
        <w:tc>
          <w:tcPr>
            <w:tcW w:w="41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tc>
        <w:tc>
          <w:tcPr>
            <w:tcW w:w="36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52"/>
        </w:trPr>
        <w:tc>
          <w:tcPr>
            <w:tcW w:w="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24.1*</w:t>
            </w:r>
          </w:p>
        </w:tc>
        <w:tc>
          <w:tcPr>
            <w:tcW w:w="41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Power of Attorney (incorporated by reference to the signature</w:t>
            </w:r>
          </w:p>
        </w:tc>
        <w:tc>
          <w:tcPr>
            <w:tcW w:w="36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88"/>
        </w:trPr>
        <w:tc>
          <w:tcPr>
            <w:tcW w:w="680" w:type="dxa"/>
            <w:vAlign w:val="bottom"/>
          </w:tcPr>
          <w:p>
            <w:pPr>
              <w:spacing w:after="0"/>
              <w:rPr>
                <w:sz w:val="16"/>
                <w:szCs w:val="16"/>
                <w:color w:val="auto"/>
              </w:rPr>
            </w:pPr>
          </w:p>
        </w:tc>
        <w:tc>
          <w:tcPr>
            <w:tcW w:w="41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page of this Annual Report on Form 10-K)</w:t>
            </w:r>
          </w:p>
        </w:tc>
        <w:tc>
          <w:tcPr>
            <w:tcW w:w="36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80" w:type="dxa"/>
            <w:vAlign w:val="bottom"/>
          </w:tcPr>
          <w:p>
            <w:pPr>
              <w:spacing w:after="0"/>
              <w:rPr>
                <w:sz w:val="16"/>
                <w:szCs w:val="16"/>
                <w:color w:val="auto"/>
              </w:rPr>
            </w:pPr>
          </w:p>
        </w:tc>
      </w:tr>
    </w:tbl>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10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Certification of Chief Executive Officer pursuant to Exchange Act Rules 13a-14(a) and 15d-14(a), as adopted pursuant to Section 302 of the Sarbanes-Oxley Act of 2002</w:t>
            </w:r>
          </w:p>
        </w:tc>
      </w:tr>
      <w:tr>
        <w:trPr>
          <w:trHeight w:val="392"/>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10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Certification of Chief Financial Officer pursuant to Exchange Act Rules 13a-14(a) and 15d-14(a), as adopted pursuant to Section 302 of the Sarbanes-Oxley Act of 2002</w:t>
            </w:r>
          </w:p>
        </w:tc>
      </w:tr>
      <w:tr>
        <w:trPr>
          <w:trHeight w:val="392"/>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10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Certifications of Chief Executive Officer and Chief Financial Officer pursuant to 18 U.S.C. Section 1350, as adopted pursuant to Section 906 of the Sarbanes-Oxley Act of 2002</w:t>
            </w:r>
          </w:p>
        </w:tc>
      </w:tr>
      <w:tr>
        <w:trPr>
          <w:trHeight w:val="392"/>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10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392"/>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10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392"/>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10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r>
        <w:trPr>
          <w:trHeight w:val="392"/>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10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r>
        <w:trPr>
          <w:trHeight w:val="392"/>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10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r>
      <w:tr>
        <w:trPr>
          <w:trHeight w:val="392"/>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104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XBRL Instance Document</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w:t>
      </w:r>
    </w:p>
    <w:p>
      <w:pPr>
        <w:spacing w:after="0" w:line="190" w:lineRule="exact"/>
        <w:rPr>
          <w:sz w:val="20"/>
          <w:szCs w:val="20"/>
          <w:color w:val="auto"/>
        </w:rPr>
      </w:pPr>
    </w:p>
    <w:p>
      <w:pPr>
        <w:ind w:right="7260" w:firstLine="8"/>
        <w:spacing w:after="0" w:line="207" w:lineRule="auto"/>
        <w:tabs>
          <w:tab w:leader="none" w:pos="94" w:val="left"/>
        </w:tabs>
        <w:numPr>
          <w:ilvl w:val="0"/>
          <w:numId w:val="4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 xml:space="preserve">Indicates management compensatory plan, contract or arrangement.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60"/>
          </w:cols>
          <w:pgMar w:left="240" w:top="114" w:right="39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Registration Statement Nos. 333-163367, 333-172459, 333-175985, 333-179751 and 333-186921 on Form S-8 of our reports dated February 27, 2014, relating to the consolidated financial statements and financial statement schedule of Fortinet, Inc. and subsidiaries (collectively, the “Company”), and the effectiveness of the Company’s internal control over financial reporting, appearing in the Annual Report on Form 10-K of Fortinet, Inc. for the year ended December 31, 2013.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2014</w:t>
      </w:r>
    </w:p>
    <w:p>
      <w:pPr>
        <w:sectPr>
          <w:pgSz w:w="11900" w:h="16838" w:orient="portrait"/>
          <w:cols w:equalWidth="0" w:num="1">
            <w:col w:w="11420"/>
          </w:cols>
          <w:pgMar w:left="240" w:top="576" w:right="2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Fortinet, Inc.;</w:t>
      </w:r>
    </w:p>
    <w:p>
      <w:pPr>
        <w:spacing w:after="0" w:line="171"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34290</wp:posOffset>
            </wp:positionV>
            <wp:extent cx="29673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Chief Executive Officer and Chairman of the Board of</w:t>
      </w:r>
    </w:p>
    <w:p>
      <w:pPr>
        <w:spacing w:after="0" w:line="2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Directors</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103" w:name="page104"/>
    <w:bookmarkEnd w:id="10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Del Matto, certify that:</w:t>
      </w:r>
    </w:p>
    <w:p>
      <w:pPr>
        <w:spacing w:after="0" w:line="171"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Fortinet, Inc.;</w:t>
      </w:r>
    </w:p>
    <w:p>
      <w:pPr>
        <w:spacing w:after="0" w:line="171"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80" w:hanging="320"/>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/s/ Andrew Del Matto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34290</wp:posOffset>
            </wp:positionV>
            <wp:extent cx="2967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Andrew Del Matto</w:t>
      </w:r>
    </w:p>
    <w:p>
      <w:pPr>
        <w:spacing w:after="0" w:line="6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I, Ken Xie, certify, pursuant to 18 U.S.C. Section 1350, as adopted pursuant to Section 906 of the Sarbanes-Oxley Act of 2002, that the Annual Report on Form 10-K of Fortinet, Inc. for the fiscal year ended December 31, 2013 fully complies with the requirements of Section 13(a) or 15(d) of the Securities Exchange Act of 1934, as amended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Ken Xie</w:t>
            </w:r>
          </w:p>
        </w:tc>
      </w:tr>
      <w:tr>
        <w:trPr>
          <w:trHeight w:val="27"/>
        </w:trPr>
        <w:tc>
          <w:tcPr>
            <w:tcW w:w="39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2014</w:t>
            </w: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Ken Xie</w:t>
            </w:r>
          </w:p>
        </w:tc>
      </w:tr>
      <w:tr>
        <w:trPr>
          <w:trHeight w:val="252"/>
        </w:trPr>
        <w:tc>
          <w:tcPr>
            <w:tcW w:w="39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 and Chairman of the Board of</w:t>
            </w:r>
          </w:p>
        </w:tc>
      </w:tr>
      <w:tr>
        <w:trPr>
          <w:trHeight w:val="216"/>
        </w:trPr>
        <w:tc>
          <w:tcPr>
            <w:tcW w:w="39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w:t>
            </w:r>
          </w:p>
        </w:tc>
      </w:tr>
      <w:tr>
        <w:trPr>
          <w:trHeight w:val="234"/>
        </w:trPr>
        <w:tc>
          <w:tcPr>
            <w:tcW w:w="398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71"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I, Andrew Del Matto, certify, pursuant to 18 U.S.C. Section 1350, as adopted pursuant to Section 906 of the Sarbanes-Oxley Act of 2002, that the Annual Report on Form 10-K of Fortinet, Inc. for the fiscal year ended December 31, 2013 fully complies with the requirements of Section 13(a) or 15(d) of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Andrew Del Matto</w:t>
            </w:r>
          </w:p>
        </w:tc>
      </w:tr>
      <w:tr>
        <w:trPr>
          <w:trHeight w:val="27"/>
        </w:trPr>
        <w:tc>
          <w:tcPr>
            <w:tcW w:w="39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2014</w:t>
            </w: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Andrew Del Matto</w:t>
            </w:r>
          </w:p>
        </w:tc>
      </w:tr>
      <w:tr>
        <w:trPr>
          <w:trHeight w:val="252"/>
        </w:trPr>
        <w:tc>
          <w:tcPr>
            <w:tcW w:w="39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98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387"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T"/>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1)"/>
      <w:numFmt w:val="lowerRoman"/>
      <w:start w:val="1"/>
    </w:lvl>
  </w:abstractNum>
  <w:abstractNum w:abstractNumId="3">
    <w:nsid w:val="8EDBDAB"/>
    <w:multiLevelType w:val="hybridMultilevel"/>
    <w:lvl w:ilvl="0">
      <w:lvlJc w:val="left"/>
      <w:lvlText w:val="(%1)"/>
      <w:numFmt w:val="lowerRoman"/>
      <w:start w:val="1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decimal"/>
      <w:start w:val="2"/>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2"/>
    </w:lvl>
  </w:abstractNum>
  <w:abstractNum w:abstractNumId="33">
    <w:nsid w:val="51EAD36B"/>
    <w:multiLevelType w:val="hybridMultilevel"/>
    <w:lvl w:ilvl="0">
      <w:lvlJc w:val="left"/>
      <w:lvlText w:val="(%1)"/>
      <w:numFmt w:val="decimal"/>
      <w:start w:val="3"/>
    </w:lvl>
  </w:abstractNum>
  <w:abstractNum w:abstractNumId="34">
    <w:nsid w:val="2D517796"/>
    <w:multiLevelType w:val="hybridMultilevel"/>
    <w:lvl w:ilvl="0">
      <w:lvlJc w:val="left"/>
      <w:lvlText w:val="(%1)"/>
      <w:numFmt w:val="decimal"/>
      <w:start w:val="4"/>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3"/>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2019-12-07T05:23:33Z</dcterms:created>
  <dcterms:modified xsi:type="dcterms:W3CDTF">2019-12-07T05:23:33Z</dcterms:modified>
</cp:coreProperties>
</file>