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418465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332105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72" w:lineRule="exact"/>
        <w:rPr>
          <w:sz w:val="24"/>
          <w:szCs w:val="24"/>
          <w:color w:val="auto"/>
        </w:rPr>
      </w:pPr>
    </w:p>
    <w:p>
      <w:pPr>
        <w:ind w:left="3740" w:right="1840" w:hanging="3705"/>
        <w:spacing w:after="0" w:line="461"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2017</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00" w:hanging="358"/>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88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-5080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c>
          <w:tcPr>
            <w:tcW w:w="1460" w:type="dxa"/>
            <w:vAlign w:val="bottom"/>
          </w:tcPr>
          <w:p>
            <w:pPr>
              <w:spacing w:after="0"/>
              <w:rPr>
                <w:sz w:val="19"/>
                <w:szCs w:val="19"/>
                <w:color w:val="auto"/>
              </w:rPr>
            </w:pPr>
          </w:p>
        </w:tc>
      </w:tr>
      <w:tr>
        <w:trPr>
          <w:trHeight w:val="205"/>
        </w:trPr>
        <w:tc>
          <w:tcPr>
            <w:tcW w:w="6220" w:type="dxa"/>
            <w:vAlign w:val="bottom"/>
          </w:tcPr>
          <w:p>
            <w:pPr>
              <w:jc w:val="center"/>
              <w:ind w:left="207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460" w:type="dxa"/>
            <w:vAlign w:val="bottom"/>
          </w:tcPr>
          <w:p>
            <w:pPr>
              <w:spacing w:after="0"/>
              <w:rPr>
                <w:sz w:val="17"/>
                <w:szCs w:val="17"/>
                <w:color w:val="auto"/>
              </w:rPr>
            </w:pPr>
          </w:p>
        </w:tc>
      </w:tr>
      <w:tr>
        <w:trPr>
          <w:trHeight w:val="335"/>
        </w:trPr>
        <w:tc>
          <w:tcPr>
            <w:tcW w:w="6220" w:type="dxa"/>
            <w:vAlign w:val="bottom"/>
          </w:tcPr>
          <w:p>
            <w:pPr>
              <w:jc w:val="center"/>
              <w:ind w:left="211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1460" w:type="dxa"/>
            <w:vAlign w:val="bottom"/>
          </w:tcPr>
          <w:p>
            <w:pPr>
              <w:spacing w:after="0"/>
              <w:rPr>
                <w:sz w:val="24"/>
                <w:szCs w:val="24"/>
                <w:color w:val="auto"/>
              </w:rPr>
            </w:pPr>
          </w:p>
        </w:tc>
      </w:tr>
      <w:tr>
        <w:trPr>
          <w:trHeight w:val="194"/>
        </w:trPr>
        <w:tc>
          <w:tcPr>
            <w:tcW w:w="6220" w:type="dxa"/>
            <w:vAlign w:val="bottom"/>
          </w:tcPr>
          <w:p>
            <w:pPr>
              <w:jc w:val="center"/>
              <w:ind w:left="207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460" w:type="dxa"/>
            <w:vAlign w:val="bottom"/>
          </w:tcPr>
          <w:p>
            <w:pPr>
              <w:spacing w:after="0"/>
              <w:rPr>
                <w:sz w:val="16"/>
                <w:szCs w:val="16"/>
                <w:color w:val="auto"/>
              </w:rPr>
            </w:pPr>
          </w:p>
        </w:tc>
      </w:tr>
      <w:tr>
        <w:trPr>
          <w:trHeight w:val="210"/>
        </w:trPr>
        <w:tc>
          <w:tcPr>
            <w:tcW w:w="6220" w:type="dxa"/>
            <w:vAlign w:val="bottom"/>
          </w:tcPr>
          <w:p>
            <w:pPr>
              <w:jc w:val="center"/>
              <w:ind w:left="209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1460" w:type="dxa"/>
            <w:vAlign w:val="bottom"/>
          </w:tcPr>
          <w:p>
            <w:pPr>
              <w:spacing w:after="0"/>
              <w:rPr>
                <w:sz w:val="18"/>
                <w:szCs w:val="18"/>
                <w:color w:val="auto"/>
              </w:rPr>
            </w:pPr>
          </w:p>
        </w:tc>
      </w:tr>
      <w:tr>
        <w:trPr>
          <w:trHeight w:val="587"/>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41"/>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89"/>
        </w:trPr>
        <w:tc>
          <w:tcPr>
            <w:tcW w:w="622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899 Kifer Road</w:t>
            </w:r>
          </w:p>
        </w:tc>
        <w:tc>
          <w:tcPr>
            <w:tcW w:w="1460" w:type="dxa"/>
            <w:vAlign w:val="bottom"/>
          </w:tcPr>
          <w:p>
            <w:pPr>
              <w:spacing w:after="0"/>
              <w:rPr>
                <w:sz w:val="24"/>
                <w:szCs w:val="24"/>
                <w:color w:val="auto"/>
              </w:rPr>
            </w:pPr>
          </w:p>
        </w:tc>
      </w:tr>
      <w:tr>
        <w:trPr>
          <w:trHeight w:val="238"/>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1460" w:type="dxa"/>
            <w:vAlign w:val="bottom"/>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w w:val="97"/>
              </w:rPr>
              <w:t>94086</w:t>
            </w:r>
          </w:p>
        </w:tc>
      </w:tr>
      <w:tr>
        <w:trPr>
          <w:trHeight w:val="251"/>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6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33"/>
        </w:trPr>
        <w:tc>
          <w:tcPr>
            <w:tcW w:w="6220" w:type="dxa"/>
            <w:vAlign w:val="bottom"/>
          </w:tcPr>
          <w:p>
            <w:pPr>
              <w:jc w:val="center"/>
              <w:ind w:left="20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1460" w:type="dxa"/>
            <w:vAlign w:val="bottom"/>
          </w:tcPr>
          <w:p>
            <w:pPr>
              <w:spacing w:after="0"/>
              <w:rPr>
                <w:sz w:val="20"/>
                <w:szCs w:val="20"/>
                <w:color w:val="auto"/>
              </w:rPr>
            </w:pPr>
          </w:p>
        </w:tc>
      </w:tr>
      <w:tr>
        <w:trPr>
          <w:trHeight w:val="212"/>
        </w:trPr>
        <w:tc>
          <w:tcPr>
            <w:tcW w:w="6220" w:type="dxa"/>
            <w:vAlign w:val="bottom"/>
          </w:tcPr>
          <w:p>
            <w:pPr>
              <w:jc w:val="center"/>
              <w:ind w:left="207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460" w:type="dxa"/>
            <w:vAlign w:val="bottom"/>
          </w:tcPr>
          <w:p>
            <w:pPr>
              <w:spacing w:after="0"/>
              <w:rPr>
                <w:sz w:val="18"/>
                <w:szCs w:val="18"/>
                <w:color w:val="auto"/>
              </w:rPr>
            </w:pPr>
          </w:p>
        </w:tc>
      </w:tr>
    </w:tbl>
    <w:p>
      <w:pPr>
        <w:spacing w:after="0" w:line="163" w:lineRule="exact"/>
        <w:rPr>
          <w:sz w:val="24"/>
          <w:szCs w:val="24"/>
          <w:color w:val="auto"/>
        </w:rPr>
      </w:pPr>
    </w:p>
    <w:p>
      <w:pPr>
        <w:ind w:right="80" w:firstLine="24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2" w:lineRule="exact"/>
        <w:rPr>
          <w:sz w:val="24"/>
          <w:szCs w:val="24"/>
          <w:color w:val="auto"/>
        </w:rPr>
      </w:pPr>
    </w:p>
    <w:p>
      <w:pPr>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5" w:right="279" w:bottom="1440" w:gutter="0" w:footer="0" w:header="0"/>
        </w:sectPr>
      </w:pPr>
    </w:p>
    <w:p>
      <w:pPr>
        <w:spacing w:after="0" w:line="338" w:lineRule="exact"/>
        <w:rPr>
          <w:sz w:val="24"/>
          <w:szCs w:val="24"/>
          <w:color w:val="auto"/>
        </w:rPr>
      </w:pPr>
    </w:p>
    <w:p>
      <w:pPr>
        <w:ind w:left="160"/>
        <w:spacing w:after="0"/>
        <w:tabs>
          <w:tab w:leader="none" w:pos="28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8"/>
          <w:szCs w:val="18"/>
          <w:color w:val="auto"/>
        </w:rPr>
        <w:t>x</w:t>
      </w:r>
    </w:p>
    <w:p>
      <w:pPr>
        <w:spacing w:after="0" w:line="11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(Do not check if smaller reporting</w:t>
      </w:r>
    </w:p>
    <w:p>
      <w:pPr>
        <w:spacing w:after="0" w:line="27" w:lineRule="exact"/>
        <w:rPr>
          <w:sz w:val="24"/>
          <w:szCs w:val="24"/>
          <w:color w:val="auto"/>
        </w:rPr>
      </w:pPr>
    </w:p>
    <w:p>
      <w:pPr>
        <w:ind w:left="160"/>
        <w:spacing w:after="0"/>
        <w:tabs>
          <w:tab w:leader="none" w:pos="2820" w:val="left"/>
          <w:tab w:leader="none" w:pos="31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tabs>
          <w:tab w:leader="none" w:pos="2660" w:val="left"/>
        </w:tabs>
        <w:rPr>
          <w:sz w:val="20"/>
          <w:szCs w:val="20"/>
          <w:color w:val="auto"/>
        </w:rPr>
      </w:pP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Times New Roman" w:cs="Times New Roman" w:eastAsia="Times New Roman" w:hAnsi="Times New Roman"/>
          <w:sz w:val="18"/>
          <w:szCs w:val="18"/>
          <w:color w:val="auto"/>
        </w:rPr>
        <w:t>Smaller reporting company</w:t>
      </w:r>
      <w:r>
        <w:rPr>
          <w:sz w:val="20"/>
          <w:szCs w:val="20"/>
          <w:color w:val="auto"/>
        </w:rPr>
        <w:tab/>
      </w:r>
      <w:r>
        <w:rPr>
          <w:rFonts w:ascii="Times New Roman" w:cs="Times New Roman" w:eastAsia="Times New Roman" w:hAnsi="Times New Roman"/>
          <w:sz w:val="18"/>
          <w:szCs w:val="18"/>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8"/>
          <w:szCs w:val="18"/>
          <w:color w:val="auto"/>
        </w:rPr>
        <w:t>o</w:t>
      </w:r>
    </w:p>
    <w:p>
      <w:pPr>
        <w:sectPr>
          <w:pgSz w:w="11900" w:h="16838" w:orient="portrait"/>
          <w:cols w:equalWidth="0" w:num="2">
            <w:col w:w="7600" w:space="720"/>
            <w:col w:w="3060"/>
          </w:cols>
          <w:pgMar w:left="240" w:top="225" w:right="27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8" w:lineRule="exact"/>
        <w:rPr>
          <w:sz w:val="20"/>
          <w:szCs w:val="20"/>
          <w:color w:val="auto"/>
        </w:rPr>
      </w:pPr>
    </w:p>
    <w:p>
      <w:pPr>
        <w:ind w:left="280" w:right="2400"/>
        <w:spacing w:after="0" w:line="470"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 As of October 27, 2017, there were 173,900,211 shares of the registrant’s common stock outstanding.</w:t>
      </w:r>
    </w:p>
    <w:p>
      <w:pPr>
        <w:sectPr>
          <w:pgSz w:w="11900" w:h="16838" w:orient="portrait"/>
          <w:cols w:equalWidth="0" w:num="1">
            <w:col w:w="11340"/>
          </w:cols>
          <w:pgMar w:left="240" w:top="118" w:right="31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2017</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40" w:type="dxa"/>
            <w:vAlign w:val="bottom"/>
            <w:gridSpan w:val="6"/>
            <w:vMerge w:val="restart"/>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September 30, 2017 and December 31, 2016</w:t>
              </w:r>
            </w:hyperlink>
          </w:p>
        </w:tc>
        <w:tc>
          <w:tcPr>
            <w:tcW w:w="274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and Nine Months Ended September 30, 2017 and 2016</w:t>
              </w:r>
            </w:hyperlink>
          </w:p>
        </w:tc>
        <w:tc>
          <w:tcPr>
            <w:tcW w:w="68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for the Three and Nine Months Ended September 30, 2017 and</w:t>
              </w:r>
            </w:hyperlink>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gridSpan w:val="3"/>
          </w:tcPr>
          <w:p>
            <w:pPr>
              <w:ind w:left="460"/>
              <w:spacing w:after="0" w:line="196" w:lineRule="exact"/>
              <w:rPr>
                <w:rFonts w:ascii="Times New Roman" w:cs="Times New Roman" w:eastAsia="Times New Roman" w:hAnsi="Times New Roman"/>
                <w:sz w:val="18"/>
                <w:szCs w:val="18"/>
                <w:color w:val="0000EE"/>
                <w:w w:val="72"/>
              </w:rPr>
            </w:pPr>
            <w:hyperlink w:anchor="page6">
              <w:r>
                <w:rPr>
                  <w:rFonts w:ascii="Times New Roman" w:cs="Times New Roman" w:eastAsia="Times New Roman" w:hAnsi="Times New Roman"/>
                  <w:sz w:val="18"/>
                  <w:szCs w:val="18"/>
                  <w:color w:val="0000EE"/>
                  <w:w w:val="72"/>
                </w:rPr>
                <w:t>2016</w:t>
              </w:r>
            </w:hyperlink>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32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September 30, 2017 and 2016</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92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14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1"/>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1"/>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Quantitative and Qualitative Disclosures about Market Risk</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8"/>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548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6"/>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Legal Proceedings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Risk Factors</w:t>
              </w:r>
            </w:hyperlink>
          </w:p>
        </w:tc>
        <w:tc>
          <w:tcPr>
            <w:tcW w:w="420" w:type="dxa"/>
            <w:vAlign w:val="bottom"/>
          </w:tcPr>
          <w:p>
            <w:pPr>
              <w:spacing w:after="0"/>
              <w:rPr>
                <w:sz w:val="21"/>
                <w:szCs w:val="21"/>
                <w:color w:val="auto"/>
              </w:rPr>
            </w:pPr>
          </w:p>
        </w:tc>
        <w:tc>
          <w:tcPr>
            <w:tcW w:w="84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6"/>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tcBorders>
              <w:left w:val="single" w:sz="8" w:color="0000EE"/>
            </w:tcBorders>
            <w:gridSpan w:val="6"/>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rFonts w:ascii="Times New Roman" w:cs="Times New Roman" w:eastAsia="Times New Roman" w:hAnsi="Times New Roman"/>
                <w:sz w:val="18"/>
                <w:szCs w:val="18"/>
                <w:color w:val="0000EE"/>
                <w:w w:val="96"/>
              </w:rPr>
            </w:pPr>
            <w:hyperlink w:anchor="page70">
              <w:r>
                <w:rPr>
                  <w:rFonts w:ascii="Times New Roman" w:cs="Times New Roman" w:eastAsia="Times New Roman" w:hAnsi="Times New Roman"/>
                  <w:sz w:val="18"/>
                  <w:szCs w:val="18"/>
                  <w:color w:val="0000EE"/>
                  <w:w w:val="96"/>
                </w:rPr>
                <w:t>Exhibits</w:t>
              </w:r>
            </w:hyperlink>
          </w:p>
        </w:tc>
        <w:tc>
          <w:tcPr>
            <w:tcW w:w="3740" w:type="dxa"/>
            <w:vAlign w:val="bottom"/>
            <w:gridSpan w:val="7"/>
          </w:tcPr>
          <w:p>
            <w:pPr>
              <w:spacing w:after="0"/>
              <w:rPr>
                <w:sz w:val="21"/>
                <w:szCs w:val="21"/>
                <w:color w:val="auto"/>
              </w:rPr>
            </w:pPr>
          </w:p>
        </w:tc>
        <w:tc>
          <w:tcPr>
            <w:tcW w:w="54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Times New Roman" w:cs="Times New Roman" w:eastAsia="Times New Roman" w:hAnsi="Times New Roman"/>
                <w:sz w:val="18"/>
                <w:szCs w:val="18"/>
                <w:color w:val="0000EE"/>
                <w:w w:val="94"/>
              </w:rPr>
            </w:pPr>
            <w:hyperlink w:anchor="page72">
              <w:r>
                <w:rPr>
                  <w:rFonts w:ascii="Times New Roman" w:cs="Times New Roman" w:eastAsia="Times New Roman" w:hAnsi="Times New Roman"/>
                  <w:sz w:val="18"/>
                  <w:szCs w:val="18"/>
                  <w:color w:val="0000EE"/>
                  <w:w w:val="94"/>
                </w:rPr>
                <w:t>Signatures</w:t>
              </w:r>
            </w:hyperlink>
          </w:p>
        </w:tc>
        <w:tc>
          <w:tcPr>
            <w:tcW w:w="9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0"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0"/>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5"/>
        </w:trPr>
        <w:tc>
          <w:tcPr>
            <w:tcW w:w="820" w:type="dxa"/>
            <w:vAlign w:val="bottom"/>
          </w:tcPr>
          <w:p>
            <w:pPr>
              <w:spacing w:after="0"/>
              <w:rPr>
                <w:sz w:val="23"/>
                <w:szCs w:val="23"/>
                <w:color w:val="auto"/>
              </w:rPr>
            </w:pPr>
          </w:p>
        </w:tc>
        <w:tc>
          <w:tcPr>
            <w:tcW w:w="7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8"/>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amounts)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5"/>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709,003</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369,961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376,522</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receivable—Net of reserves for sales returns and doubtful accounts of $14,787 and $11,235 at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September 30, 2017 and December 31, 2016,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312,998</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106,887</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33,306</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1,650,651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1,538,716</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224,983</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182,745</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137,249</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24,828</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14,553</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16,867</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2,395,279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2,139,941</w:t>
            </w:r>
          </w:p>
        </w:tc>
      </w:tr>
      <w:tr>
        <w:trPr>
          <w:trHeight w:val="20"/>
        </w:trPr>
        <w:tc>
          <w:tcPr>
            <w:tcW w:w="83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56,732</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35,640</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78,138</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13,588</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734,313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645,342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910,639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829,440</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390,007</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68,551</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14,262</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1,493,054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1,302,260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 $0.001 par value—300,000 shares authorized; 174,625 and 173,078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September 30, 2017 and December 31, 2016,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800,653</w:t>
            </w: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37,620</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902,225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837,681</w:t>
            </w:r>
          </w:p>
        </w:tc>
      </w:tr>
      <w:tr>
        <w:trPr>
          <w:trHeight w:val="25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2,395,279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2,139,941</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94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gridSpan w:val="4"/>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0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840" w:type="dxa"/>
            <w:vAlign w:val="bottom"/>
            <w:gridSpan w:val="10"/>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260" w:type="dxa"/>
            <w:vAlign w:val="bottom"/>
            <w:gridSpan w:val="7"/>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amounts)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9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415,053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389,185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237,122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188,674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663,209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523,428</w:t>
            </w:r>
          </w:p>
        </w:tc>
        <w:tc>
          <w:tcPr>
            <w:tcW w:w="0" w:type="dxa"/>
            <w:vAlign w:val="bottom"/>
          </w:tcPr>
          <w:p>
            <w:pPr>
              <w:spacing w:after="0"/>
              <w:rPr>
                <w:sz w:val="1"/>
                <w:szCs w:val="1"/>
                <w:color w:val="auto"/>
              </w:rPr>
            </w:pPr>
          </w:p>
        </w:tc>
      </w:tr>
      <w:tr>
        <w:trPr>
          <w:trHeight w:val="237"/>
        </w:trPr>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374,217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316,646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1,078,262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912,613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152,368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94,578</w:t>
            </w:r>
          </w:p>
        </w:tc>
        <w:tc>
          <w:tcPr>
            <w:tcW w:w="0" w:type="dxa"/>
            <w:vAlign w:val="bottom"/>
          </w:tcPr>
          <w:p>
            <w:pPr>
              <w:spacing w:after="0"/>
              <w:rPr>
                <w:sz w:val="1"/>
                <w:szCs w:val="1"/>
                <w:color w:val="auto"/>
              </w:rPr>
            </w:pPr>
          </w:p>
        </w:tc>
      </w:tr>
      <w:tr>
        <w:trPr>
          <w:trHeight w:val="237"/>
        </w:trPr>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cost of revenue</w:t>
            </w:r>
          </w:p>
        </w:tc>
        <w:tc>
          <w:tcPr>
            <w:tcW w:w="2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93,649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84,799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279,865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246,946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236,817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201,579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557,534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428,850</w:t>
            </w:r>
          </w:p>
        </w:tc>
        <w:tc>
          <w:tcPr>
            <w:tcW w:w="0" w:type="dxa"/>
            <w:vAlign w:val="bottom"/>
          </w:tcPr>
          <w:p>
            <w:pPr>
              <w:spacing w:after="0"/>
              <w:rPr>
                <w:sz w:val="1"/>
                <w:szCs w:val="1"/>
                <w:color w:val="auto"/>
              </w:rPr>
            </w:pPr>
          </w:p>
        </w:tc>
      </w:tr>
      <w:tr>
        <w:trPr>
          <w:trHeight w:val="237"/>
        </w:trPr>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gross profit</w:t>
            </w:r>
          </w:p>
        </w:tc>
        <w:tc>
          <w:tcPr>
            <w:tcW w:w="2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280,568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231,847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798,397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665,667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155,840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137,495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463,628</w:t>
            </w:r>
          </w:p>
        </w:tc>
        <w:tc>
          <w:tcPr>
            <w:tcW w:w="0" w:type="dxa"/>
            <w:vAlign w:val="bottom"/>
          </w:tcPr>
          <w:p>
            <w:pPr>
              <w:spacing w:after="0"/>
              <w:rPr>
                <w:sz w:val="1"/>
                <w:szCs w:val="1"/>
                <w:color w:val="auto"/>
              </w:rPr>
            </w:pPr>
          </w:p>
        </w:tc>
      </w:tr>
      <w:tr>
        <w:trPr>
          <w:trHeight w:val="243"/>
        </w:trPr>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63,629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charges</w:t>
            </w:r>
          </w:p>
        </w:tc>
        <w:tc>
          <w:tcPr>
            <w:tcW w:w="2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37"/>
        </w:trPr>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246,872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226,359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730,791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667,916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43"/>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(EXPENSE)—NET</w:t>
            </w:r>
          </w:p>
        </w:tc>
        <w:tc>
          <w:tcPr>
            <w:tcW w:w="2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37"/>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78,916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23"/>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vMerge w:val="restart"/>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26,610</w:t>
            </w:r>
          </w:p>
        </w:tc>
        <w:tc>
          <w:tcPr>
            <w:tcW w:w="10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60,360</w:t>
            </w:r>
          </w:p>
        </w:tc>
        <w:tc>
          <w:tcPr>
            <w:tcW w:w="1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102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2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(Note 8):</w:t>
            </w:r>
          </w:p>
        </w:tc>
        <w:tc>
          <w:tcPr>
            <w:tcW w:w="2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51"/>
        </w:trPr>
        <w:tc>
          <w:tcPr>
            <w:tcW w:w="2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40" w:type="dxa"/>
            <w:vAlign w:val="bottom"/>
            <w:gridSpan w:val="2"/>
            <w:vMerge w:val="continue"/>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175,519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173,335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172,212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178,973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177,938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178,987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176,046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114"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72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3700" w:type="dxa"/>
            <w:vAlign w:val="bottom"/>
          </w:tcPr>
          <w:p>
            <w:pPr>
              <w:spacing w:after="0"/>
              <w:rPr>
                <w:sz w:val="24"/>
                <w:szCs w:val="24"/>
                <w:color w:val="auto"/>
              </w:rPr>
            </w:pPr>
          </w:p>
        </w:tc>
        <w:tc>
          <w:tcPr>
            <w:tcW w:w="20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8"/>
        </w:trPr>
        <w:tc>
          <w:tcPr>
            <w:tcW w:w="1020" w:type="dxa"/>
            <w:vAlign w:val="bottom"/>
          </w:tcPr>
          <w:p>
            <w:pPr>
              <w:spacing w:after="0"/>
              <w:rPr>
                <w:sz w:val="21"/>
                <w:szCs w:val="21"/>
                <w:color w:val="auto"/>
              </w:rPr>
            </w:pPr>
          </w:p>
        </w:tc>
        <w:tc>
          <w:tcPr>
            <w:tcW w:w="8920" w:type="dxa"/>
            <w:vAlign w:val="bottom"/>
            <w:gridSpan w:val="11"/>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8"/>
        </w:trPr>
        <w:tc>
          <w:tcPr>
            <w:tcW w:w="10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9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1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10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0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10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7,021</w:t>
            </w:r>
          </w:p>
        </w:tc>
      </w:tr>
      <w:tr>
        <w:trPr>
          <w:trHeight w:val="243"/>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r>
      <w:tr>
        <w:trPr>
          <w:trHeight w:val="225"/>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Tax provision (benefit) related to change in unrealized gains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(losses) on investments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r>
      <w:tr>
        <w:trPr>
          <w:trHeight w:val="27"/>
        </w:trPr>
        <w:tc>
          <w:tcPr>
            <w:tcW w:w="10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w:t>
            </w:r>
          </w:p>
        </w:tc>
      </w:tr>
      <w:tr>
        <w:trPr>
          <w:trHeight w:val="257"/>
        </w:trPr>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60,709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8,107</w:t>
            </w:r>
          </w:p>
        </w:tc>
      </w:tr>
      <w:tr>
        <w:trPr>
          <w:trHeight w:val="20"/>
        </w:trPr>
        <w:tc>
          <w:tcPr>
            <w:tcW w:w="10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5"/>
        </w:trPr>
        <w:tc>
          <w:tcPr>
            <w:tcW w:w="8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60,360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7,021</w:t>
            </w:r>
          </w:p>
        </w:tc>
      </w:tr>
      <w:tr>
        <w:trPr>
          <w:trHeight w:val="275"/>
        </w:trPr>
        <w:tc>
          <w:tcPr>
            <w:tcW w:w="8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5"/>
        </w:trPr>
        <w:tc>
          <w:tcPr>
            <w:tcW w:w="8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34,896</w:t>
            </w:r>
          </w:p>
        </w:tc>
      </w:tr>
      <w:tr>
        <w:trPr>
          <w:trHeight w:val="275"/>
        </w:trPr>
        <w:tc>
          <w:tcPr>
            <w:tcW w:w="8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Amortization of investment premiums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3,828</w:t>
            </w:r>
          </w:p>
        </w:tc>
      </w:tr>
      <w:tr>
        <w:trPr>
          <w:trHeight w:val="265"/>
        </w:trPr>
        <w:tc>
          <w:tcPr>
            <w:tcW w:w="8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102,729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90,342</w:t>
            </w:r>
          </w:p>
        </w:tc>
      </w:tr>
      <w:tr>
        <w:trPr>
          <w:trHeight w:val="275"/>
        </w:trPr>
        <w:tc>
          <w:tcPr>
            <w:tcW w:w="8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Other non-cash items—net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4,846</w:t>
            </w:r>
          </w:p>
        </w:tc>
      </w:tr>
      <w:tr>
        <w:trPr>
          <w:trHeight w:val="265"/>
        </w:trPr>
        <w:tc>
          <w:tcPr>
            <w:tcW w:w="8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5"/>
        </w:trPr>
        <w:tc>
          <w:tcPr>
            <w:tcW w:w="85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Accounts receivable—net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12,788</w:t>
            </w:r>
          </w:p>
        </w:tc>
      </w:tr>
      <w:tr>
        <w:trPr>
          <w:trHeight w:val="265"/>
        </w:trPr>
        <w:tc>
          <w:tcPr>
            <w:tcW w:w="85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(24,555)</w:t>
            </w:r>
          </w:p>
        </w:tc>
      </w:tr>
      <w:tr>
        <w:trPr>
          <w:trHeight w:val="275"/>
        </w:trPr>
        <w:tc>
          <w:tcPr>
            <w:tcW w:w="85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(35,005)</w:t>
            </w:r>
          </w:p>
        </w:tc>
      </w:tr>
      <w:tr>
        <w:trPr>
          <w:trHeight w:val="265"/>
        </w:trPr>
        <w:tc>
          <w:tcPr>
            <w:tcW w:w="85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4,301</w:t>
            </w:r>
          </w:p>
        </w:tc>
      </w:tr>
      <w:tr>
        <w:trPr>
          <w:trHeight w:val="275"/>
        </w:trPr>
        <w:tc>
          <w:tcPr>
            <w:tcW w:w="85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r>
      <w:tr>
        <w:trPr>
          <w:trHeight w:val="265"/>
        </w:trPr>
        <w:tc>
          <w:tcPr>
            <w:tcW w:w="85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r>
      <w:tr>
        <w:trPr>
          <w:trHeight w:val="275"/>
        </w:trPr>
        <w:tc>
          <w:tcPr>
            <w:tcW w:w="85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598</w:t>
            </w:r>
          </w:p>
        </w:tc>
      </w:tr>
      <w:tr>
        <w:trPr>
          <w:trHeight w:val="265"/>
        </w:trPr>
        <w:tc>
          <w:tcPr>
            <w:tcW w:w="85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16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3,253</w:t>
            </w:r>
          </w:p>
        </w:tc>
      </w:tr>
      <w:tr>
        <w:trPr>
          <w:trHeight w:val="275"/>
        </w:trPr>
        <w:tc>
          <w:tcPr>
            <w:tcW w:w="85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r>
      <w:tr>
        <w:trPr>
          <w:trHeight w:val="265"/>
        </w:trPr>
        <w:tc>
          <w:tcPr>
            <w:tcW w:w="85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142,867</w:t>
            </w:r>
          </w:p>
        </w:tc>
      </w:tr>
      <w:tr>
        <w:trPr>
          <w:trHeight w:val="270"/>
        </w:trPr>
        <w:tc>
          <w:tcPr>
            <w:tcW w:w="85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6,789</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436,863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244,671</w:t>
            </w:r>
          </w:p>
        </w:tc>
      </w:tr>
      <w:tr>
        <w:trPr>
          <w:trHeight w:val="269"/>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5"/>
        </w:trPr>
        <w:tc>
          <w:tcPr>
            <w:tcW w:w="8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(359,569)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(370,573)</w:t>
            </w:r>
          </w:p>
        </w:tc>
      </w:tr>
      <w:tr>
        <w:trPr>
          <w:trHeight w:val="275"/>
        </w:trPr>
        <w:tc>
          <w:tcPr>
            <w:tcW w:w="8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Sales of investments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21,805</w:t>
            </w:r>
          </w:p>
        </w:tc>
      </w:tr>
      <w:tr>
        <w:trPr>
          <w:trHeight w:val="265"/>
        </w:trPr>
        <w:tc>
          <w:tcPr>
            <w:tcW w:w="8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329,132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344,959</w:t>
            </w:r>
          </w:p>
        </w:tc>
      </w:tr>
      <w:tr>
        <w:trPr>
          <w:trHeight w:val="275"/>
        </w:trPr>
        <w:tc>
          <w:tcPr>
            <w:tcW w:w="8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(121,641)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(50,319)</w:t>
            </w:r>
          </w:p>
        </w:tc>
      </w:tr>
      <w:tr>
        <w:trPr>
          <w:trHeight w:val="265"/>
        </w:trPr>
        <w:tc>
          <w:tcPr>
            <w:tcW w:w="8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Payments made in connection with business acquisition, net of cash acquired</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(22,087)</w:t>
            </w:r>
          </w:p>
        </w:tc>
      </w:tr>
      <w:tr>
        <w:trPr>
          <w:trHeight w:val="255"/>
        </w:trPr>
        <w:tc>
          <w:tcPr>
            <w:tcW w:w="8580" w:type="dxa"/>
            <w:vAlign w:val="bottom"/>
            <w:tcBorders>
              <w:top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(142,083)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(76,215)</w:t>
            </w:r>
          </w:p>
        </w:tc>
      </w:tr>
      <w:tr>
        <w:trPr>
          <w:trHeight w:val="259"/>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5"/>
        </w:trPr>
        <w:tc>
          <w:tcPr>
            <w:tcW w:w="8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42,292</w:t>
            </w:r>
          </w:p>
        </w:tc>
      </w:tr>
      <w:tr>
        <w:trPr>
          <w:trHeight w:val="265"/>
        </w:trPr>
        <w:tc>
          <w:tcPr>
            <w:tcW w:w="8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(29,886)</w:t>
            </w:r>
          </w:p>
        </w:tc>
      </w:tr>
      <w:tr>
        <w:trPr>
          <w:trHeight w:val="275"/>
        </w:trPr>
        <w:tc>
          <w:tcPr>
            <w:tcW w:w="8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(123,956)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265"/>
        </w:trPr>
        <w:tc>
          <w:tcPr>
            <w:tcW w:w="8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Payments of debt assumed in connection with business acquisition</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r>
      <w:tr>
        <w:trPr>
          <w:trHeight w:val="250"/>
        </w:trPr>
        <w:tc>
          <w:tcPr>
            <w:tcW w:w="8580" w:type="dxa"/>
            <w:vAlign w:val="bottom"/>
            <w:tcBorders>
              <w:top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(97,989)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(64,220)</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104,236</w:t>
            </w: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709,003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543,277</w:t>
            </w:r>
          </w:p>
        </w:tc>
      </w:tr>
      <w:tr>
        <w:trPr>
          <w:trHeight w:val="282"/>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905,794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647,513</w:t>
            </w:r>
          </w:p>
        </w:tc>
      </w:tr>
      <w:tr>
        <w:trPr>
          <w:trHeight w:val="251"/>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8,598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8,325</w:t>
            </w: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15,627</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2016, contained in our Annual Report on Form 10-K filed with the SEC on March 1, 2017.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2017 are not necessarily indicative of the results for the full year or for any future periods. The condensed consolidated balance sheet as of December 31, 2016 is derived from the audited consolidated financial statements for the year ended December 31, 2016.</w:t>
      </w:r>
    </w:p>
    <w:p>
      <w:pPr>
        <w:spacing w:after="0" w:line="19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 Certain amounts in prior periods have been reclassified to conform with current period presentation.</w:t>
      </w:r>
    </w:p>
    <w:p>
      <w:pPr>
        <w:spacing w:after="0" w:line="176" w:lineRule="exact"/>
        <w:rPr>
          <w:sz w:val="20"/>
          <w:szCs w:val="20"/>
          <w:color w:val="auto"/>
        </w:rPr>
      </w:pPr>
    </w:p>
    <w:p>
      <w:pPr>
        <w:ind w:right="460" w:firstLine="648"/>
        <w:spacing w:after="0" w:line="313" w:lineRule="auto"/>
        <w:rPr>
          <w:sz w:val="20"/>
          <w:szCs w:val="20"/>
          <w:color w:val="auto"/>
        </w:rPr>
      </w:pPr>
      <w:r>
        <w:rPr>
          <w:rFonts w:ascii="Times New Roman" w:cs="Times New Roman" w:eastAsia="Times New Roman" w:hAnsi="Times New Roman"/>
          <w:sz w:val="17"/>
          <w:szCs w:val="17"/>
          <w:color w:val="auto"/>
        </w:rPr>
        <w:t>There have been no material changes to our significant accounting policies as of and for the three and nine months ended September 30, 2017, except for changes to our policies related to business combinations. For more information, refer to the “Recently Adopted Accounting Standards.”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Combinations – Definition of a Business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2017, the Financial Accounting Standards Board (the “FASB”) issued Accounting Standards Update (“ASU”) ASU 2017-01—Business Combinations: Clarifying the Definition of a Business, which clarifies the definition of a business to assist organizations with evaluating whether transactions should be accounted for as acquisitions (or disposals) of assets or businesses. The definition of a business affects many areas of accounting including acquisitions, disposals, goodwill and consolidation. We elected to early adopt ASU 2017-01 on a prospective basis beginning on January 1, 2017. The adoption of ASU 2017-01 did not have a material impact on our consolidated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Share-Based Payment Accounting</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May 2017, the FASB issued ASU 2017-09—Compensation—Stock Compensation to clarify when to account for a change to the terms or conditions of a share-based payment award as a modification. Under ASU 2017-09, modification accounting is required only if the fair value, the vesting conditions or the classification of the award (as equity or liability) changes as a result of the change in terms or conditions. ASU 2017-09 is effective prospectively for us beginning on January 1, 2018. We do not believe ASU 2017-09 will have a material impact on our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118" w:right="2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2017-04—Intangibles—Goodwill and Other: Simplifying the Test for Goodwill Impairment.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us beginning on January 1, 2020. Early adoption is permitted for interim or annual goodwill impairment tests performed after January 1, 2017. At adoption, this update will require a prospective approach. We early adopted ASU 2017-04 on October 1, 2017. The adoption did not have a material impact on our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 – Intra-Entity Asset Transfers</w:t>
      </w:r>
    </w:p>
    <w:p>
      <w:pPr>
        <w:spacing w:after="0" w:line="227"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In October 2016, the FASB issued ASU 2016-16—Income Taxes: Intra-Entity Transfer of Assets Other Than Inventory, which requires the recognition of the income tax consequences of an intra-entity transfer of an asset, other than inventory, when the transfer occurs. ASU 2016-16 will be effective for us beginning on January 1, 2018. We are currently evaluating the impact of ASU 2016-16 on our consolidated financial statements.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22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2016-13—Financial Instruments—Credit Losses—Measurement of Credit Losses on Financial Instruments, which requires measurement and recognition of expected credit losses for financial assets held. ASU 2016-13 is effective for us beginning on January 1, 2020, with the option to adopt early on January 1, 2019. Based on our current accounts receivable portfolio, we do not believe ASU 2016-13 will have a material impact on our consolidated financial statements.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2016-02—Leases, which requires the recognition of right-of-use assets and lease liabilities on the consolidated balance sheet for substantially all leases. The new guidance includes a number of optional practical expedients that entities may elect to apply. The new guidance will also require significant additional disclosures about the amount, timing and uncertainty of cash flows from leases. This new guidance will be effective for us beginning on January 1, 2019, using a modified retrospective approach. Based on our current lease portfolio, we currently estimate that the value of leased assets and liabilities that may be recognized to be at least $40.0 million. We are continuing to evaluate the impact of ASU 2016-02 and our estimate is subject to change. We do not believe that ASU 2016-02 will have a material impact on our consolidated statements of operations. We expect to expand our disclosures in the notes to consolidated financial statements include more details on our leases, significant judgments and lease-related amounts recognized in the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Instruments – Recognition and Measurement</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2016-01—Financial Instruments—Overall: Recognition and Measurement of Financial Assets and Financial Liabilities, which requires most equity investments to be measured at fair value, with subsequent changes in fair value recognized in net income. A practicality exception will apply to those equity investments that do not have a readily determinable fair value. These investments may be measured at cost, adjusted for changes in observable prices minus impairment. ASU 2016-01 is effective for our cost-method investments beginning on January 1, 2018 on a prospective basis. The adoption of ASU 2016-01 will result in the adjustment to the carrying amount when the cost-method investees complete a financing round subsequent to adoption date.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2014-09—Revenue from Contracts with Customers, which outlines a single, comprehensive model for entities to use in accounting for revenue arising from contracts with customers. The core principle of ASU 2014-09 is to recognize revenue when promised goods or services are transferred to customers in an amount that reflects the consideration that is expected to be received for those goods or services. ASU 2014-09 defines a five-step process to achieve this core principle and, accordingly, we expect more judgment and estimates may be required within the revenue recognition process than is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us beginning January 1, 2018. ASU 2014-09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We will adopt the standard using the modified retrospective method and apply the standard to contracts that are not completed as of January 1, 2018, and recognize the cumulative effect of initially applying the standard as an adjustment to the opening balance of retained earnings.</w:t>
      </w:r>
    </w:p>
    <w:p>
      <w:pPr>
        <w:spacing w:after="0" w:line="19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substantially completed our analysis of historical contracts and believe that the quantitative impact on revenue in our consolidated financial statements is not material. We expect the pattern of revenue recognition from the sales of our FortiGate and other appliances and FortiGuard and FortiCare subscription services to be substantially unchanged on an ongoing basis. We believe that the acceleration of revenue and associated cost of sales to certain channel partners which are currently accounted for only once the product is sold through to the end-customer, and the allocation of revenue related to software due to the removal of the residual method will not have a significant impact on our financial statements.</w:t>
      </w:r>
    </w:p>
    <w:p>
      <w:pPr>
        <w:spacing w:after="0" w:line="18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Under ASU 2014-09, we will be required to capitalize and amortize incremental costs related to obtaining customer contracts, such as sales commission costs related to service contracts. Under current U.S. GAAP, we expense all sales commissions when incurred. Our quantitative analysis of the impact of the change in accounting for sales commissions, including the various components of our current and future compensation plans and the key assumptions associated with the amortization term, is in progress. We believe that the amortization of incremental commission costs of obtaining customer contracts is likely to have a material impact on our financial statements.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expand our financial statement disclosures, which may include more details on our disaggregation of revenue, performance obligations, contract balances and costs to obtain a contract, as well as any significant judgments. We are in the process of documenting process changes, implementing required changes in our systems and developing new controls to support recognition and disclosure under ASU 2014-09. Reviews are ongoing, which may alter our conclusions and the anticipated financial impact. We will continue to assess the impact of ASU 2014-09, along with industry trends until the adoption date.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investments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427,655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427,127</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97,757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97,735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53,127</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39,847</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618,509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617,836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379,494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378,612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95,108</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64,541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59,025</w:t>
            </w:r>
          </w:p>
        </w:tc>
      </w:tr>
      <w:tr>
        <w:trPr>
          <w:trHeight w:val="264"/>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4,219</w:t>
            </w:r>
          </w:p>
        </w:tc>
      </w:tr>
      <w:tr>
        <w:trPr>
          <w:trHeight w:val="264"/>
        </w:trPr>
        <w:tc>
          <w:tcPr>
            <w:tcW w:w="516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602,684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601,505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180" w:hanging="145"/>
        <w:spacing w:after="0"/>
        <w:tabs>
          <w:tab w:leader="none" w:pos="18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The majority of our certificates of deposit and term deposits are foreign deposits.</w:t>
      </w:r>
    </w:p>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investments that have been in a continuous unrealized loss position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294,479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330,124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391,378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435,649</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325,521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415,004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428,545</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376,522</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between one and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224,983</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617,836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601,505</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and the related tax impact included as a separate component of stockholders’ equity and in comprehensive income. Realized gains and losses on available-for-sale securities are insignificant in the periods presented and are included in Other income (expense)—net in our condensed consolidated statements of operations. We use the specific identification method to determine the cost basis of investments sold.</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September 30, 2017.</w:t>
      </w:r>
    </w:p>
    <w:p>
      <w:pPr>
        <w:spacing w:after="0" w:line="153"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62" w:lineRule="exact"/>
        <w:rPr>
          <w:sz w:val="20"/>
          <w:szCs w:val="20"/>
          <w:color w:val="auto"/>
        </w:rPr>
      </w:pPr>
    </w:p>
    <w:p>
      <w:pPr>
        <w:ind w:left="1300" w:right="5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as of September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5"/>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w w:val="92"/>
              </w:rPr>
              <w:t>Quoted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60" w:type="dxa"/>
            <w:vAlign w:val="bottom"/>
          </w:tcPr>
          <w:p>
            <w:pPr>
              <w:spacing w:after="0"/>
              <w:rPr>
                <w:sz w:val="11"/>
                <w:szCs w:val="11"/>
                <w:color w:val="auto"/>
              </w:rPr>
            </w:pPr>
          </w:p>
        </w:tc>
        <w:tc>
          <w:tcPr>
            <w:tcW w:w="98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35"/>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98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80" w:type="dxa"/>
            <w:vAlign w:val="bottom"/>
          </w:tcPr>
          <w:p>
            <w:pPr>
              <w:spacing w:after="0"/>
              <w:rPr>
                <w:sz w:val="11"/>
                <w:szCs w:val="11"/>
                <w:color w:val="auto"/>
              </w:rPr>
            </w:pPr>
          </w:p>
        </w:tc>
        <w:tc>
          <w:tcPr>
            <w:tcW w:w="84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Markets For</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60" w:type="dxa"/>
            <w:vAlign w:val="bottom"/>
          </w:tcPr>
          <w:p>
            <w:pPr>
              <w:spacing w:after="0"/>
              <w:rPr>
                <w:sz w:val="11"/>
                <w:szCs w:val="11"/>
                <w:color w:val="auto"/>
              </w:rPr>
            </w:pPr>
          </w:p>
        </w:tc>
        <w:tc>
          <w:tcPr>
            <w:tcW w:w="98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r>
      <w:tr>
        <w:trPr>
          <w:trHeight w:val="135"/>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80" w:type="dxa"/>
            <w:vAlign w:val="bottom"/>
          </w:tcPr>
          <w:p>
            <w:pPr>
              <w:spacing w:after="0"/>
              <w:rPr>
                <w:sz w:val="11"/>
                <w:szCs w:val="11"/>
                <w:color w:val="auto"/>
              </w:rPr>
            </w:pPr>
          </w:p>
        </w:tc>
        <w:tc>
          <w:tcPr>
            <w:tcW w:w="840" w:type="dxa"/>
            <w:vAlign w:val="bottom"/>
          </w:tcPr>
          <w:p>
            <w:pPr>
              <w:jc w:val="center"/>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Identical</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60" w:type="dxa"/>
            <w:vAlign w:val="bottom"/>
          </w:tcPr>
          <w:p>
            <w:pPr>
              <w:spacing w:after="0"/>
              <w:rPr>
                <w:sz w:val="11"/>
                <w:szCs w:val="11"/>
                <w:color w:val="auto"/>
              </w:rPr>
            </w:pPr>
          </w:p>
        </w:tc>
        <w:tc>
          <w:tcPr>
            <w:tcW w:w="98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r>
      <w:tr>
        <w:trPr>
          <w:trHeight w:val="176"/>
        </w:trPr>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3"/>
              </w:rPr>
              <w:t>Inputs</w:t>
            </w:r>
          </w:p>
        </w:tc>
      </w:tr>
      <w:tr>
        <w:trPr>
          <w:trHeight w:val="224"/>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Pr>
          <w:p>
            <w:pPr>
              <w:spacing w:after="0"/>
              <w:rPr>
                <w:sz w:val="19"/>
                <w:szCs w:val="19"/>
                <w:color w:val="auto"/>
              </w:rPr>
            </w:pPr>
          </w:p>
        </w:tc>
        <w:tc>
          <w:tcPr>
            <w:tcW w:w="98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427,127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427,127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378,612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378,612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111,726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105,097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Pr>
          <w:p>
            <w:pPr>
              <w:spacing w:after="0"/>
              <w:rPr>
                <w:sz w:val="20"/>
                <w:szCs w:val="20"/>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53,127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47,681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64,541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52,082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39,847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59,025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20,271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20,271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38,649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2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5"/>
        </w:trPr>
        <w:tc>
          <w:tcPr>
            <w:tcW w:w="2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and term deposits </w:t>
            </w:r>
            <w:r>
              <w:rPr>
                <w:rFonts w:ascii="Times New Roman" w:cs="Times New Roman" w:eastAsia="Times New Roman" w:hAnsi="Times New Roman"/>
                <w:sz w:val="18"/>
                <w:szCs w:val="18"/>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55,424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55,424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59,479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59,479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707,522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67,952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639,570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705,403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90,731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614,672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89,686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103,898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369,961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376,522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247,875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224,983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707,522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705,403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ind w:left="160" w:hanging="152"/>
        <w:spacing w:after="0"/>
        <w:tabs>
          <w:tab w:leader="none" w:pos="16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Subsequent to the issuance of our consolidated financial statements as of and for the year ended December 31, 2016, we determined that $55.3 million in</w:t>
      </w:r>
    </w:p>
    <w:p>
      <w:pPr>
        <w:spacing w:after="0" w:line="22" w:lineRule="exact"/>
        <w:rPr>
          <w:rFonts w:ascii="Times New Roman" w:cs="Times New Roman" w:eastAsia="Times New Roman" w:hAnsi="Times New Roman"/>
          <w:sz w:val="18"/>
          <w:szCs w:val="18"/>
          <w:color w:val="auto"/>
          <w:vertAlign w:val="superscript"/>
        </w:rPr>
      </w:pPr>
    </w:p>
    <w:p>
      <w:pPr>
        <w:ind w:right="20"/>
        <w:spacing w:after="0" w:line="279"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30-day term deposits, included within cash and cash equivalents in the consolidated balance sheet as of December 31, 2016, should have also been included as Level 2 investments in the fair value hierarchy table for financial assets and financial liabilities measured at fair value on a recurring basis. Accordingly, we have corrected the above table as of December 31, 2016, the effect of which is immaterial to the financial statements as a whole.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nine months ended September 30,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18,924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87,963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73,595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106,887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Inventory includes finished goods held by distributors where revenue is recognized on a sell-through basis of $1.0 million as of September 30, 2017 and December 31,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49,783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65,323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35,079</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18,699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Evaluation units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20,173</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4,669</w:t>
            </w: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327,874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207,721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(70,472)</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239,891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137,249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April 2017, we purchased certain real estate in Burnaby, Canada for $84.8 million. The purchase was accounted for under the asset acquisition method. The cost of the assets acquired was allocated to land and buildings based on their relative fair values. The amounts allocated to land and buildings were $12.7 million and $72.1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$11.7 million and $10.2 million during the three months ended September 30, 2017 and September 30,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$34.7 million and $28.6 million during the nine months ended September 30, 2017 and September 30, 2016,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IN PRIVATELY HELD COMPANIES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investments in the equity securities of privately held companies totaled $12.1 million and $10.3 million as of September 30, 2017 and December 31, 2016, respectively. These investments are accounted for as cost-basis investments, as we own less than 20% of the voting securities in each of these investments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 As of September 30, 2017, no events have occurred that would adversely affect the carrying value of these investments.</w:t>
      </w:r>
    </w:p>
    <w:p>
      <w:pPr>
        <w:spacing w:after="0" w:line="18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2017, we determined that we had a variable interest in these privately held companies. However, we determined that we were not the primary beneficiary as we did not have the power to direct their activities that most significantly affect their economic performance. The variable interest entities are not required to be consolidated in our condensed consolidated financial statements.</w:t>
      </w:r>
    </w:p>
    <w:p>
      <w:pPr>
        <w:spacing w:after="0" w:line="17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June 7, 2016, we completed our acquisition of AccelOps, Inc. (“AccelOps”), a provider of network security monitoring and analytics solutions, for total cash consideration of $22.1 million, net of cash received. This acquisition extended the Fortinet Security Fabric.</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acquisition of AccelOps was accounted as a business combination in accordance with ASC Topic 805 “Business Combinations” issued by the FASB, and we used our best estimates and assumptions to assign fair value to the tangible and intangible assets acquired and liabilities assumed at the acquisition date. The total purchase price was allocated to AccelOps’ identifiable tangible and intangible assets acquired and liabilities assumed based on their estimated fair values as of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allocation of the purchase price was (in thousands):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35"/>
        </w:trPr>
        <w:tc>
          <w:tcPr>
            <w:tcW w:w="9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3,435</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 in process research and development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9,861</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31,726</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3,348</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r>
      <w:tr>
        <w:trPr>
          <w:trHeight w:val="257"/>
        </w:trPr>
        <w:tc>
          <w:tcPr>
            <w:tcW w:w="9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22,284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Finite-lived intangible assets consist of developed technology, customer relationships and other intangible assets. AccelOps’ technology provides a software solution to manage security, performance and compliance from a single platform. The acquired developed technologies include software patents, know-how, process and designs. The value of customer relationships is attributable to the generation of a consistent income source and the avoidance of costs associated with creating new customer relationships.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useful life and fair values of the acquired finite-lived intangible assets were as follows (in thousands, except for estimated useful life):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technologies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developed technologies and other are amortized on a straight-line basis. The amortization expense of developed technologies and other intangibles are recorded in cost of revenue. The amortization expense of customer relationships is amortized on an accelerated basis and is recorded in sales and marketing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which will begin to be amortized upon completion of development.</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goodwill of $9.9 million represents the amount of the purchase price in excess of the fair value of the net tangible liabilities assumed and intangible assets acquired, including AccelOps’ assembled workforce. The goodwill recorded as part of the AccelOps acquisition is not deductible for U.S. federal income tax purposes.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2017, we had goodwill of $14.6 million. There were no impairments to goodwill during the three and nine months ended September 30, 2017 or during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as of September 30, 2017 and December 31, 2016 (in thousands, except years):</w:t>
      </w:r>
    </w:p>
    <w:p>
      <w:pPr>
        <w:spacing w:after="0" w:line="18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6"/>
          <w:szCs w:val="16"/>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38735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11,483</w:t>
            </w:r>
          </w:p>
        </w:tc>
      </w:tr>
      <w:tr>
        <w:trPr>
          <w:trHeight w:val="243"/>
        </w:trPr>
        <w:tc>
          <w:tcPr>
            <w:tcW w:w="5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5,208</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16,691</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18,291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38735</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15,234</w:t>
            </w:r>
          </w:p>
        </w:tc>
      </w:tr>
      <w:tr>
        <w:trPr>
          <w:trHeight w:val="243"/>
        </w:trPr>
        <w:tc>
          <w:tcPr>
            <w:tcW w:w="5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7,994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23,228</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24,828</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in-process research and development intangible asset of $1.6 million is expected to be completed in the fourth quarter of 2017. Upon completion, the cost will be transferred to developed technology and will be amortized over the remaining estimated useful life of the asset.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was $2.0 million and $2.8 million during the three months ended September 30, 2017 and September 30, 2016, respectively. Amortization expense was $6.5 million and $6.3 million during the nine months ended September 30, 2017 and September 30, 2016, respectively. The following table summarizes estimated future amortization expense of finite-lived intangible assets—net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(remainder)</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6,885</w:t>
            </w:r>
          </w:p>
        </w:tc>
      </w:tr>
      <w:tr>
        <w:trPr>
          <w:trHeight w:val="243"/>
        </w:trPr>
        <w:tc>
          <w:tcPr>
            <w:tcW w:w="9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2,363</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16,691</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the employee stock purchase plan (“ESPP”). Dilutive shares of common stock are determined by applying the treasury stock method.</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as follows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26,610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60,360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shares: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175,519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172,212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Diluted shares: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172,212</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ESPP</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178,973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177,938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178,987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176,046</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0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60" w:type="dxa"/>
            <w:vAlign w:val="bottom"/>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1,067</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r>
      <w:tr>
        <w:trPr>
          <w:trHeight w:val="237"/>
        </w:trPr>
        <w:tc>
          <w:tcPr>
            <w:tcW w:w="516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5,224</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future principal contractual obligations as of September 30, 2017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8,711</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93,664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89,417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40,854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211,427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134,224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37,920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15,043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8,714</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—We lease certain facilities under various non-cancelable operating leases, which expire through 2026. Certain leases require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variable costs such as taxes, maintenance, and insurance. The terms of certain operating leases also provide for renewal options and escalation clauses. Rent expense was $4.1 million and $6.1 million during the three months ended September 30, 2017 and September 30, 2016, respectively. Rent expense was $12.5 million and $14.7 million during the nine months ended September 30, 2017 and September 30, 2016, respectively. Rent expense is recognized using the straight-line method over the term of the lease.</w:t>
      </w:r>
    </w:p>
    <w:p>
      <w:pPr>
        <w:spacing w:after="0" w:line="18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—Our independent contract manufacturers procure components and build our products based on our forecasts.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2017, we had $93.7 million of open purchase orders with our independent contract manufacturers that may not be cancelable.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 purchase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orders and contractual obligations in the ordinary course of business for which we have not received goods or services. As of September 30, 2017,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$67.3 million in other contractual commitments that may not be cancelable. Included in other contractual commitments is $8.8 million related to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certain real estate adjacent to our corporate headquarters.</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issued by the FASB, we accrue for contingencies when we believe that a loss is probable and that we can reasonably estimate the amount of any such loss.</w:t>
      </w:r>
    </w:p>
    <w:p>
      <w:pPr>
        <w:spacing w:after="0" w:line="16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—Under the indemnification provisions of our standard sales contracts, we agree to defend our customers against third-party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have stock-based compensation plans pursuant to which we have granted stock options and RSUs. We also have an ESPP for all eligible employees. As of September 30, 2017, there were a total of 49,841,761 shares of common stock available for grant under our stock-based compensation plans.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thousands, except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760" w:type="dxa"/>
            <w:vAlign w:val="bottom"/>
            <w:gridSpan w:val="4"/>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7"/>
        </w:trPr>
        <w:tc>
          <w:tcPr>
            <w:tcW w:w="7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r>
      <w:tr>
        <w:trPr>
          <w:trHeight w:val="203"/>
        </w:trPr>
        <w:tc>
          <w:tcPr>
            <w:tcW w:w="7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Date Fair Value per</w:t>
            </w:r>
          </w:p>
        </w:tc>
      </w:tr>
      <w:tr>
        <w:trPr>
          <w:trHeight w:val="212"/>
        </w:trPr>
        <w:tc>
          <w:tcPr>
            <w:tcW w:w="7660" w:type="dxa"/>
            <w:vAlign w:val="bottom"/>
          </w:tcPr>
          <w:p>
            <w:pPr>
              <w:spacing w:after="0"/>
              <w:rPr>
                <w:sz w:val="18"/>
                <w:szCs w:val="18"/>
                <w:color w:val="auto"/>
              </w:rPr>
            </w:pP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66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Share</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2016</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31.01</w:t>
            </w: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37.29</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34.07</w:t>
            </w: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29.02</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Balance—September 30, 2017</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34.01</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313" w:lineRule="auto"/>
        <w:rPr>
          <w:sz w:val="20"/>
          <w:szCs w:val="20"/>
          <w:color w:val="auto"/>
        </w:rPr>
      </w:pPr>
      <w:r>
        <w:rPr>
          <w:rFonts w:ascii="Times New Roman" w:cs="Times New Roman" w:eastAsia="Times New Roman" w:hAnsi="Times New Roman"/>
          <w:sz w:val="17"/>
          <w:szCs w:val="17"/>
          <w:color w:val="auto"/>
        </w:rPr>
        <w:t>As of September 30, 2017, total compensation expense related to unvested RSUs granted to employees and non-employees under the 2009 Plan, but not yet recognized, was $266.4 million. This expense is expected to be amortized on a straight-line basis over a weighted-average vesting period of 2.7 years.</w:t>
      </w:r>
    </w:p>
    <w:p>
      <w:pPr>
        <w:spacing w:after="0" w:line="13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8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35,869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29,886</w:t>
            </w:r>
          </w:p>
        </w:tc>
      </w:tr>
    </w:tbl>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300" w:type="dxa"/>
            <w:vAlign w:val="bottom"/>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180" w:type="dxa"/>
            <w:vAlign w:val="bottom"/>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7"/>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rate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thousands, except exercise prices and contractual life):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7"/>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2016</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Balance—September 30, 2017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vest—September 30, 2017</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4,990</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48,315</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exercisable—September 30, 2017</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3,418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39,413</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pre-tax difference between the exercise price of stock options and the quoted market price of our common stock on September 30, 2017, for all in-the-money stock options. As of September 30, 2017, total compensation expense related to unvested stock options granted to employees but not yet recognized was $15.3 million. This expense is expected to be amortized on a straight-line basis over a weighted-average period of 2.6 years.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35,593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4,583</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determining the fair value of the ESPP, we use the Black-Scholes option pricing model that employs the following weighted-average assumptions: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Dividend rate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the ESPP is provided below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Weighted-average price per share issued</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is included in costs and expenses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2,238</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7,648</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17,378</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3,520</w:t>
            </w:r>
          </w:p>
        </w:tc>
      </w:tr>
      <w:tr>
        <w:trPr>
          <w:trHeight w:val="27"/>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34,307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31,093</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29,904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27,342</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23"/>
                <w:szCs w:val="23"/>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1,516</w:t>
            </w: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80" w:type="dxa"/>
            <w:vAlign w:val="bottom"/>
          </w:tcPr>
          <w:p>
            <w:pPr>
              <w:spacing w:after="0"/>
              <w:rPr>
                <w:sz w:val="23"/>
                <w:szCs w:val="23"/>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2,235</w:t>
            </w:r>
          </w:p>
        </w:tc>
      </w:tr>
      <w:tr>
        <w:trPr>
          <w:trHeight w:val="27"/>
        </w:trPr>
        <w:tc>
          <w:tcPr>
            <w:tcW w:w="5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34,307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31,093</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38735</wp:posOffset>
            </wp:positionV>
            <wp:extent cx="2040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p>
      <w:pPr>
        <w:ind w:left="120"/>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6"/>
          <w:szCs w:val="16"/>
          <w:b w:val="1"/>
          <w:bCs w:val="1"/>
          <w:color w:val="auto"/>
        </w:rPr>
        <w:t>September 30,</w:t>
      </w:r>
    </w:p>
    <w:p>
      <w:pPr>
        <w:spacing w:after="0" w:line="28" w:lineRule="exact"/>
        <w:rPr>
          <w:sz w:val="20"/>
          <w:szCs w:val="20"/>
          <w:color w:val="auto"/>
        </w:rPr>
      </w:pPr>
    </w:p>
    <w:p>
      <w:pPr>
        <w:ind w:left="480"/>
        <w:spacing w:after="0"/>
        <w:tabs>
          <w:tab w:leader="none" w:pos="2120" w:val="left"/>
        </w:tabs>
        <w:rPr>
          <w:sz w:val="20"/>
          <w:szCs w:val="20"/>
          <w:color w:val="auto"/>
        </w:rPr>
      </w:pPr>
      <w:r>
        <w:rPr>
          <w:rFonts w:ascii="Times New Roman" w:cs="Times New Roman" w:eastAsia="Times New Roman" w:hAnsi="Times New Roman"/>
          <w:sz w:val="16"/>
          <w:szCs w:val="16"/>
          <w:b w:val="1"/>
          <w:bCs w:val="1"/>
          <w:color w:val="auto"/>
        </w:rPr>
        <w:t>2017</w:t>
      </w:r>
      <w:r>
        <w:rPr>
          <w:sz w:val="20"/>
          <w:szCs w:val="20"/>
          <w:color w:val="auto"/>
        </w:rPr>
        <w:tab/>
      </w:r>
      <w:r>
        <w:rPr>
          <w:rFonts w:ascii="Times New Roman" w:cs="Times New Roman" w:eastAsia="Times New Roman" w:hAnsi="Times New Roman"/>
          <w:sz w:val="16"/>
          <w:szCs w:val="16"/>
          <w:b w:val="1"/>
          <w:bCs w:val="1"/>
          <w:color w:val="auto"/>
        </w:rPr>
        <w:t>2016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31"/>
        </w:trPr>
        <w:tc>
          <w:tcPr>
            <w:tcW w:w="180" w:type="dxa"/>
            <w:vAlign w:val="bottom"/>
          </w:tcPr>
          <w:p>
            <w:pPr>
              <w:spacing w:after="0"/>
              <w:rPr>
                <w:sz w:val="24"/>
                <w:szCs w:val="24"/>
                <w:color w:val="auto"/>
              </w:rPr>
            </w:pPr>
          </w:p>
        </w:tc>
        <w:tc>
          <w:tcPr>
            <w:tcW w:w="290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7.68</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1,151</w:t>
            </w:r>
          </w:p>
        </w:tc>
      </w:tr>
      <w:tr>
        <w:trPr>
          <w:trHeight w:val="27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38735</wp:posOffset>
            </wp:positionV>
            <wp:extent cx="1938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887</w:t>
            </w:r>
          </w:p>
        </w:tc>
      </w:tr>
      <w:tr>
        <w:trPr>
          <w:trHeight w:val="270"/>
        </w:trPr>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6,495</w:t>
            </w:r>
          </w:p>
        </w:tc>
      </w:tr>
      <w:tr>
        <w:trPr>
          <w:trHeight w:val="270"/>
        </w:trPr>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22,249</w:t>
            </w:r>
          </w:p>
        </w:tc>
      </w:tr>
      <w:tr>
        <w:trPr>
          <w:trHeight w:val="270"/>
        </w:trPr>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50,183</w:t>
            </w:r>
          </w:p>
        </w:tc>
      </w:tr>
      <w:tr>
        <w:trPr>
          <w:trHeight w:val="270"/>
        </w:trPr>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10,528</w:t>
            </w:r>
          </w:p>
        </w:tc>
      </w:tr>
      <w:tr>
        <w:trPr>
          <w:trHeight w:val="27"/>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102,729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90,342</w:t>
            </w:r>
          </w:p>
        </w:tc>
      </w:tr>
      <w:tr>
        <w:trPr>
          <w:trHeight w:val="27"/>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85"/>
        </w:trPr>
        <w:tc>
          <w:tcPr>
            <w:tcW w:w="180" w:type="dxa"/>
            <w:vAlign w:val="bottom"/>
          </w:tcPr>
          <w:p>
            <w:pPr>
              <w:spacing w:after="0"/>
              <w:rPr>
                <w:sz w:val="24"/>
                <w:szCs w:val="24"/>
                <w:color w:val="auto"/>
              </w:rPr>
            </w:pPr>
          </w:p>
        </w:tc>
        <w:tc>
          <w:tcPr>
            <w:tcW w:w="2880" w:type="dxa"/>
            <w:vAlign w:val="bottom"/>
            <w:gridSpan w:val="4"/>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89,807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79,244</w:t>
            </w:r>
          </w:p>
        </w:tc>
      </w:tr>
      <w:tr>
        <w:trPr>
          <w:trHeight w:val="270"/>
        </w:trPr>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5,062</w:t>
            </w:r>
          </w:p>
        </w:tc>
      </w:tr>
      <w:tr>
        <w:trPr>
          <w:trHeight w:val="270"/>
        </w:trPr>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6,036</w:t>
            </w:r>
          </w:p>
        </w:tc>
      </w:tr>
      <w:tr>
        <w:trPr>
          <w:trHeight w:val="27"/>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102,729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90,342</w:t>
            </w:r>
          </w:p>
        </w:tc>
      </w:tr>
      <w:tr>
        <w:trPr>
          <w:trHeight w:val="27"/>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80"/>
            <w:col w:w="3080"/>
          </w:cols>
          <w:pgMar w:left="240" w:top="121"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operations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880" w:type="dxa"/>
            <w:vAlign w:val="bottom"/>
            <w:gridSpan w:val="4"/>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21,111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22,961</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January 2016, our board of directors approved the Share Repurchase Program (the “Repurchase Program”), which authorized the repurchase of up to $200.0 million of our outstanding common stock through December 31, 2017. In October 2016 and July 2017, our board of directors approved the increases in the aggregate authorized repurchase amount under the Repurchase Program by $100.0 million and $300.0 million, respectively. Under the Repurchase Program,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2017, we repurchased 2.4 million shares of common stock under the Repurchase Program in open market transactions at an average price of $37.19 per share, for an aggregate purchase price of $90.8 million. During the nine months ended September 30, 2017, we repurchased 3.3 million shares of common stock under the Repurchase Program in open market transactions at an average price of $37.67 per share, for an aggregate purchase price of $124.0 million. As of September 30, 2017, $365.2 million remained available for future share repurchases under the Repurchase Program. See Note 17 to the notes to the condensed consolidated financial statements included in Part I, Item 1 of this Quarterly Report on Form 10-Q for information regarding the Repurchase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effective tax rate was 30% for the three months ended September 30, 2017, compared to an effective tax rate of 5% for the same period last year. Our effective tax rate was 24% for the nine months ended September 30, 2017, compared to an effective tax rate of 2,053% for the same period last year. The effective tax rates for the periods presented are comprised of U.S. federal and state taxes, excess tax benefits from stock-based compensation, withholding taxes and foreign income taxes. The tax rates for the three months ended September 30, 2017 and September 30, 2016 were impacted by excess tax benefits of $1.8 million and $2.5 million, respectively, from stock-based compensation. The tax rates for the nine months ended September 30, 2017 and September 30, 2016 were impacted by excess tax benefits of $11.4 million and $8.7 million, respectively, from stock-based compensation. Our effective tax rates fluctuate based on the amount of pre-tax income or loss. The impact of discrete items, such as excess tax benefits from stock-based compensation, on our effective tax rate is greater when our pre-tax income is lower.</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2017 and December 31, 2016, unrecognized tax benefits were $82.1 million and $65.5 million, respectively. The total amount of $80.4 million in unrecognized tax benefits, if recognized, would favorably affect our effective tax rate. It is our policy to classify accrued interest and penalties related to uncertain tax benefits in the provision for income taxes. As of September 30, 2017 and December 31, 2016, accrued interest and penalties were $12.9 million and $9.5 million, respectively. It is reasonably possible that our gross unrecognized tax benefits will decrease by up to $9.0 million in the next twelve months, primarily due to the lapse of the statute of limitations. These adjustments, if recognized, would positively impact our effective tax rate, and would be recognized as additional tax benefits.</w:t>
      </w:r>
    </w:p>
    <w:p>
      <w:pPr>
        <w:spacing w:after="0" w:line="188"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U.S. state and non-U.S. income tax examinations by tax authorities for tax years prior to 2009. We are no longer subject to examination by U.S federal income tax authorities for tax years prior to 2012. We are currently under examination by U.S federal income tax authorities for tax years 2012, 2013 and 2014. We have filed a waiver extending the statute of limitations to November 30, 2018 for U.S. federal income tax returns for tax years 2012, 2013 and</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2014. In addition, the tax authorities in France are examining the inter-company relationship between Fortinet, Inc., Fortinet France and Fortinet Singapore. In May 2017, we received a notice from the French tax authorities that an audit was officially opened for tax years from 2007 to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DEFINED CONTRIBUTION PLANS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September 30, 2017 and September 30, 2016 were $1.2 million and $1.2 million, respectively. Our matching contributions to our 401(k) Plan and the RRSP for the nine months ended September 30, 2017 and September 30, 2016 were $3.8 million and $3.4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SIGNIFICANT CUSTOMER INFORMATION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5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the customer. The following tables set forth revenue and property and equipment— net by geographic region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96"/>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2016</w:t>
            </w: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2016</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123,646</w:t>
            </w:r>
          </w:p>
        </w:tc>
        <w:tc>
          <w:tcPr>
            <w:tcW w:w="120" w:type="dxa"/>
            <w:vAlign w:val="bottom"/>
          </w:tcPr>
          <w:p>
            <w:pPr>
              <w:spacing w:after="0"/>
              <w:rPr>
                <w:sz w:val="21"/>
                <w:szCs w:val="21"/>
                <w:color w:val="auto"/>
              </w:rPr>
            </w:pPr>
          </w:p>
        </w:tc>
        <w:tc>
          <w:tcPr>
            <w:tcW w:w="7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108,142</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367,124</w:t>
            </w:r>
          </w:p>
        </w:tc>
        <w:tc>
          <w:tcPr>
            <w:tcW w:w="100" w:type="dxa"/>
            <w:vAlign w:val="bottom"/>
          </w:tcPr>
          <w:p>
            <w:pPr>
              <w:spacing w:after="0"/>
              <w:rPr>
                <w:sz w:val="21"/>
                <w:szCs w:val="21"/>
                <w:color w:val="auto"/>
              </w:rPr>
            </w:pP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309,041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Latin America (“LATAM”)</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24,372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64,567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46,850</w:t>
            </w:r>
          </w:p>
        </w:tc>
      </w:tr>
      <w:tr>
        <w:trPr>
          <w:trHeight w:val="264"/>
        </w:trPr>
        <w:tc>
          <w:tcPr>
            <w:tcW w:w="4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Canada </w:t>
            </w:r>
            <w:r>
              <w:rPr>
                <w:rFonts w:ascii="Times New Roman" w:cs="Times New Roman" w:eastAsia="Times New Roman" w:hAnsi="Times New Roman"/>
                <w:sz w:val="18"/>
                <w:szCs w:val="18"/>
                <w:color w:val="auto"/>
                <w:vertAlign w:val="superscript"/>
              </w:rPr>
              <w:t>(1)</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13,135</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30,675</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Americas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161,153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468,230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386,566</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4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138,335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116,967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394,214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336,911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 (“APAC”)</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74,729</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215,818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189,136</w:t>
            </w:r>
          </w:p>
        </w:tc>
      </w:tr>
      <w:tr>
        <w:trPr>
          <w:trHeight w:val="250"/>
        </w:trPr>
        <w:tc>
          <w:tcPr>
            <w:tcW w:w="40" w:type="dxa"/>
            <w:vAlign w:val="bottom"/>
          </w:tcPr>
          <w:p>
            <w:pPr>
              <w:spacing w:after="0"/>
              <w:rPr>
                <w:sz w:val="21"/>
                <w:szCs w:val="21"/>
                <w:color w:val="auto"/>
              </w:rPr>
            </w:pPr>
          </w:p>
        </w:tc>
        <w:tc>
          <w:tcPr>
            <w:tcW w:w="5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374,217</w:t>
            </w:r>
          </w:p>
        </w:tc>
        <w:tc>
          <w:tcPr>
            <w:tcW w:w="120" w:type="dxa"/>
            <w:vAlign w:val="bottom"/>
          </w:tcPr>
          <w:p>
            <w:pPr>
              <w:spacing w:after="0"/>
              <w:rPr>
                <w:sz w:val="21"/>
                <w:szCs w:val="21"/>
                <w:color w:val="auto"/>
              </w:rPr>
            </w:pPr>
          </w:p>
        </w:tc>
        <w:tc>
          <w:tcPr>
            <w:tcW w:w="7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316,646</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1,078,262</w:t>
            </w:r>
          </w:p>
        </w:tc>
        <w:tc>
          <w:tcPr>
            <w:tcW w:w="100" w:type="dxa"/>
            <w:vAlign w:val="bottom"/>
          </w:tcPr>
          <w:p>
            <w:pPr>
              <w:spacing w:after="0"/>
              <w:rPr>
                <w:sz w:val="21"/>
                <w:szCs w:val="21"/>
                <w:color w:val="auto"/>
              </w:rPr>
            </w:pPr>
          </w:p>
        </w:tc>
        <w:tc>
          <w:tcPr>
            <w:tcW w:w="72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912,613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38"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Certain amounts in the prior periods in Canada were reclassified to the United States to conform with the 2017 presentation as a result of a change in the bill-to address of a customer.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net</w:t>
            </w: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8"/>
        </w:trPr>
        <w:tc>
          <w:tcPr>
            <w:tcW w:w="81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552"/>
              <w:spacing w:after="0" w:line="178" w:lineRule="exact"/>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8" w:lineRule="exact"/>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112,210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96,414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LATAM</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Americas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109,902</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EMEA</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EMEA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19,632</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239,891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137,249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customers, each of which is a distributor, accounted for 10% or more of our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180" w:type="dxa"/>
            <w:vAlign w:val="bottom"/>
            <w:gridSpan w:val="3"/>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7"/>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94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Exclusive Networks Group </w:t>
            </w:r>
            <w:r>
              <w:rPr>
                <w:rFonts w:ascii="Times New Roman" w:cs="Times New Roman" w:eastAsia="Times New Roman" w:hAnsi="Times New Roman"/>
                <w:sz w:val="18"/>
                <w:szCs w:val="18"/>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Ingram Micro</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customers, each of which is a distributor, accounted for 10% or more of net accounts receivable: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September 30, 2017 </w:t>
            </w:r>
            <w:r>
              <w:rPr>
                <w:rFonts w:ascii="Times New Roman" w:cs="Times New Roman" w:eastAsia="Times New Roman" w:hAnsi="Times New Roman"/>
                <w:sz w:val="17"/>
                <w:szCs w:val="17"/>
                <w:color w:val="auto"/>
                <w:vertAlign w:val="superscript"/>
              </w:rPr>
              <w:t>(2)</w:t>
            </w:r>
          </w:p>
        </w:tc>
        <w:tc>
          <w:tcPr>
            <w:tcW w:w="18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9"/>
        </w:trPr>
        <w:tc>
          <w:tcPr>
            <w:tcW w:w="754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88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Exclusive Networks Group</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Fine Tec Computers</w:t>
            </w:r>
          </w:p>
        </w:tc>
        <w:tc>
          <w:tcPr>
            <w:tcW w:w="19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Represents less than 10%</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right="440" w:firstLine="8"/>
        <w:spacing w:after="0" w:line="311" w:lineRule="auto"/>
        <w:tabs>
          <w:tab w:leader="none" w:pos="141"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Due to the acquisition by Exclusive Networks Group of the U.S. division of Fine Tec Computers (“Fine Tec U.S.”) in July 2017, Fine Tec U.S.’s revenue and accounts receivable have been combined with Exclusive Networks Group’s. As of September 30, 2017, Fine Tec Canada's accounts receivable represent less than 10% of our net accounts receivable.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loss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September 30, 2017</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Tax provision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losses on</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43"/>
        </w:trPr>
        <w:tc>
          <w:tcPr>
            <w:tcW w:w="6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for unrealized losses on investments and tax provision related to unrealized gains or losses on investments are recorded in Other income (expense)—net and in Provision for (benefit from) income taxes,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FOREIGN CURRENCY DERIVATIVES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the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creditworthiness of these parties. These contracts typically have a maturity of one month. Changes in the fair value of forward exchange contracts related to balance sheet accounts are insignificant and are included in Other income (expense)—net in the consolidated statements of operations. As of September 30, 2017, the fair value of the forward exchange contracts was not material.</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Additionally, independent of our use of foreign currency risk management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and GBP could adversely impact our operating expenses in the future.</w:t>
      </w:r>
    </w:p>
    <w:p>
      <w:pPr>
        <w:spacing w:after="0" w:line="18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There were no outstanding forward exchange contracts as of September 30, 2017. The notional amount of forward exchange contracts to hedge balance sheet accounts December 31, 2016 were (in thousands):</w:t>
      </w:r>
    </w:p>
    <w:p>
      <w:pPr>
        <w:spacing w:after="0" w:line="124" w:lineRule="exact"/>
        <w:rPr>
          <w:sz w:val="20"/>
          <w:szCs w:val="20"/>
          <w:color w:val="auto"/>
        </w:rPr>
      </w:pPr>
    </w:p>
    <w:p>
      <w:pPr>
        <w:ind w:left="8800"/>
        <w:spacing w:after="0"/>
        <w:tabs>
          <w:tab w:leader="none" w:pos="10360" w:val="left"/>
        </w:tabs>
        <w:rPr>
          <w:sz w:val="20"/>
          <w:szCs w:val="20"/>
          <w:color w:val="auto"/>
        </w:rPr>
      </w:pPr>
      <w:r>
        <w:rPr>
          <w:rFonts w:ascii="Times New Roman" w:cs="Times New Roman" w:eastAsia="Times New Roman" w:hAnsi="Times New Roman"/>
          <w:sz w:val="16"/>
          <w:szCs w:val="16"/>
          <w:b w:val="1"/>
          <w:bCs w:val="1"/>
          <w:color w:val="auto"/>
        </w:rPr>
        <w:t>Buy/Sell</w:t>
      </w:r>
      <w:r>
        <w:rPr>
          <w:sz w:val="20"/>
          <w:szCs w:val="20"/>
          <w:color w:val="auto"/>
        </w:rPr>
        <w:tab/>
      </w:r>
      <w:r>
        <w:rPr>
          <w:rFonts w:ascii="Times New Roman" w:cs="Times New Roman" w:eastAsia="Times New Roman" w:hAnsi="Times New Roman"/>
          <w:sz w:val="16"/>
          <w:szCs w:val="16"/>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Contracts: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Currency—As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500" w:val="left"/>
          <w:tab w:leader="none" w:pos="9960" w:val="left"/>
          <w:tab w:leader="none" w:pos="10880" w:val="left"/>
        </w:tabs>
        <w:rPr>
          <w:sz w:val="20"/>
          <w:szCs w:val="20"/>
          <w:color w:val="auto"/>
        </w:rPr>
      </w:pPr>
      <w:r>
        <w:rPr>
          <w:rFonts w:ascii="Times New Roman" w:cs="Times New Roman" w:eastAsia="Times New Roman" w:hAnsi="Times New Roman"/>
          <w:sz w:val="18"/>
          <w:szCs w:val="18"/>
          <w:color w:val="auto"/>
        </w:rPr>
        <w:t>CAD</w:t>
      </w:r>
      <w:r>
        <w:rPr>
          <w:sz w:val="20"/>
          <w:szCs w:val="20"/>
          <w:color w:val="auto"/>
        </w:rPr>
        <w:tab/>
      </w:r>
      <w:r>
        <w:rPr>
          <w:rFonts w:ascii="Times New Roman" w:cs="Times New Roman" w:eastAsia="Times New Roman" w:hAnsi="Times New Roman"/>
          <w:sz w:val="18"/>
          <w:szCs w:val="18"/>
          <w:color w:val="auto"/>
        </w:rPr>
        <w:t>Sell</w:t>
        <w:tab/>
        <w:t>$</w:t>
      </w:r>
      <w:r>
        <w:rPr>
          <w:sz w:val="20"/>
          <w:szCs w:val="20"/>
          <w:color w:val="auto"/>
        </w:rPr>
        <w:tab/>
      </w:r>
      <w:r>
        <w:rPr>
          <w:rFonts w:ascii="Times New Roman" w:cs="Times New Roman" w:eastAsia="Times New Roman" w:hAnsi="Times New Roman"/>
          <w:sz w:val="18"/>
          <w:szCs w:val="18"/>
          <w:color w:val="auto"/>
        </w:rPr>
        <w:t>2,615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son of one member of our board of directors is a partner of an outside law firm that we utilize for certain complex litigation matters. Expenses for legal services provided by the law firm were $0.4 million and $0.1 million during the three months ended September 30, 2017 and September 30, 2016, respectively. Expenses for legal services provided by the law firm were $0.9 million and $0.3 million during the nine months ended September 30, 2017 and September 30, 2016, respectively. Amounts due and payable to the law firm were $0.5 million and $0.1 million as of September 30, 2017 and December 31, 2016, respectively.</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October 2017, our board of directors approved a $400.0 million increase to authorized stock repurchases under the Repurchase Program, bringing the aggregate amount authorized to be repurchased to $1.0 billion.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240" w:top="121" w:right="31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and Section 21E of the Securities and Exchange Act of 1934 (the “Exchange Act”). These statements include, among other things, statements concerning our expectations regarding:</w:t>
      </w:r>
    </w:p>
    <w:p>
      <w:pPr>
        <w:spacing w:after="0" w:line="174"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categories from year to year and between quarters;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of certain products and services;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macro-economic and geopolitical factors on our international sales;</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84"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proportion of our revenue that consists of our product and service revenue, and the mix of billings between products and services, and the duration of service contracts;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our product innovation strategy;</w:t>
      </w:r>
    </w:p>
    <w:p>
      <w:pPr>
        <w:spacing w:after="0" w:line="225" w:lineRule="exact"/>
        <w:rPr>
          <w:rFonts w:ascii="Times New Roman" w:cs="Times New Roman" w:eastAsia="Times New Roman" w:hAnsi="Times New Roman"/>
          <w:sz w:val="18"/>
          <w:szCs w:val="18"/>
          <w:color w:val="auto"/>
        </w:rPr>
      </w:pPr>
    </w:p>
    <w:p>
      <w:pPr>
        <w:ind w:left="1300" w:right="720" w:hanging="644"/>
        <w:spacing w:after="0" w:line="284"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increased sales productivity, increased functionality and value in our standalone and bundled subscription service offerings;</w:t>
      </w:r>
    </w:p>
    <w:p>
      <w:pPr>
        <w:spacing w:after="0" w:line="158"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costs of revenue and gross margin;</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investments in research and development;</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managing our continued investments in sales and marketing, and the impact of those investments;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uncertain tax benefits and our effective tax 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spending related to real estate and other capital expenditures and the impact on free cash flows;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25" w:lineRule="exact"/>
        <w:rPr>
          <w:rFonts w:ascii="Times New Roman" w:cs="Times New Roman" w:eastAsia="Times New Roman" w:hAnsi="Times New Roman"/>
          <w:sz w:val="18"/>
          <w:szCs w:val="18"/>
          <w:i w:val="1"/>
          <w:iCs w:val="1"/>
          <w:color w:val="auto"/>
        </w:rPr>
      </w:pPr>
    </w:p>
    <w:p>
      <w:pPr>
        <w:ind w:left="1300" w:right="20" w:hanging="644"/>
        <w:spacing w:after="0" w:line="284"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 including those related to revenue recognition and accounting for leases.</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118" w:right="27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provide high performance cybersecurity solutions to a wide variety of businesses, service providers and government organizations of all sizes across the globe, including a majority of the 2016 Fortune 100. Our cybersecurity solutions are designed to provide broad, rapid protection against dynamic and sophisticated security threats, while simplifying the information technology (“IT”) and security infrastructure of our end-customers.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three key areas driving our business are the changing cyber threat landscape, expanding need for regulatory compliance and evolving network security infrastructure, including cloud environments and the internet of things (“IoT”). The cyber threat landscape continues to change at a rapid pace, with network attacks continually morphing into vehicles for malware, such as ransomware, and the challenge of having to comply with a variety of constantly changing regulatory requirements. Our end-customers’ infrastructures are rapidly evolving to leverage new technologies such as on-demand cloud, internet on demand and IoT, and changing web traffic patterns require end-customers to increase the bandwidth available across their network. This expanding threat landscape requires end-customers to increase the scope of their security offerings over an attack surface of technologies and devices with internet access. These three drivers mean end-customers are constantly evaluating the scope of their cybersecurity and upgrades or deployments of new cybersecurity solutions.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Fortinet Security Fabric has been developed to provide unified security across the entire network, including network core, endpoints, applications, data centers, access and private and public cloud, and is designed to enable traditionally disparate security devices to work together as an integrated and collaborative whole. It delivers integrated scalability, access control, awareness, security, traffic segmentation, centralized management, visibility and orchestration. The breadth of the Fortinet Security Fabric helps businesses and government agencies actively defend the varied attack surface. The Fortinet Security Fabric is built around an open framework to ensure interoperability and synchronization of intelligence and response, and does so across the distributed network security infrastructure, including both from the cloud and for the cloud. At the core of the Fortinet Security Fabric are our FortiGate physical products and software licenses, which ship with a broad set of security services, including firewall, virtual private network, anti-malware, anti-spam, application control, intrusion prevention, access control, web filtering, traffic and device segmentation and advanced threat protection (“ATP”). Through these security services, our FortiGuard Labs team provides updates using threat research and a global cloud network of data collection and intelligence resources to deliver subscription-based security services to FortiGate appliances and software products. We certify the security effectiveness of our security updates through independent test organizations, such as NSS Labs. Our FortiOS operating system provides the foundation for all FortiGate security functions. The latest enhancements to the FortiOS 5.6 offer end-customers the ability to manage security capabilities across their cloud assets’ and software-defined wireless area networks.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customers select the form and deployment method that best meet their specific security requirements, such as a high-speed data center firewall at the network core, a next generation firewall at the edge, an internal segmentation firewall between network zones, a distributed enterprise firewall at branch sites or software- and hardware-based solutions designed for virtualized and cloud environments. Many smaller businesses also tend to deploy unified threat management devices. We derive a substantial majority of product sales from our FortiGate appliances, which range from the FortiGate-20 to -100 series, designed for small businesses (“low-end products”), FortiGate-200 to -900 series for medium-sized businesses (“mid-range products”), to the FortiGate-1000 to -7000 series for large businesses and service providers (“high-end products”). Our network security platform also includes our FortiGuard security subscription services, which end-customers can subscribe to in order to obtain access to dynamic updates to application control, anti-virus, intrusion prevention, web filtering and anti-spam functionality. End-customers may also purchase FortiManager and FortiAnalyzer products in conjunction with a FortiGate deployment to provide centralized management, analysis and reporting capabilities. FortiSIEM provides organizations with a solution for analyzing and managing network security, performance and compliance standards across our and other vendors’ products. Finally, end-customers may purchase FortiCare technical support services for our products and FortiCare professional services to assist in the design, implementation and maintenance of their networks.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complement our core FortiGate product line with other products and software that offer additional protection from security threats to other critical areas of the business. These products include our FortiMail email security, FortiSandbox ATP, FortiWeb web application firewall and FortiDDoS security appliances, as well as our FortiClient endpoint security software, FortiSIEM software, FortiAP secure wireless access points and FortiSwitch secure switch connectivity products. Our technology also positions us to deliver security to the cloud and for the cloud. Sales of our cloud-related products and services across public, private and hybrid cloud environments continue to grow faster on a percentage basis than other parts of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29" w:lineRule="exact"/>
        <w:rPr>
          <w:sz w:val="20"/>
          <w:szCs w:val="20"/>
          <w:color w:val="auto"/>
        </w:rPr>
      </w:pPr>
    </w:p>
    <w:p>
      <w:pPr>
        <w:ind w:left="660" w:hanging="328"/>
        <w:spacing w:after="0" w:line="281"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total revenue of $374.2 million and $1.08 billion in the three and nine months ended September 30, 2017, an increase of 18% and 18%, respectively, compared to the same periods last year. Product revenue was $137.1 million and $415.1 million in the three and nine months ended September 30, 2017, an increase of 7% and 7%, respectively, compared to the same periods last year. Service revenue was $237.1 million and $663.2 million in the three and nine months ended September 30, 2017, an increase of 26% and 27%, respectively, compared to the same period last year.</w:t>
      </w:r>
    </w:p>
    <w:p>
      <w:pPr>
        <w:spacing w:after="0" w:line="164" w:lineRule="exact"/>
        <w:rPr>
          <w:rFonts w:ascii="Times New Roman" w:cs="Times New Roman" w:eastAsia="Times New Roman" w:hAnsi="Times New Roman"/>
          <w:sz w:val="17"/>
          <w:szCs w:val="17"/>
          <w:color w:val="auto"/>
        </w:rPr>
      </w:pPr>
    </w:p>
    <w:p>
      <w:pPr>
        <w:ind w:left="660" w:right="160" w:hanging="328"/>
        <w:spacing w:after="0" w:line="313"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generated operating income of $33.7 million and $67.6 million in the three and nine months ended September 30, 2017, respectively, compared to operating income of $5.5 million and operating loss of $2.2 million in the three and nine months ended September 30, 2016, respectively.</w:t>
      </w:r>
    </w:p>
    <w:p>
      <w:pPr>
        <w:spacing w:after="0" w:line="138" w:lineRule="exact"/>
        <w:rPr>
          <w:rFonts w:ascii="Times New Roman" w:cs="Times New Roman" w:eastAsia="Times New Roman" w:hAnsi="Times New Roman"/>
          <w:sz w:val="17"/>
          <w:szCs w:val="17"/>
          <w:color w:val="auto"/>
        </w:rPr>
      </w:pPr>
    </w:p>
    <w:p>
      <w:pPr>
        <w:ind w:left="660" w:right="3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$1.52 billion as of September 30, 2017, an increase of $213.1 million, or 16%, from December 31, 2016.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$1.22 billion as of September 30, 2017, an increase of $183.6 million, or 18%, from December 31, 2016</w:t>
      </w:r>
      <w:r>
        <w:rPr>
          <w:rFonts w:ascii="Times New Roman" w:cs="Times New Roman" w:eastAsia="Times New Roman" w:hAnsi="Times New Roman"/>
          <w:sz w:val="18"/>
          <w:szCs w:val="18"/>
          <w:color w:val="0000FF"/>
        </w:rPr>
        <w:t>.</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$436.9 million in the nine months ended September 30, 2017, an increase of $192.2 million, or 79%, compared to the same period last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2.4 million shares of common stock under our Share Repurchase Program (the “Repurchase Program”) for an aggregate price of</w:t>
      </w:r>
    </w:p>
    <w:p>
      <w:pPr>
        <w:spacing w:after="0" w:line="27" w:lineRule="exact"/>
        <w:rPr>
          <w:rFonts w:ascii="Times New Roman" w:cs="Times New Roman" w:eastAsia="Times New Roman" w:hAnsi="Times New Roman"/>
          <w:sz w:val="18"/>
          <w:szCs w:val="18"/>
          <w:color w:val="auto"/>
        </w:rPr>
      </w:pPr>
    </w:p>
    <w:p>
      <w:pPr>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 million in the three months ended September 30, 2017. During the nine months ended September 30, 2017, we repurchased 3.3 million shares of common stock under the Repurchase Program in open market transactions at an average price of $37.67 per share, for an aggregate purchase price of $124.0 million. In October 2017, our board of directors authorized a $400.0 million increase to the Repurchase Program, bringing the total amount authorized to $1.0 billion through January 31, 2019.</w:t>
      </w:r>
    </w:p>
    <w:p>
      <w:pPr>
        <w:spacing w:after="0" w:line="18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2017, our revenue growth was driven by the strength in sales of our FortiGate and non-FortiGate products and the sale of new, and the renewal and upgrade of existing, FortiCare and FortiGuard subscription service contracts. During the three and nine months ended September 30, 2017, our billings growth was driven by sales of FortiGate and non-FortiGate products, and current period renewals and upgrades of FortiCare and FortiGuard subscription service contracts. During the three months ended September 30, 2017, our high-end products, which accounted for 41% of total product billings, reflected a strong sales to large businesses and an increase in large deals. Our mid-range products accounted for 29% of product billings, and our entry-level products accounted for 30% of product billings. In addition, we continue to see a shift in our revenue mix to higher margin services, reflecting our success in driving higher-priced subscription bundles and services. On a geographic basis, revenue continues to be diversified globally, which remains a key strength of our business.</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2017, operating expenses as a percentage of revenue decreased by 5%, compared to the same periods last year. The decreases were primarily driven by a reduction in sales and marketing expenses as a percentage of revenue. Headcount increased by 6% to 4,903 employees and contractors as of September 30, 2017, up from 4,619 as of September 30,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sales strategy is based on a distribution model whereby we primarily sell our products, software licenses and services directly to distributors which sell to resellers and service providers, which, in turn, sell to our end-customers. In certain cases, we sell directly to large service providers and major systems integrators. We also offer our products through Amazon Web Services and Microsoft Azure. While the revenue from such sales are still relatively insignificant, they have increased significantly in recent periods on a percentage basis.</w:t>
      </w:r>
    </w:p>
    <w:p>
      <w:pPr>
        <w:spacing w:after="0" w:line="180"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Typically, FortiGuard and FortiCare subscription services are purchased along with our physical products and software licenses, most frequently as part of a bundle offering that includes hardware and services functionality. We generally invoice at the time of our sale for the total price of the products and security and technical support services, and the invoice is payable within 30 to 90 days. We also invoice certain software licenses and services on a monthly basis.</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generally recognize product revenue up front, and recognize revenue for the sale of new and the renewal of existing FortiGuard and FortiCare subscription services contracts ratably. We recognize revenue for certain software licenses up front as product revenue and, to a lesser extent, recognize other software licenses over the term of the agreement as services revenue. We recognize the security and support revenue over the service period, which is typically one to three years, but can be as long as five years. Sales of new and renewal services are a source of recurring revenue and increase our deferred revenue balance, which has contributed to our positive cash flow from operations.</w:t>
      </w:r>
    </w:p>
    <w:p>
      <w:pPr>
        <w:spacing w:after="0" w:line="18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approach to network security is defined by our Security Processing Unit (“SPU”) hardware architecture. The SPU includes three lines of proprietary Applications-Specific Integrated Circuits (“ASICs”), content processor, network processor and the system on a chip. The ASICs are designed for highly efficient execution of computationally intensive tasks such as policy enforcement, threat detection and encryption. As such, ASIC-based solutions can run many security applications simultaneously without a significant reduction in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54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2016</w:t>
            </w:r>
          </w:p>
        </w:tc>
      </w:tr>
      <w:tr>
        <w:trPr>
          <w:trHeight w:val="33"/>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374,217</w:t>
            </w:r>
          </w:p>
        </w:tc>
        <w:tc>
          <w:tcPr>
            <w:tcW w:w="60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316,646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1,218,957</w:t>
            </w:r>
          </w:p>
        </w:tc>
        <w:tc>
          <w:tcPr>
            <w:tcW w:w="6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934,792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Billings (non-GAAP)</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431,703</w:t>
            </w:r>
          </w:p>
        </w:tc>
        <w:tc>
          <w:tcPr>
            <w:tcW w:w="60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347,457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1,523,630</w:t>
            </w:r>
          </w:p>
        </w:tc>
        <w:tc>
          <w:tcPr>
            <w:tcW w:w="6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1,270,650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162,343</w:t>
            </w:r>
          </w:p>
        </w:tc>
        <w:tc>
          <w:tcPr>
            <w:tcW w:w="60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76,139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140,590</w:t>
            </w:r>
          </w:p>
        </w:tc>
        <w:tc>
          <w:tcPr>
            <w:tcW w:w="6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70,219</w:t>
            </w:r>
          </w:p>
        </w:tc>
      </w:tr>
    </w:tbl>
    <w:p>
      <w:pPr>
        <w:spacing w:after="0" w:line="22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deferred revenue balance consists of the unrecognized portion of service revenue from FortiGuard and FortiCare subscription service contracts, which is recognized as revenue ratably over the contractual service period. We monitor our deferred revenue balance, growth and the mix of short-term and long-term deferred revenue because it represents a significant portion of revenue to be recognized in future periods. Deferred revenue was $1.22 billion as of September 30, 2017, an increase of $183.6 million, or 18%, from December 31, 2016</w:t>
      </w:r>
      <w:r>
        <w:rPr>
          <w:rFonts w:ascii="Times New Roman" w:cs="Times New Roman" w:eastAsia="Times New Roman" w:hAnsi="Times New Roman"/>
          <w:sz w:val="18"/>
          <w:szCs w:val="18"/>
          <w:color w:val="0000FF"/>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generally accepted accounting principles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plus the change in deferred revenue from the beginning to 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8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billings to revenue, the most directly comparable financial measure calculated and presented in accordance with GAAP, is provided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2016</w:t>
            </w:r>
          </w:p>
        </w:tc>
      </w:tr>
      <w:tr>
        <w:trPr>
          <w:trHeight w:val="33"/>
        </w:trPr>
        <w:tc>
          <w:tcPr>
            <w:tcW w:w="8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374,217</w:t>
            </w:r>
          </w:p>
        </w:tc>
        <w:tc>
          <w:tcPr>
            <w:tcW w:w="100" w:type="dxa"/>
            <w:vAlign w:val="bottom"/>
          </w:tcPr>
          <w:p>
            <w:pPr>
              <w:spacing w:after="0"/>
              <w:rPr>
                <w:sz w:val="21"/>
                <w:szCs w:val="21"/>
                <w:color w:val="auto"/>
              </w:rPr>
            </w:pPr>
          </w:p>
        </w:tc>
        <w:tc>
          <w:tcPr>
            <w:tcW w:w="74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316,646</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57,486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30,811</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billings (non-GAAP)</w:t>
            </w: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431,703</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347,457</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capital expenditures such as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investing in our business, making strategic acquisitions, repurchasing outstanding common stock, and strengthening the balance sheet. However, free cash flow is not intended to represent our residual cash flow available for discretionary expenditures, since we may have other non-discretionary expenditures that are not deducted from the measure.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2016</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32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162,343</w:t>
            </w:r>
          </w:p>
        </w:tc>
        <w:tc>
          <w:tcPr>
            <w:tcW w:w="100" w:type="dxa"/>
            <w:vAlign w:val="bottom"/>
          </w:tcPr>
          <w:p>
            <w:pPr>
              <w:spacing w:after="0"/>
              <w:rPr>
                <w:sz w:val="21"/>
                <w:szCs w:val="21"/>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76,139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97"/>
        </w:trPr>
        <w:tc>
          <w:tcPr>
            <w:tcW w:w="4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386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140,590</w:t>
            </w:r>
          </w:p>
        </w:tc>
        <w:tc>
          <w:tcPr>
            <w:tcW w:w="10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70,219</w:t>
            </w:r>
          </w:p>
        </w:tc>
        <w:tc>
          <w:tcPr>
            <w:tcW w:w="0" w:type="dxa"/>
            <w:vAlign w:val="bottom"/>
          </w:tcPr>
          <w:p>
            <w:pPr>
              <w:spacing w:after="0"/>
              <w:rPr>
                <w:sz w:val="1"/>
                <w:szCs w:val="1"/>
                <w:color w:val="auto"/>
              </w:rPr>
            </w:pPr>
          </w:p>
        </w:tc>
      </w:tr>
      <w:tr>
        <w:trPr>
          <w:trHeight w:val="251"/>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32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(80,772)</w:t>
            </w:r>
          </w:p>
        </w:tc>
        <w:tc>
          <w:tcPr>
            <w:tcW w:w="100" w:type="dxa"/>
            <w:vAlign w:val="bottom"/>
          </w:tcPr>
          <w:p>
            <w:pPr>
              <w:spacing w:after="0"/>
              <w:rPr>
                <w:sz w:val="21"/>
                <w:szCs w:val="21"/>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6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three and nine months ended September 30, 2017, as compared to the critical accounting policies and estimates described in our Annual Report on Form 10-K filed with the SEC on March 1, 2017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and September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237,122</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188,674</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48,448</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374,217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57,571</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27,279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138,335</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116,967</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21,368</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74,729</w:t>
            </w:r>
          </w:p>
        </w:tc>
        <w:tc>
          <w:tcPr>
            <w:tcW w:w="150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65,805</w:t>
            </w:r>
          </w:p>
        </w:tc>
        <w:tc>
          <w:tcPr>
            <w:tcW w:w="15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8,924</w:t>
            </w: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374,217</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316,646</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57,571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Total revenue increased by $57.6 million, or 18%, in the three months ended September 30, 2017 compared to the same period last year. On a geographic basis, we continued to experience global diversification. All three regions experienced revenue growth compared to the same period last year, with the Americas contributing the largest portion of our revenue growth on both an absolute dollar and a percentage basis. Product revenue increased by $9.1 million, or 7%, in the three months ended September 30, 2017 compared to the same period last year. The increase in product revenue was primarily driven by the strength in sales of our FortiGate and non-FortiGate products. Service revenue increased by $48.4 million, or 26%, in the three months ended September 30, 2017 compared to the same period last year. The increase in service revenue was primarily due to the recognition of revenue from our growing deferred revenue balance consisting of FortiGuard and FortiCare subscription services sold to a larger customer base, as well as the renewals of similar contracts sold in earlier periods. We continued to see the shift from product revenue to higher-margin, recurring service revenue, which reflected our success in driving sales of FortiGuard and FortiCare subscription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19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58,106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50,267</w:t>
            </w:r>
          </w:p>
        </w:tc>
        <w:tc>
          <w:tcPr>
            <w:tcW w:w="120" w:type="dxa"/>
            <w:vAlign w:val="bottom"/>
          </w:tcPr>
          <w:p>
            <w:pPr>
              <w:spacing w:after="0"/>
              <w:rPr>
                <w:sz w:val="21"/>
                <w:szCs w:val="21"/>
                <w:color w:val="auto"/>
              </w:rPr>
            </w:pPr>
          </w:p>
        </w:tc>
        <w:tc>
          <w:tcPr>
            <w:tcW w:w="124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7,839</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w w:val="99"/>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35,543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34,532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1,011</w:t>
            </w:r>
          </w:p>
        </w:tc>
        <w:tc>
          <w:tcPr>
            <w:tcW w:w="19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3600" w:type="dxa"/>
            <w:vAlign w:val="bottom"/>
            <w:tcBorders>
              <w:bottom w:val="single" w:sz="8" w:color="CCEEFF"/>
            </w:tcBorders>
          </w:tcPr>
          <w:p>
            <w:pPr>
              <w:jc w:val="center"/>
              <w:ind w:right="1930"/>
              <w:spacing w:after="0"/>
              <w:rPr>
                <w:sz w:val="20"/>
                <w:szCs w:val="20"/>
                <w:color w:val="auto"/>
              </w:rPr>
            </w:pPr>
            <w:r>
              <w:rPr>
                <w:rFonts w:ascii="Times New Roman" w:cs="Times New Roman" w:eastAsia="Times New Roman" w:hAnsi="Times New Roman"/>
                <w:sz w:val="18"/>
                <w:szCs w:val="18"/>
                <w:color w:val="auto"/>
                <w:w w:val="98"/>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93,649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84,799</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8"/>
              </w:rPr>
              <w:t>8,850</w:t>
            </w: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Product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9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w w:val="99"/>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960" w:type="dxa"/>
            <w:vAlign w:val="bottom"/>
          </w:tcPr>
          <w:p>
            <w:pPr>
              <w:spacing w:after="0"/>
              <w:rPr>
                <w:sz w:val="21"/>
                <w:szCs w:val="21"/>
                <w:color w:val="auto"/>
              </w:rPr>
            </w:pPr>
          </w:p>
        </w:tc>
      </w:tr>
      <w:tr>
        <w:trPr>
          <w:trHeight w:val="702"/>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Total gross margin increased by 1.8 percentage points in the three months ended September 30, 2017 compared to the same period last year, driven by higher margin on service revenue. Service gross margin increased by 3.3 percentage points in the three months ended September 30, 2017 as compared to the same period last year. Product gross margin decreased by 3.1 percentage points in the three months ended September 30, 2017 compared to the same period last year. The shift in gross margin was a result of continued growth in the sales of higher-margin subscription bundles and longer duration of service contracts. Total cost of product revenue was comprised primarily of cost of products sold, inventory reserves and other charges. Total cost of service revenue was comprised primarily of personnel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right"/>
              <w:ind w:right="1076"/>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47,239</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172,361</w:t>
            </w:r>
          </w:p>
        </w:tc>
        <w:tc>
          <w:tcPr>
            <w:tcW w:w="148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17,530</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5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246,872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226,359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20,513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increased by $6.2 million, or 13%, in the three months ended September 30, 2017 compared to the same period last year, primarily due to an increase of $3.8 million in personnel costs as a result of increased headcount to support the development of new products and continued enhancements of our existing products. In addition, depreciation, facilities costs and product development expenses, such as third-party testing and prototypes, increased by $2.4 million. We intend to continue to invest in our research and development organization and expect research and development expense to increase in absolute dollars during the remainder of 2017.</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 increased by $17.5 million, or 11%, in the three months ended September 30, 2017 compared to the same period last year, primarily due to an increase of $14.0 million in personnel costs, including an increase in stock-based compensation expense of $2.2 million. Marketing-related expenses increased by $2.9 million as we invested in marketing to drive broader market awareness, build lead generation programs and accelerate pipeline. In addition, depreciation expense and other occupancy-related expense increased by $0.8 million. As a percentage of total revenue, sales and marketing expense decreased as revenue grew at a higher pace compared to personnel costs. The decrease in personnel costs as a percentage of total revenue resulted from lower sales commissions, slower hiring and attrition. We intend to continue to invest in our sales resources and infrastructure and marketing, which are critical to support growth, and expect sales and marketing expense to increase in absolute dollars during the remainder of 2017.</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decreased by $1.0 million, or 4%, in the three months ended September 30, 2017 compared to the same period last year, primarily due to lower third-party costs of $4.1 million due to the substantial completion of our enterprise resource planning (“ERP”) system implementation in 2016. The decrease in expense was partially offset by an increase in personnel costs and costs to implement a new revenue recognition system increased by $3.7 million. As a percentage of total revenue, general and administrative costs decreased to 6% in the three months ended September 30, 2017 from 7% in the three months ended September 30, 2016. We expect general and administrative expense to increase in absolute dollars during the remainder of 2017 as we continue to implement the new revenue recognition standard.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margin</w:t>
      </w:r>
    </w:p>
    <w:p>
      <w:pPr>
        <w:spacing w:after="0" w:line="227" w:lineRule="exact"/>
        <w:rPr>
          <w:sz w:val="20"/>
          <w:szCs w:val="20"/>
          <w:color w:val="auto"/>
        </w:rPr>
      </w:pPr>
    </w:p>
    <w:p>
      <w:pPr>
        <w:jc w:val="both"/>
        <w:ind w:right="160" w:firstLine="567"/>
        <w:spacing w:after="0" w:line="277" w:lineRule="auto"/>
        <w:rPr>
          <w:sz w:val="20"/>
          <w:szCs w:val="20"/>
          <w:color w:val="auto"/>
        </w:rPr>
      </w:pPr>
      <w:r>
        <w:rPr>
          <w:rFonts w:ascii="Times New Roman" w:cs="Times New Roman" w:eastAsia="Times New Roman" w:hAnsi="Times New Roman"/>
          <w:sz w:val="17"/>
          <w:szCs w:val="17"/>
          <w:color w:val="auto"/>
        </w:rPr>
        <w:t>We generated operating income of $33.7 million in the three months ended September 30, 2017, an increase of $28.2 million, or 514%, compared to operating income of $5.5 million in the same period last year. The improvement in operating margin was primarily due to the improvement in gross margin, and the decline in sales and marketing and general and administrative expenses as a percentage of total revenue. As a percentage of total revenue, sales and marketing expenses decreased to 46% in the three months ended September 30, 2017 from 49% in the same period last year. In addition, as a percentage of total revenue, general and administrative expenses decreased to 6% in the three months ended September 30, 2017 from 7% in the same period last year.</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2017</w:t>
            </w:r>
          </w:p>
        </w:tc>
        <w:tc>
          <w:tcPr>
            <w:tcW w:w="34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2016</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3,866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1,888</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1,978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(expense)—net</w:t>
            </w:r>
          </w:p>
        </w:tc>
        <w:tc>
          <w:tcPr>
            <w:tcW w:w="26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1,131</w:t>
            </w:r>
          </w:p>
        </w:tc>
        <w:tc>
          <w:tcPr>
            <w:tcW w:w="1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(144)</w:t>
            </w:r>
          </w:p>
        </w:tc>
      </w:tr>
    </w:tbl>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Interest income increased by $2.0 million, or 105%, in the three months ended September 30, 2017 as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Other income (expense)—net consisted primarily of foreign exchange and related hedging gains and losses. The increase in other income (expense)—net in the three months ended September 30, 2017 as compared to the same period last year was the result of foreign currency exchange gains in the three months ended September 30, 2017, compared to foreign currency exchange losses in the three months ended September 30,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gridSpan w:val="3"/>
          </w:tcPr>
          <w:p>
            <w:pPr>
              <w:jc w:val="right"/>
              <w:ind w:right="11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7"/>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6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2"/>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2017</w:t>
            </w:r>
          </w:p>
        </w:tc>
        <w:tc>
          <w:tcPr>
            <w:tcW w:w="340" w:type="dxa"/>
            <w:vAlign w:val="bottom"/>
          </w:tcPr>
          <w:p>
            <w:pPr>
              <w:spacing w:after="0"/>
              <w:rPr>
                <w:sz w:val="18"/>
                <w:szCs w:val="18"/>
                <w:color w:val="auto"/>
              </w:rPr>
            </w:pPr>
          </w:p>
        </w:tc>
        <w:tc>
          <w:tcPr>
            <w:tcW w:w="1620" w:type="dxa"/>
            <w:vAlign w:val="bottom"/>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2016</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00" w:type="dxa"/>
            <w:vAlign w:val="bottom"/>
            <w:gridSpan w:val="3"/>
          </w:tcPr>
          <w:p>
            <w:pPr>
              <w:jc w:val="right"/>
              <w:ind w:right="101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0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11,296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298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10,998</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1"/>
                <w:szCs w:val="21"/>
                <w:color w:val="auto"/>
              </w:rPr>
            </w:pPr>
          </w:p>
        </w:tc>
        <w:tc>
          <w:tcPr>
            <w:tcW w:w="17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was 30% in the three months ended September 30, 2017, compared to an effective tax rate of 5% in the same period last year. The effective tax rates in the periods presented are comprised of U.S. federal and state taxes, excess tax benefits from stock-based compensation, withholding taxes and foreign income taxes. The tax rates in the three months ended September 30, 2017 and 2016 were impacted by excess tax benefits of $1.8 million and $2.5 million, respectively, from stock-based compensation. Our effective tax rates fluctuate based on the amount of pre-tax income or loss. The impact of discrete items, such as the excess tax benefits from stock-based compensation, on our effective tax rate is greater when our pre-tax income is lower.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and September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20" w:type="dxa"/>
            <w:vAlign w:val="bottom"/>
          </w:tcPr>
          <w:p>
            <w:pPr>
              <w:spacing w:after="0"/>
              <w:rPr>
                <w:sz w:val="18"/>
                <w:szCs w:val="18"/>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415,053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389,185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25,868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663,209</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523,428</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139,781</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w:t>
            </w:r>
          </w:p>
        </w:tc>
      </w:tr>
      <w:tr>
        <w:trPr>
          <w:trHeight w:val="297"/>
        </w:trPr>
        <w:tc>
          <w:tcPr>
            <w:tcW w:w="3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1,078,262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912,613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165,649</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468,230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386,566</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81,664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394,214</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336,911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57,303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215,818</w:t>
            </w:r>
          </w:p>
        </w:tc>
        <w:tc>
          <w:tcPr>
            <w:tcW w:w="150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189,136</w:t>
            </w:r>
          </w:p>
        </w:tc>
        <w:tc>
          <w:tcPr>
            <w:tcW w:w="15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26,682</w:t>
            </w: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1,078,262</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912,613</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165,649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Total revenue increased by $165.6 million, or 18%, in the nine months ended September 30, 2017 compared to the same period last year. All three regions experienced revenue growth compared to the same period last year, with the Americas contributing the largest portion of our revenue growth on an absolute dollar basis. Product revenue increased by $25.9 million, or 7%, in the nine months ended September 30, 2017 compared to the same period last year. The increase in product revenue was primarily driven by greater sales in our FortiGate and non-FortiGate products, as well as growth in other product lines.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Service revenue increased by $139.8 million, or 27%, in the nine months ended September 30, 2017 compared to the same period last year. The increase in service revenue was primarily due to the recognition of revenue from our growing deferred revenue balance consisting of FortiGuard and FortiCare subscription services sold to a larger customer base, as well as the renewals of similar contracts sold in earlier periods.We continued to see the shift from product revenue to higher-margin, recurring service revenue, which reflected our success in driving sales of subscriptions.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9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174,190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152,368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21,822</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w w:val="99"/>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105,675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94,578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11,097</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12</w:t>
            </w:r>
          </w:p>
        </w:tc>
      </w:tr>
      <w:tr>
        <w:trPr>
          <w:trHeight w:val="297"/>
        </w:trPr>
        <w:tc>
          <w:tcPr>
            <w:tcW w:w="3600" w:type="dxa"/>
            <w:vAlign w:val="bottom"/>
            <w:tcBorders>
              <w:bottom w:val="single" w:sz="8" w:color="CCEEFF"/>
            </w:tcBorders>
          </w:tcPr>
          <w:p>
            <w:pPr>
              <w:jc w:val="center"/>
              <w:ind w:right="1930"/>
              <w:spacing w:after="0"/>
              <w:rPr>
                <w:sz w:val="20"/>
                <w:szCs w:val="20"/>
                <w:color w:val="auto"/>
              </w:rPr>
            </w:pPr>
            <w:r>
              <w:rPr>
                <w:rFonts w:ascii="Times New Roman" w:cs="Times New Roman" w:eastAsia="Times New Roman" w:hAnsi="Times New Roman"/>
                <w:sz w:val="18"/>
                <w:szCs w:val="18"/>
                <w:color w:val="auto"/>
                <w:w w:val="98"/>
              </w:rPr>
              <w:t>Total cost of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279,865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246,946</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32,919</w:t>
            </w:r>
          </w:p>
        </w:tc>
        <w:tc>
          <w:tcPr>
            <w:tcW w:w="19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Product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9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w w:val="99"/>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960" w:type="dxa"/>
            <w:vAlign w:val="bottom"/>
          </w:tcPr>
          <w:p>
            <w:pPr>
              <w:spacing w:after="0"/>
              <w:rPr>
                <w:sz w:val="21"/>
                <w:szCs w:val="21"/>
                <w:color w:val="auto"/>
              </w:rPr>
            </w:pPr>
          </w:p>
        </w:tc>
      </w:tr>
    </w:tbl>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Total gross margin increased by 1.1 percentage points in the nine months ended September 30, 2017 compared to the same period last year driven by higher margin on service revenue. Service gross margin increased by 2.2 percentage points in the nine months ended September 30, 2017 as compared to the same period last year. Product gross margin decreased by 2.8 percentage points in the nine months ended September 30, 2017 compared to the same period last year. The shift in gross margin was a result of continued growth in the sales of higher-margin subscription bundles and a longer average duration of service contracts. Total cost of product revenue was comprised primarily of cost of products sold, inventory reserves and other charges. Total cost of service revenue was comprised primarily of personnel costs.</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18,345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509,098</w:t>
            </w:r>
          </w:p>
        </w:tc>
        <w:tc>
          <w:tcPr>
            <w:tcW w:w="1480" w:type="dxa"/>
            <w:vAlign w:val="bottom"/>
            <w:tcBorders>
              <w:bottom w:val="single" w:sz="8" w:color="CCEEFF"/>
            </w:tcBorders>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463,628</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45,470</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3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148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63,629</w:t>
            </w:r>
          </w:p>
        </w:tc>
        <w:tc>
          <w:tcPr>
            <w:tcW w:w="152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1,884</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730,791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667,916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62,875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$18.3 million, or 13%, in the nine months ended September 30, 2017 compared to the same period last year primarily due to an increase of $12.5 million in personnel costs as a result of increased headcount to support the development of new products and continued enhancements of our existing products. In addition, product development costs, such as third-party testing and prototypes, increased by $3.5 million, and depreciation expense and other occupancy-related costs increased by $2.2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 increased by $45.5 million, or 10%, in the nine months ended September 30, 2017 compared to the same period last year, primarily due to an increase of $37.9 million in personnel costs, including an increase in stock-based compensation expense of $8.2 million. Depreciation expense and other occupancy-related expense increased by $4.8 million. Amortization expense increased by $1.3 million related to intangible assets acquired from AccelOps. In addition, marketing-related expenses increased by $1.3 million as we invested in marketing to drive broader market awareness, build lead generation and accelerate pipeline. As a percentage of total revenue, sales and marketing expense decreased as revenue grew at a higher pace compared to personnel costs. The decrease in personnel costs as a percentage of total revenue resulted from lower sales commissions, slower hiring and attrition.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by $1.9 million, or 3%, in the nine months ended September 30, 2017 compared to the same period last year, consisting primarily of an increase in other professional fees of $7.9 million that was mostly due to third-party costs related to implementing the new revenue recognition standard and an increase of $6.5 million in personnel costs as we continued to increase headcount. In addition, litigation settlement costs increased by $1.7 million. These increases were partially offset by lower third-party costs of $13.4 million primarily related to the substantial completion of our new ERP system implementation. As a percentage of total revenue, general and administrative costs decreased to 6% in the nine months ended September 30, 2017 from 7% in the same period last year.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margin</w:t>
      </w:r>
    </w:p>
    <w:p>
      <w:pPr>
        <w:spacing w:after="0" w:line="227" w:lineRule="exact"/>
        <w:rPr>
          <w:sz w:val="20"/>
          <w:szCs w:val="20"/>
          <w:color w:val="auto"/>
        </w:rPr>
      </w:pPr>
    </w:p>
    <w:p>
      <w:pPr>
        <w:jc w:val="both"/>
        <w:ind w:right="160" w:firstLine="567"/>
        <w:spacing w:after="0" w:line="256" w:lineRule="auto"/>
        <w:rPr>
          <w:sz w:val="20"/>
          <w:szCs w:val="20"/>
          <w:color w:val="auto"/>
        </w:rPr>
      </w:pPr>
      <w:r>
        <w:rPr>
          <w:rFonts w:ascii="Times New Roman" w:cs="Times New Roman" w:eastAsia="Times New Roman" w:hAnsi="Times New Roman"/>
          <w:sz w:val="18"/>
          <w:szCs w:val="18"/>
          <w:color w:val="auto"/>
        </w:rPr>
        <w:t>We generated operating income of $67.6 million in the nine months ended September 30, 2017, an increase of $69.9 million, compared to operating loss of $2.2 million in the nine months ended September 30, 2016, respectively. The improvement in operating margin was primarily due to the increase in gross margin of 1.1 percentage points and the decline in sales and marketing and general and administrative expenses as a percentage of total revenue. As a percentage of total revenue, sales and marketing expenses decreased to 47% in the nine months ended September 30, 2017 from 51% in the same period last year. As a percentage of total revenue, general and administrative costs decreased to 6% in the nine months ended September 30, 2017 from 7% in the same period last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2017</w:t>
            </w:r>
          </w:p>
        </w:tc>
        <w:tc>
          <w:tcPr>
            <w:tcW w:w="34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2016</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7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9,421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5,339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4,082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(expense)—net</w:t>
            </w:r>
          </w:p>
        </w:tc>
        <w:tc>
          <w:tcPr>
            <w:tcW w:w="26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1,889</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5,338</w:t>
            </w:r>
          </w:p>
        </w:tc>
        <w:tc>
          <w:tcPr>
            <w:tcW w:w="1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(155)</w:t>
            </w:r>
          </w:p>
        </w:tc>
      </w:tr>
    </w:tbl>
    <w:p>
      <w:pPr>
        <w:spacing w:after="0" w:line="3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Interest income increased by $4.1 million, or 76%, in the nine months ended September 30, 2017 compared to the same period last year due to higher interest rates and higher invested balances of cash, cash equivalents and investments. Interest income varies depending on our average investment balances during the period, types and mix of investments, and market interest rates. Other income (expense)—net consisted primarily of foreign exchange and related hedging gains and losses. The increase in other income (expense)—net in the nine months ended September 30, 2017 when compared to the same period last year was the result of foreign currency exchange gains in the nine months ended September 30, 2017, compared to foreign currency exchange losses in the nine months ended September 30, 2016.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3"/>
          </w:tcPr>
          <w:p>
            <w:pPr>
              <w:jc w:val="right"/>
              <w:ind w:right="115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6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Pr>
          <w:p>
            <w:pPr>
              <w:spacing w:after="0"/>
              <w:rPr>
                <w:sz w:val="18"/>
                <w:szCs w:val="18"/>
                <w:color w:val="auto"/>
              </w:rPr>
            </w:pPr>
          </w:p>
        </w:tc>
        <w:tc>
          <w:tcPr>
            <w:tcW w:w="1620" w:type="dxa"/>
            <w:vAlign w:val="bottom"/>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2016</w:t>
            </w:r>
          </w:p>
        </w:tc>
        <w:tc>
          <w:tcPr>
            <w:tcW w:w="500" w:type="dxa"/>
            <w:vAlign w:val="bottom"/>
          </w:tcPr>
          <w:p>
            <w:pPr>
              <w:spacing w:after="0"/>
              <w:rPr>
                <w:sz w:val="18"/>
                <w:szCs w:val="18"/>
                <w:color w:val="auto"/>
              </w:rPr>
            </w:pPr>
          </w:p>
        </w:tc>
        <w:tc>
          <w:tcPr>
            <w:tcW w:w="1700" w:type="dxa"/>
            <w:vAlign w:val="bottom"/>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4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18,556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(7,380)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25,936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500" w:type="dxa"/>
            <w:vAlign w:val="bottom"/>
          </w:tcPr>
          <w:p>
            <w:pPr>
              <w:spacing w:after="0"/>
              <w:rPr>
                <w:sz w:val="21"/>
                <w:szCs w:val="21"/>
                <w:color w:val="auto"/>
              </w:rPr>
            </w:pPr>
          </w:p>
        </w:tc>
        <w:tc>
          <w:tcPr>
            <w:tcW w:w="17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1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effective tax rate was 24% in the nine months ended September 30, 2017, compared with an effective tax rate of 2,053% in the same period last year. The effective tax rates in the periods presented are comprised of U.S. federal and state taxes, excess tax benefits from stock-based compensation, withholding taxes and foreign income taxes. The tax rate in the nine months ended September 30, 2017 and 2016 were impacted by excess tax benefits of $11.4 million and $8.7 million, respectively, from stock-based compensation.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36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tcPr>
          <w:p>
            <w:pPr>
              <w:jc w:val="center"/>
              <w:ind w:left="99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905,794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709,003</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617,836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601,505</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1,523,630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1,310,508</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740,012</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709,276</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r>
      <w:tr>
        <w:trPr>
          <w:trHeight w:val="508"/>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5"/>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360" w:type="dxa"/>
            <w:vAlign w:val="bottom"/>
          </w:tcPr>
          <w:p>
            <w:pPr>
              <w:jc w:val="center"/>
              <w:ind w:right="29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tcPr>
          <w:p>
            <w:pPr>
              <w:jc w:val="center"/>
              <w:ind w:left="99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436,863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244,671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w:t>
            </w:r>
          </w:p>
        </w:tc>
      </w:tr>
      <w:tr>
        <w:trPr>
          <w:trHeight w:val="25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196,791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104,236</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Liquidity and capital resources may be impacted by our operating activities, as well as by our stock repurchases, real estate and other capital expenditures, proceeds associated with stock option exercises and issuances of common stock under our employee stock purchase plan (the “ESPP”), payment of taxes in connection with the net settlement of equity awards and business acquisitions. In recent years, we have received significant capital resources as a result of increases in our deferred revenue and the exercise of stock options. We expect proceeds from the issuance of stock options in future years to be impacted by the increased mix of restricted stock units (“RSUs”) granted versus stock options and also to vary based on our share price. As of September 30, 2017, $365.2 million remained available for future share repurchase under the Repurchase Program. In October 2017, our board of directors approved a $400.0 million increase to the Repurchase Program, bringing the total amount authorized to be repurchased to $1.0 billion through January 31, 2019.</w:t>
      </w:r>
    </w:p>
    <w:p>
      <w:pPr>
        <w:spacing w:after="0" w:line="18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total capital expenditures for real estate purchases in 2017 is currently expected to be approximately $110.0 million, including the $84.8 million we spent on the purchase of two buildings in Burnaby, Canada in April 2017. We currently expect to spend $120.0 million total in 2018 and 2019 to build out our headquarters in Sunnyvale, California. The specific timing of the 2018 and 2019 expenditures is yet to be determined.</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2017, our cash, cash equivalents and investments of $1.52 billion were invested primarily in corporate debt securities, commercial paper, term deposits, U.S. government and agency securities and municipal bonds. It is our investment policy to invest excess cash in a manner that preserves capital, provides liquidity and maximizes return without significantly increasing risk.</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2017, $773.0 million of our cash and investments were held by our international subsidiaries and are therefore not immediately available to fund domestic operations unless the cash is repatriated. While we do not intend to do so, should this amount be repatriated, most of it would be subject to U.S. federal income tax that would be partially offset by foreign tax credits. We do not enter into investments for trading or speculative purposes.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depreciation of property and equipment and amortization of intangible assets.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operating activities during the nine months ended September 30, 2017 provided $436.9 million in cash as a result of our continued growth in the sales of FortiGuard and FortiCare subscription services, as well as product sales, and the ability to successfully manage our working capital. The increase in sales of our FortiGuard and FortiCare subscription services to new and existing customers was reflected in the increase in our deferred revenue. We continued to see the shift from product revenue to higher-margin, recurring service revenue.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activities during the nine months ended September 30, 2016 provided $244.7 million in cash as a result of the continued growth of our business and our ability to successfully manage our working capital. Changes in operating assets and liabilities primarily resulted from an increase in sales of our FortiGuard and FortiCare subscription services to new and existing customers, as reflected by an increase in our deferred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 that purchasing rather than leasing is more in line with our long-term strategy. We expect to make similar decisions in the future.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2017, cash used in investing activities was primarily due to the $121.6 million we spent on capital expenditures, including the purchase of $84.8 million in real estate in Burnaby, Canada in April 2017. Cash outflows due to purchases of investments, net of sales and maturities, amounted to $20.4 million.</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2016, cash used for investing activities was primarily due to the $50.3 million we spent on capital expenditures, including our purchase of a warehouse in Union City, California for total cash of $18.5 million, and a $22.1 million payment for the acquisition of AccelOps. Cash outflows due to purchases of investments, net of sales and maturities, amounted to $3.8 million.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our repurchase of common stock and proceeds from the issuance of common stock under our equity incentive plan and the ESPP, taxes paid related to net share settlement of equity awards.</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2017, cash used in financing activities was $98.0 million, primarily due to $124.0 million used to repurchase our common stock. This was partially offset by $26.0 million proceeds from the issuance of common stock, net of tax withholding.</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cash used for financing activities was $64.2 million, primarily due to $75.0 million used to repurchase our common stock. This was partially offset by $12.4 million of proceeds from the issuance of common stock, net of taxes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business during the nine months ended September 30, 2017 to the contractual obligations and commitments disclosed in Management’s Discussion and Analysis of Financial Condition and Results of Operations, set forth in Part II, Item 7, of the Form 10-K. See Note 9 to the notes to the condensed consolidated financial statements included in Part I, Item 1 of this Quarterly Report on Form 10-Q for additional information regarding contractual obligations and commitments.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00"/>
          </w:cols>
          <w:pgMar w:left="240" w:top="118" w:right="3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nine months ended September 30, 2017 compared to the disclosures in Part II, Item 7A of the Form 10-K.</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2017.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September 30, 2017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or 15d-15(f) under the Exchange Act) during the nine months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18" w:right="27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October 2016, we received a letter from the United States Attorney’s Office for the Northern District of California requesting information relating to our compliance with the Trade Agreements Act. This inquiry is ongoing and we are fully cooperating with this inquiry.</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the time it takes for our sales personnel to reach productivity and our ability to hire and retain sales personnel;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which may be affected by both the mix of sales by our “sell-in” versus our “sell-through” channel partners, and the accuracy of point-of-sale reporting by our “sell-through” channel partners;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118" w:right="29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network security market;</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(including product development pursuant to our non-recurring engineering agreements) or our competitors, or any other change in the competitive landscape of our industry, including consolidation among our competitors, partners or end-customers;</w:t>
      </w:r>
    </w:p>
    <w:p>
      <w:pPr>
        <w:spacing w:after="0" w:line="176"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 that are applicable to our ability to conduct business with the public sector;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platforms on the timing of our revenue recognition, billings and free cash flow;</w:t>
      </w:r>
    </w:p>
    <w:p>
      <w:pPr>
        <w:spacing w:after="0" w:line="225" w:lineRule="exact"/>
        <w:rPr>
          <w:rFonts w:ascii="Times New Roman" w:cs="Times New Roman" w:eastAsia="Times New Roman" w:hAnsi="Times New Roman"/>
          <w:sz w:val="18"/>
          <w:szCs w:val="18"/>
          <w:color w:val="auto"/>
        </w:rPr>
      </w:pPr>
    </w:p>
    <w:p>
      <w:pPr>
        <w:ind w:left="1300" w:right="8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revenues and manage and control operating expenses, in order to improve our operating margins;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of services contracts or the length of services contracts sold;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services and the uncertainty associated with transitioning to providing such services;</w:t>
      </w:r>
    </w:p>
    <w:p>
      <w:pPr>
        <w:spacing w:after="0" w:line="31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impact on results of operations from any acquisition consummated;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18" w:right="27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7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foreign imports and tax laws related to international commerce;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25" w:lineRule="exact"/>
        <w:rPr>
          <w:rFonts w:ascii="Times New Roman" w:cs="Times New Roman" w:eastAsia="Times New Roman" w:hAnsi="Times New Roman"/>
          <w:sz w:val="18"/>
          <w:szCs w:val="18"/>
          <w:color w:val="auto"/>
        </w:rPr>
      </w:pPr>
    </w:p>
    <w:p>
      <w:pPr>
        <w:ind w:left="1300" w:right="8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161" w:lineRule="exact"/>
        <w:rPr>
          <w:rFonts w:ascii="Times New Roman" w:cs="Times New Roman" w:eastAsia="Times New Roman" w:hAnsi="Times New Roman"/>
          <w:sz w:val="18"/>
          <w:szCs w:val="18"/>
          <w:color w:val="auto"/>
        </w:rPr>
      </w:pPr>
    </w:p>
    <w:p>
      <w:pPr>
        <w:ind w:left="1300" w:right="94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holdings and future development plans; and</w:t>
      </w:r>
    </w:p>
    <w:p>
      <w:pPr>
        <w:spacing w:after="0" w:line="16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and applicable accounting standards.</w:t>
      </w:r>
    </w:p>
    <w:p>
      <w:pPr>
        <w:spacing w:after="0" w:line="16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operating margin and free cash flow growth may slow or may not continue.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and our failure for any reason to continue to capitalize on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FortiCare subscription services which may decline, and because we recognize revenue from FortiGuard and FortiCare subscription services over the term of the relevant service period, downturns or upturns in sales of FortiGuard and FortiCare subscription services are not immediately reflected in full in our operating results.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FortiCare subscription services revenue have historically accounted for a significant percentage of our total revenue. Revenue from the sale of new, or from the renewal of existing, FortiGuard and FortiCare subscription service contracts may decline and fluctuate as a result of a number of factors, including fluctuations in purchases of FortiGate appliances,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FortiCare subscription service contracts decline, our revenue and revenue growth may decline and our business could suffer. In addition, in the event significant customers require payment terms for FortiGuard and FortiCare subscription services in arrears or for shorter periods of time than annually, such as monthly or quarterly, this may negatively impact our billings and revenue. Furthermore, we recognize FortiGuard and FortiCare subscription services revenue monthly over the term of the relevant service period, which is typically from one to three years, and in some instances has been as long as five years. As a result, much of the FortiGuard and FortiCare subscription services revenue we report each quarter is the recognition of deferred revenue from FortiGuard and FortiCare subscription services entered into during previous quarters or years. Consequently, a decline in new or renewed FortiGuard and FortiCare subscription services contracts in any one quarter will not be fully reflected in revenue in that quarter but will negatively affect our revenue in future quarters. Accordingly, the effect of significant downturns in sales of new, or renewals of existing, FortiGuard and FortiCare subscription services is not reflected in full in our statements of operations until future periods. Our FortiGuard and FortiCare subscription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 particularly during the summer months;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6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 sales in certain countries outside of the United States;</w:t>
      </w:r>
    </w:p>
    <w:p>
      <w:pPr>
        <w:spacing w:after="0" w:line="161"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and costs of non-compliance with, U.S. or other foreign laws and regulations for foreign operations, including the U.S. Foreign Corrupt Practices Act, the United Kingdom Bribery Act 2010, the General Data Protection Regulation (which will be implemented by the European Union in May 2018), import and export control laws, tariffs, trade barriers and economic sanctions;</w:t>
      </w:r>
    </w:p>
    <w:p>
      <w:pPr>
        <w:spacing w:after="0" w:line="176"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240" w:top="118" w:right="3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200" w:hanging="644"/>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changes and uncertainty, and for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employment and other laws.</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8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Such sales are often for a longer contract term or may be at higher discount levels. We also have experienced less traction selling to certain government organizations and service providers,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84" w:lineRule="exact"/>
        <w:rPr>
          <w:sz w:val="20"/>
          <w:szCs w:val="20"/>
          <w:color w:val="auto"/>
        </w:rPr>
      </w:pPr>
    </w:p>
    <w:p>
      <w:pPr>
        <w:ind w:left="1300" w:right="44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25"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6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that elects not to purchase our products and services;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Large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continued changes in buying behavior by larger customers within this industry could negatively impact our business. Large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free cash flow. Mismanagement of our inventory, whether due to imprecise forecasting, employee errors or malfeasance, inaccurate information or otherwise, may adversely affect our results of operations.</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Chairman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5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For example, we realigned our sales organization in early 2016 and it has taken more time than we expected to ramp up the productivity of our realigned sales organization.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 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1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billings during the last two weeks have accounted for 37%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our ability to sell our products and operating results will be harmed. The termination of our relationship with any significant channel partner may adversely impact our sales and operating results.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July 2017, Exclusive Networks Group (“Exclusive”) acquired Fine Tec U.S. The two channel partners together accounted for 31% of our total net accounts receivable as of September 30, 2017. Exclusive and Ingram Micro, Inc. (“Ingram Micro”), which distributed our solutions to a large group of resellers and end-customers, accounted for 29% and 11% of our total revenue, respectively, during the three months ended September 30, 2017. During the nine months ended September 30, 2017, Exclusive and Ingram Micro accounted for 23% and 10% of our total revenue, respectively. During the three months ended September 30, 2016, Exclusive and Ingram Micro, accounted for 19% and 10% of our total revenue, respectively. During the nine months ended September 30, 2016, Exclusive accounted for 19% of our total revenue. In addition, we may be impacted by consolidation of our existing channel partners. In such instances,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experience changes to our overall business and operational relationships due to dealing with a larger combined entity, and our ability to maintain such relationships on favorable contractual terms may be more limited.</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or vulnerabilities in our products or services, the failure of our products or services to prevent a virus or security breach or the misuse of our products could harm our reputation and divert resources.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85" w:lineRule="exact"/>
        <w:rPr>
          <w:sz w:val="20"/>
          <w:szCs w:val="20"/>
          <w:color w:val="auto"/>
        </w:rPr>
      </w:pPr>
    </w:p>
    <w:p>
      <w:pPr>
        <w:ind w:left="1300" w:right="8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 and, in some instances, subject us to potential liability that is not contractually limited.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growth, and if we do not appropriately manage any future growth, including through the expansion of our real estate holdings, or are unable to improve our systems and processes, our operating results will be negatively affected.</w:t>
      </w:r>
    </w:p>
    <w:p>
      <w:pPr>
        <w:spacing w:after="0" w:line="172"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8"/>
          <w:szCs w:val="18"/>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9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recently expanded our office real estate holdings to meet our projected growth need for office space. In March 2017 and April 2017, we purchased office buildings in Ottawa and Burnaby, Canada, respectively, and have purchased various small buildings adjacent to our Sunnyvale headquarters as we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ERP system.</w:t>
      </w:r>
    </w:p>
    <w:p>
      <w:pPr>
        <w:spacing w:after="0" w:line="22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July 2016, we implemented a new ERP system. The ERP system is critical to our ability to provide important information to our management, obtain and deliver products, provide services and customer support, send invoices and track payments, fulfill contractual obligations, accurately maintain books and records, provide accurate, timely and reliable reports on our financial and operating results and otherwise operate our business. The implementation and maintenance of the new ERP system has required, and will continue to require, the investment of significant financial and human resources. In addition, we may choose to upgrade or expand the functionality of our ERP system, leading to additional costs. We may also discover deficiencies in our design or implementation or maintenance of the new ERP system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are currently implementing new systems to comply with the new revenue recognition standard and the related changes in accounting for commission. Our operating results may be adversely affected if these upgrades are delayed or if the upgraded systems do not function as intended or is not sufficient to meet with our revenue recognition and commissions accounting requirements.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Additionally, in connection with adopting and implementing the new revenue accounting standard, management will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as we work toward implementing the new standard.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Micro-Star International Co., Ltd., Wistron Corporation, Flex Ltd., Senao Networks, Inc., ADLINK Technology, Inc. and a number of manufacturers located in Taiwan and other countries outside the U.S.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proprietary SPU, which is the key to the performance of our appliances, are built by contract manufacturers including Faraday Technology Corporation, MegaChips Corporation and Renesas Electronics Corporation (“Renesas”). These contract manufacturers use foundries operated by United Microelectronics Corporation, Taiwan Semiconductor Manufacturing Company Limited or Renesas on a purchase-order basis, and these foundries do not guarantee their capacity and could reject orders or increase their pricing. Accordingly, the foundries are not obligated to continue to fulfill our supply requirements, and due to the long lead time that a new foundry would require, we could suffer temporary or long term inventory shortages of our SPU as well as increased costs.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8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provided guidance with respect to a portion of the conflict minerals filing requirements that somewhat reduced the reporting required,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9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Corporation (“Intel”), network chips from Broadcom Corporation, Marvell Technology Group Ltd. and Intel, and memory devices from Intel, ADATA Technology Co., Ltd., Samsung Electronics Co., Ltd. and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7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intellectual property;</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118" w:right="29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and Ottawa. While we are not currently engaged in material hedging activities, we have been hedging currency exposures relating to certain balance sheet</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example, with respect to data privacy, in April 2016, the European Parliament approved the General Data Protection Regulation (the “GDPR”), which will come into effect in May 2018 and supersede current EU data protection regulations. The GDPR will impose stringent data handling requirements on companies that receive or process personal data of residents of the EU, and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Violations of certain regulatory and contractual requirements could also result in us being suspended or debarred from future government contracting. Any of these outcomes could have an adverse effect on our revenue, operating results, financial condition and prospects.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example,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8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2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 Moreover, efforts to implement changes related to export or import regulations (including the imposition of new border taxes or tariffs on foreign imports), economic sanctions or related policies. 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Additionally, though we have filed for an extension, it is possible that this exemption may expire in the near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organizations, which are subject to a number of challenges and risks.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62"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sector budgetary cycles;</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applicable to certain government sales, including GSA regulations.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18" w:right="25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breaches or false identification of spam or spyware could adversely affect our business.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antivirus and our intrusion prevention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and FortiCare subscription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9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or exposure to additional tax liabilities.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62" w:lineRule="exact"/>
        <w:rPr>
          <w:sz w:val="20"/>
          <w:szCs w:val="20"/>
          <w:color w:val="auto"/>
        </w:rPr>
      </w:pPr>
    </w:p>
    <w:p>
      <w:pPr>
        <w:ind w:left="1300" w:right="34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being lower than anticipated in countries that have lower tax rates and higher than anticipated in countries that have higher tax rates;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2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 write-offs of acquired in-process research and development and impairment of goodwill;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decision to indefinitely reinvest foreign earnings;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decisions, tax rulings and interpretations of tax laws, and regulations by international, federal or local governmental authorities; or</w:t>
      </w:r>
    </w:p>
    <w:p>
      <w:pPr>
        <w:spacing w:after="0" w:line="22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including possible changes in the United States to the taxation of earnings of our foreign subsidiaries, the deductibility of expenses attributable to foreign income or the foreign tax credit rules, or changes to the U.S. income tax rate, which would necessitate a revaluation of our deferred tax assets and liabilities.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Our failure to meet these commitments could adversely impact our provision for income taxes. In addition, we are subject to the examination of our income tax returns by the Internal Revenue Service (the “IRS”) and other tax authorities. Tax authorities in France are currently examining the inter-company relationship between Fortinet, Inc., Fortinet France and Fortinet Singapore. In April 2017, we received a notice from the French tax authorities that an audit was officially opened for tax years from 2007 to 2015. We regularly assess the likelihood of adverse outcomes resulting from such examinations to determine the adequacy of our provision for income taxes.</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has been working on a Base Erosion and Profit Sharing Project. As part of this project, the OECD issued in 2015,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acquire and integrate other businesses, products or technologies could seriously harm our competitive position.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intellectual property, such as patents. For any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system,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office center in Vancouver, Canada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in the delay of the manufacture, deployment or shipment of our products, our business, financial condition and results of operations would be adversely affected.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7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9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Moreover, business models based on software-as-a-service (“SaaS”) and infrastructure-as-a-service (“IaaS”), both of which are hosted or cloud-based services, have become increasingly in-demand by our end-customers and adopted by other providers, including our competitors. While we have introduced additional cloud-based services and will continue to do so, most of our platform is currently deployed on premise, and therefore, if customers demand that our platform be provided through a SaaS or IaaS business model, we would be required to make additional investments in our infrastructure and personnel to be able to more fully provide our platform through a SaaS or IaaS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and IaaS business models and the future demand for such models by customers. Additionally, if we are unable to meet the demand to provide our services through a SaaS or IaaS model, we may lose customers to competitors.</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new products and product enhancements do not achieve sufficient market acceptance, our results of operations and competitive position will suffer.</w:t>
      </w:r>
    </w:p>
    <w:p>
      <w:pPr>
        <w:spacing w:after="0" w:line="24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lack sufficient financial or other resources to maintain or improve our competitive position.</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we expect competition to intensify in the future. Our competitors include companies such as Check Point Software Technologies Ltd., Cisco Systems, Inc. (“Cisco”), F5 Networks, Inc. (“F5 Networks”) FireEye, Inc., Forcepoint LLC, Imperva, Inc., Juniper Networks, Inc. (“Juniper”), McAfee, Inc., Palo Alto Networks, Inc., Proofpoint, Inc., SonicWALL, Inc., Sophos Group Plc, Symantec Corporation and Trend Micro Incorporated.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18" w:right="25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products without compensating us.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several ongoing patent lawsuits, several non-practicing entity patent holding companies have sent us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In either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118" w:right="27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2016, our internal controls over financial reporting were effective, we cannot predict the outcome of our testing in 2017 or future periods. We may incur additional expenses and commitment of management’s time in connection with further evaluations, both of which could materially increase our operating expenses and accordingly reduce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such as changes to standards related to revenue recognition and equity investment valuation (which are effective for us beginning on January 1, 2018) and accounting for leases, as well as the significant costs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 Additionally, in connection with adopting and implementing the new revenue recognition accounting standard, management will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as we work toward implementing the new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the new equity investment valuation standard, which requires most equity investments to be measured at fair value (with subsequent changes in fair value recognized in net income), may increase the volatility of our earnings.</w:t>
      </w:r>
    </w:p>
    <w:p>
      <w:pPr>
        <w:spacing w:after="0" w:line="1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nine months ended September 30, 2017, the closing price of our common stock ranged from $30.12 to $41.10 per share.</w:t>
      </w:r>
    </w:p>
    <w:p>
      <w:pPr>
        <w:spacing w:after="0" w:line="180" w:lineRule="exact"/>
        <w:rPr>
          <w:sz w:val="20"/>
          <w:szCs w:val="20"/>
          <w:color w:val="auto"/>
        </w:rPr>
      </w:pPr>
    </w:p>
    <w:p>
      <w:pPr>
        <w:ind w:firstLine="531"/>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and could diminish our cash reserves.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October 2017, our board of directors recently authorized a $400.0 million increase to the Repurchase Program, bringing the total amount currently authorized to be repurchased to $1.0 billion through January 31, 2019. Share repurchases under the Repurchase Program could affect the price of our common stock, increase stock price volatility and diminish our cash reserves. In addition, an announcement of the suspension or termination of the Repurchase Program could result in a decrease in the trading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62"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2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that we repurchased in the three months ended September 30, 2017 (in thousands, except number of share and per 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Dollar Value of</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Yet Be Purchased</w:t>
            </w:r>
          </w:p>
        </w:tc>
      </w:tr>
      <w:tr>
        <w:trPr>
          <w:trHeight w:val="203"/>
        </w:trPr>
        <w:tc>
          <w:tcPr>
            <w:tcW w:w="4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Under the Plan or</w:t>
            </w:r>
          </w:p>
        </w:tc>
      </w:tr>
      <w:tr>
        <w:trPr>
          <w:trHeight w:val="203"/>
        </w:trPr>
        <w:tc>
          <w:tcPr>
            <w:tcW w:w="4100" w:type="dxa"/>
            <w:vAlign w:val="bottom"/>
          </w:tcPr>
          <w:p>
            <w:pPr>
              <w:spacing w:after="0"/>
              <w:rPr>
                <w:sz w:val="17"/>
                <w:szCs w:val="17"/>
                <w:color w:val="auto"/>
              </w:rPr>
            </w:pPr>
          </w:p>
        </w:tc>
        <w:tc>
          <w:tcPr>
            <w:tcW w:w="3020" w:type="dxa"/>
            <w:vAlign w:val="bottom"/>
            <w:gridSpan w:val="2"/>
          </w:tcPr>
          <w:p>
            <w:pPr>
              <w:jc w:val="center"/>
              <w:ind w:left="129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14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Program</w:t>
            </w:r>
          </w:p>
        </w:tc>
      </w:tr>
      <w:tr>
        <w:trPr>
          <w:trHeight w:val="212"/>
        </w:trPr>
        <w:tc>
          <w:tcPr>
            <w:tcW w:w="4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020" w:type="dxa"/>
            <w:vAlign w:val="bottom"/>
            <w:gridSpan w:val="2"/>
          </w:tcPr>
          <w:p>
            <w:pPr>
              <w:jc w:val="center"/>
              <w:ind w:left="1294"/>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 Program</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 July 31, 2017</w:t>
            </w:r>
          </w:p>
        </w:tc>
        <w:tc>
          <w:tcPr>
            <w:tcW w:w="29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182,105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182,105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449,256</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 August 31, 2017</w:t>
            </w:r>
          </w:p>
        </w:tc>
        <w:tc>
          <w:tcPr>
            <w:tcW w:w="2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1,452,592</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1,452,592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395,737</w:t>
            </w:r>
          </w:p>
        </w:tc>
      </w:tr>
      <w:tr>
        <w:trPr>
          <w:trHeight w:val="27"/>
        </w:trPr>
        <w:tc>
          <w:tcPr>
            <w:tcW w:w="4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September 30, 2017</w:t>
            </w:r>
          </w:p>
        </w:tc>
        <w:tc>
          <w:tcPr>
            <w:tcW w:w="2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807,060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807,060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365,216</w:t>
            </w:r>
          </w:p>
        </w:tc>
      </w:tr>
      <w:tr>
        <w:trPr>
          <w:trHeight w:val="27"/>
        </w:trPr>
        <w:tc>
          <w:tcPr>
            <w:tcW w:w="41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October 2017, our board of directors approved a $400.0 million increase to the Repurchase Program, bringing the amount authorized to be repurchased to $1.0 billion.</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97"/>
        </w:trPr>
        <w:tc>
          <w:tcPr>
            <w:tcW w:w="320" w:type="dxa"/>
            <w:vAlign w:val="bottom"/>
            <w:tcBorders>
              <w:bottom w:val="single" w:sz="8" w:color="0000FF"/>
            </w:tcBorders>
          </w:tcPr>
          <w:p>
            <w:pPr>
              <w:spacing w:after="0"/>
              <w:rPr>
                <w:rFonts w:ascii="Times New Roman" w:cs="Times New Roman" w:eastAsia="Times New Roman" w:hAnsi="Times New Roman"/>
                <w:sz w:val="14"/>
                <w:szCs w:val="14"/>
                <w:color w:val="0000FF"/>
                <w:w w:val="95"/>
              </w:rPr>
            </w:pPr>
            <w:hyperlink w:anchor="page73">
              <w:r>
                <w:rPr>
                  <w:rFonts w:ascii="Times New Roman" w:cs="Times New Roman" w:eastAsia="Times New Roman" w:hAnsi="Times New Roman"/>
                  <w:sz w:val="14"/>
                  <w:szCs w:val="14"/>
                  <w:color w:val="0000FF"/>
                  <w:w w:val="95"/>
                </w:rPr>
                <w:t>31.</w:t>
              </w:r>
              <w:r>
                <w:rPr>
                  <w:rFonts w:ascii="Times New Roman" w:cs="Times New Roman" w:eastAsia="Times New Roman" w:hAnsi="Times New Roman"/>
                  <w:sz w:val="14"/>
                  <w:szCs w:val="14"/>
                  <w:u w:val="single" w:color="auto"/>
                  <w:color w:val="0000FF"/>
                  <w:w w:val="95"/>
                </w:rPr>
                <w:t>1*</w:t>
              </w:r>
            </w:hyperlink>
          </w:p>
        </w:tc>
        <w:tc>
          <w:tcPr>
            <w:tcW w:w="500" w:type="dxa"/>
            <w:vAlign w:val="bottom"/>
          </w:tcPr>
          <w:p>
            <w:pPr>
              <w:spacing w:after="0"/>
              <w:rPr>
                <w:sz w:val="24"/>
                <w:szCs w:val="24"/>
                <w:color w:val="auto"/>
              </w:rPr>
            </w:pP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15d-14(a), as adopted pursuant to Section 302 of the Sarbanes-Oxley Act of 2002</w:t>
            </w:r>
          </w:p>
        </w:tc>
      </w:tr>
      <w:tr>
        <w:trPr>
          <w:trHeight w:val="372"/>
        </w:trPr>
        <w:tc>
          <w:tcPr>
            <w:tcW w:w="320" w:type="dxa"/>
            <w:vAlign w:val="bottom"/>
            <w:tcBorders>
              <w:bottom w:val="single" w:sz="8" w:color="0000FF"/>
            </w:tcBorders>
          </w:tcPr>
          <w:p>
            <w:pPr>
              <w:spacing w:after="0"/>
              <w:rPr>
                <w:rFonts w:ascii="Times New Roman" w:cs="Times New Roman" w:eastAsia="Times New Roman" w:hAnsi="Times New Roman"/>
                <w:sz w:val="14"/>
                <w:szCs w:val="14"/>
                <w:color w:val="0000FF"/>
                <w:w w:val="95"/>
              </w:rPr>
            </w:pPr>
            <w:hyperlink w:anchor="page74">
              <w:r>
                <w:rPr>
                  <w:rFonts w:ascii="Times New Roman" w:cs="Times New Roman" w:eastAsia="Times New Roman" w:hAnsi="Times New Roman"/>
                  <w:sz w:val="14"/>
                  <w:szCs w:val="14"/>
                  <w:color w:val="0000FF"/>
                  <w:w w:val="95"/>
                </w:rPr>
                <w:t>31.</w:t>
              </w:r>
              <w:r>
                <w:rPr>
                  <w:rFonts w:ascii="Times New Roman" w:cs="Times New Roman" w:eastAsia="Times New Roman" w:hAnsi="Times New Roman"/>
                  <w:sz w:val="14"/>
                  <w:szCs w:val="14"/>
                  <w:u w:val="single" w:color="auto"/>
                  <w:color w:val="0000FF"/>
                  <w:w w:val="95"/>
                </w:rPr>
                <w:t>2*</w:t>
              </w:r>
            </w:hyperlink>
          </w:p>
        </w:tc>
        <w:tc>
          <w:tcPr>
            <w:tcW w:w="500" w:type="dxa"/>
            <w:vAlign w:val="bottom"/>
          </w:tcPr>
          <w:p>
            <w:pPr>
              <w:spacing w:after="0"/>
              <w:rPr>
                <w:sz w:val="24"/>
                <w:szCs w:val="24"/>
                <w:color w:val="auto"/>
              </w:rPr>
            </w:pP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15d-14(a), as adopted pursuant to Section 302 of the Sarbanes-Oxley Act of 2002</w:t>
            </w:r>
          </w:p>
        </w:tc>
      </w:tr>
      <w:tr>
        <w:trPr>
          <w:trHeight w:val="372"/>
        </w:trPr>
        <w:tc>
          <w:tcPr>
            <w:tcW w:w="320" w:type="dxa"/>
            <w:vAlign w:val="bottom"/>
            <w:tcBorders>
              <w:bottom w:val="single" w:sz="8" w:color="0000FF"/>
            </w:tcBorders>
          </w:tcPr>
          <w:p>
            <w:pPr>
              <w:spacing w:after="0"/>
              <w:rPr>
                <w:rFonts w:ascii="Times New Roman" w:cs="Times New Roman" w:eastAsia="Times New Roman" w:hAnsi="Times New Roman"/>
                <w:sz w:val="14"/>
                <w:szCs w:val="14"/>
                <w:color w:val="0000FF"/>
                <w:w w:val="95"/>
              </w:rPr>
            </w:pPr>
            <w:hyperlink w:anchor="page75">
              <w:r>
                <w:rPr>
                  <w:rFonts w:ascii="Times New Roman" w:cs="Times New Roman" w:eastAsia="Times New Roman" w:hAnsi="Times New Roman"/>
                  <w:sz w:val="14"/>
                  <w:szCs w:val="14"/>
                  <w:color w:val="0000FF"/>
                  <w:w w:val="95"/>
                </w:rPr>
                <w:t>32.</w:t>
              </w:r>
              <w:r>
                <w:rPr>
                  <w:rFonts w:ascii="Times New Roman" w:cs="Times New Roman" w:eastAsia="Times New Roman" w:hAnsi="Times New Roman"/>
                  <w:sz w:val="14"/>
                  <w:szCs w:val="14"/>
                  <w:u w:val="single" w:color="auto"/>
                  <w:color w:val="0000FF"/>
                  <w:w w:val="95"/>
                </w:rPr>
                <w:t>1*</w:t>
              </w:r>
            </w:hyperlink>
          </w:p>
        </w:tc>
        <w:tc>
          <w:tcPr>
            <w:tcW w:w="500" w:type="dxa"/>
            <w:vAlign w:val="bottom"/>
          </w:tcPr>
          <w:p>
            <w:pPr>
              <w:spacing w:after="0"/>
              <w:rPr>
                <w:sz w:val="24"/>
                <w:szCs w:val="24"/>
                <w:color w:val="auto"/>
              </w:rPr>
            </w:pP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 Section 1350, as adopted pursuant to Section 906 of the Sarbanes-Oxley Act of 2002</w:t>
            </w:r>
          </w:p>
        </w:tc>
      </w:tr>
      <w:tr>
        <w:trPr>
          <w:trHeight w:val="40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39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9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9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39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92"/>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10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Instance Document</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85"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240" w:top="118" w:right="39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2017</w:t>
      </w: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46310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Executive Officer)</w:t>
      </w: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4631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Andrew Del Matto, Chief Financial Officer</w:t>
      </w:r>
    </w:p>
    <w:p>
      <w:pPr>
        <w:spacing w:after="0" w:line="15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Financial Officer)</w:t>
      </w: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3580"/>
        <w:spacing w:after="0"/>
        <w:tabs>
          <w:tab w:leader="none" w:pos="7120" w:val="left"/>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46310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9"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Keith Jensen, Chief Accounting Officer</w:t>
      </w:r>
    </w:p>
    <w:p>
      <w:pPr>
        <w:spacing w:after="0" w:line="15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80"/>
          </w:cols>
          <w:pgMar w:left="240" w:top="118" w:right="47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September 30, 2017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 2017</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Ken Xie</w:t>
            </w:r>
          </w:p>
        </w:tc>
      </w:tr>
      <w:tr>
        <w:trPr>
          <w:trHeight w:val="252"/>
        </w:trPr>
        <w:tc>
          <w:tcPr>
            <w:tcW w:w="5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 Andrew Del Matto, certify, pursuant to 18 U.S.C. Section 1350, as adopted pursuant to Section 906 of the Sarbanes-Oxley Act of 2002, that the Quarterly Report on Form 10-Q of Fortinet, Inc. for the quarter ended September 30, 2017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Andrew Del Matto</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1, 2017</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Del Matto</w:t>
            </w:r>
          </w:p>
        </w:tc>
      </w:tr>
      <w:tr>
        <w:trPr>
          <w:trHeight w:val="252"/>
        </w:trPr>
        <w:tc>
          <w:tcPr>
            <w:tcW w:w="5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8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2019-12-29T03:50:30Z</dcterms:created>
  <dcterms:modified xsi:type="dcterms:W3CDTF">2019-12-29T03:50:30Z</dcterms:modified>
</cp:coreProperties>
</file>