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80" w:right="1760" w:hanging="3945"/>
        <w:spacing w:after="0" w:line="461"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9" w:right="3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July 31, 2015, there were 171,151,438 shares of the registrant’s common stock outstanding.</w:t>
      </w:r>
    </w:p>
    <w:p>
      <w:pPr>
        <w:sectPr>
          <w:pgSz w:w="11900" w:h="16838" w:orient="portrait"/>
          <w:cols w:equalWidth="0" w:num="1">
            <w:col w:w="11300"/>
          </w:cols>
          <w:pgMar w:left="240" w:top="229"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2015</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5"/>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7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and December 31,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June 30, 2015 and 2014</w:t>
              </w:r>
            </w:hyperlink>
          </w:p>
        </w:tc>
        <w:tc>
          <w:tcPr>
            <w:tcW w:w="13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Comprehensive Income for the Three and Six Months Ended June 30,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20" w:type="dxa"/>
            <w:vAlign w:val="bottom"/>
            <w:tcBorders>
              <w:top w:val="single" w:sz="8" w:color="0000EE"/>
            </w:tcBorders>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2015 and 2014</w:t>
              </w:r>
            </w:hyperlink>
          </w:p>
        </w:tc>
        <w:tc>
          <w:tcPr>
            <w:tcW w:w="4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380" w:type="dxa"/>
            <w:vAlign w:val="bottom"/>
            <w:tcBorders>
              <w:top w:val="single" w:sz="8" w:color="0000EE"/>
            </w:tcBorders>
            <w:gridSpan w:val="2"/>
          </w:tcPr>
          <w:p>
            <w:pPr>
              <w:spacing w:after="0"/>
              <w:rPr>
                <w:sz w:val="21"/>
                <w:szCs w:val="21"/>
                <w:color w:val="auto"/>
              </w:rPr>
            </w:pPr>
          </w:p>
        </w:tc>
        <w:tc>
          <w:tcPr>
            <w:tcW w:w="20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78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78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78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615"/>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5"/>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978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888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78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Signatures</w:t>
              </w:r>
            </w:hyperlink>
          </w:p>
        </w:tc>
        <w:tc>
          <w:tcPr>
            <w:tcW w:w="902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391,634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436,766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Accounts receivable—net of sales returns reserve and allowance for doubtful accounts of $5,834 and $6,204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as of June 30, 2015 and December 31, 2014,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184,741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69,477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31,143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1,046,865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271,724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31,080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1,604,876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368,929</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565,299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496,456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189,828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45,139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17,385</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854,049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748,808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Common stock, $0.001 par value — 300,000 shares authorized; 170,449 and 166,443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as of June 30, 2015 and December 31, 2014,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634,969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562,504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113,645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750,827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675,966</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1,604,876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6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114,777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85,384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212,286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162,149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190,898</w:t>
            </w:r>
          </w:p>
        </w:tc>
        <w:tc>
          <w:tcPr>
            <w:tcW w:w="0" w:type="dxa"/>
            <w:vAlign w:val="bottom"/>
          </w:tcPr>
          <w:p>
            <w:pPr>
              <w:spacing w:after="0"/>
              <w:rPr>
                <w:sz w:val="1"/>
                <w:szCs w:val="1"/>
                <w:color w:val="auto"/>
              </w:rPr>
            </w:pPr>
          </w:p>
        </w:tc>
      </w:tr>
      <w:tr>
        <w:trPr>
          <w:trHeight w:val="237"/>
        </w:trPr>
        <w:tc>
          <w:tcPr>
            <w:tcW w:w="508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239,785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184,098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452,671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353,047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47,397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69,594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38,906</w:t>
            </w:r>
          </w:p>
        </w:tc>
        <w:tc>
          <w:tcPr>
            <w:tcW w:w="0" w:type="dxa"/>
            <w:vAlign w:val="bottom"/>
          </w:tcPr>
          <w:p>
            <w:pPr>
              <w:spacing w:after="0"/>
              <w:rPr>
                <w:sz w:val="1"/>
                <w:szCs w:val="1"/>
                <w:color w:val="auto"/>
              </w:rPr>
            </w:pPr>
          </w:p>
        </w:tc>
      </w:tr>
      <w:tr>
        <w:trPr>
          <w:trHeight w:val="237"/>
        </w:trPr>
        <w:tc>
          <w:tcPr>
            <w:tcW w:w="508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69,498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57,757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92,555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151,992</w:t>
            </w:r>
          </w:p>
        </w:tc>
        <w:tc>
          <w:tcPr>
            <w:tcW w:w="0" w:type="dxa"/>
            <w:vAlign w:val="bottom"/>
          </w:tcPr>
          <w:p>
            <w:pPr>
              <w:spacing w:after="0"/>
              <w:rPr>
                <w:sz w:val="1"/>
                <w:szCs w:val="1"/>
                <w:color w:val="auto"/>
              </w:rPr>
            </w:pPr>
          </w:p>
        </w:tc>
      </w:tr>
      <w:tr>
        <w:trPr>
          <w:trHeight w:val="237"/>
        </w:trPr>
        <w:tc>
          <w:tcPr>
            <w:tcW w:w="508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170,287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126,341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319,571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244,547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58,993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142,143</w:t>
            </w: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220,590</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6):</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169,930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163,161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169,009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162,778</w:t>
            </w:r>
          </w:p>
        </w:tc>
        <w:tc>
          <w:tcPr>
            <w:tcW w:w="0" w:type="dxa"/>
            <w:vAlign w:val="bottom"/>
          </w:tcPr>
          <w:p>
            <w:pPr>
              <w:spacing w:after="0"/>
              <w:rPr>
                <w:sz w:val="1"/>
                <w:szCs w:val="1"/>
                <w:color w:val="auto"/>
              </w:rPr>
            </w:pPr>
          </w:p>
        </w:tc>
      </w:tr>
      <w:tr>
        <w:trPr>
          <w:trHeight w:val="251"/>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168,015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2" w:right="3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160" w:type="dxa"/>
            <w:vAlign w:val="bottom"/>
            <w:gridSpan w:val="6"/>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14,474</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income (loss)—net of taxes: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Tax benefit (provision) related to items of other comprehensive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or loss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income (loss)—net of taxes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w:t>
            </w:r>
          </w:p>
        </w:tc>
      </w:tr>
      <w:tr>
        <w:trPr>
          <w:trHeight w:val="27"/>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14,563</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2" w:right="29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2,352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14,474</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13,382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10,914</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4,752</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40,525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27,646</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3,549</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9,523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2,228</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(13,072)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(6,470)</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1,544</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8,665</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15,375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47,871</w:t>
            </w: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10,033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(16,987)</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148,924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104,700</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(229,479)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(283,338)</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22,472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22,864</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240,625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273,214</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(15,688)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(21,022)</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17,930</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(8,299)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42,647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22,518</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2,443</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(27,167)</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31,285</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(7,727)</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198,139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88,074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283,254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115,873</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481,393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203,947</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31,413</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5,668</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6,946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733</w:t>
            </w:r>
          </w:p>
        </w:tc>
      </w:tr>
      <w:tr>
        <w:trPr>
          <w:trHeight w:val="20"/>
        </w:trPr>
        <w:tc>
          <w:tcPr>
            <w:tcW w:w="8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2014, contained in our Annual Report on Form 10-K (“Form 10-K”) filed with the SEC on March 2, 2015.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2015 are not necessarily indicative of the results for the full year or for any future periods. The condensed consolidated balance sheet as of December 31, 2014 is derived from the audited consolidated financial statements for the year ended December 31, 2014.</w:t>
      </w:r>
    </w:p>
    <w:p>
      <w:pPr>
        <w:spacing w:after="0" w:line="19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to our significant accounting policies as of and for the three and six months ended June 30, 2015.</w:t>
      </w:r>
    </w:p>
    <w:p>
      <w:pPr>
        <w:spacing w:after="0" w:line="23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the third quarter of 2014, we reevaluated the selected functional currency of our international subsidiaries due to the nature of our business operations and recorded the cumulative impact of the reevaluation of the functional currency in the consolidated statement of operations. Subsequently, the remeasurement of the assets and liabilities of all international subsidiaries has been recorded in the consolidated statement of operations prospectively. The impact of this reevaluation was not material for 2014 or any of our previously issued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2015, the Financial Accounting Standards Board (“FASB”) issued Accounting Standards Update 2015-11—Inventory—Simplifying the Measurement of Inventory (Topic 330) (“ASU 2015-11”). ASU 2015-11 changes the measurement principle for inventory from the lower of cost or market to lower of cost and net realizable value. It applies to entities that measure inventory using a method other than last-in, first-out or the retail inventory method (e.g., first-in first-out, average cost). ASU 2015-11 will be effective for us beginning on January 1, 2017. We are currently evaluating the impact of ASU 2015-11 on our consolidated financial statements.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May 2014, the FASB issued Accounting Standards Update No. 2014-09—Revenue from Contracts with Customers (Topic 606) (“ASU 2014-09”) to create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As such, ASU 2014-09 will be effective for us beginning on January 1, 2018, with the option to adopt earlier on January 1, 2017. We are currently evaluating the impact of ASU 2014-09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June 30, 2015 and December 31, 2014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2015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550,904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46,637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58,676</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7,760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7,760</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667,455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666,978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589,016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39,721</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22,854</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5,744</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709,030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708,490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8"/>
          <w:szCs w:val="18"/>
          <w:color w:val="auto"/>
        </w:rPr>
        <w:t>The majority of our certificates of deposit and term deposits are foreign deposits.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June 30, 2015 and December 31,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325,151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330,225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42,938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373,163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323,022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362,636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as of June 30, 2015 and December 31, 2014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391,634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275,344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271,724</w:t>
            </w:r>
          </w:p>
        </w:tc>
      </w:tr>
      <w:tr>
        <w:trPr>
          <w:trHeight w:val="27"/>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666,978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708,490</w:t>
            </w:r>
          </w:p>
        </w:tc>
      </w:tr>
      <w:tr>
        <w:trPr>
          <w:trHeight w:val="20"/>
        </w:trPr>
        <w:tc>
          <w:tcPr>
            <w:tcW w:w="7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expense—net in our condensed consolidated statements of operations. Realized gains and losses from the sale of available-for-sale securities were not significant in any period presented.</w:t>
      </w:r>
    </w:p>
    <w:p>
      <w:pPr>
        <w:spacing w:after="0" w:line="14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unrealized losses on our available-for-sale securities were caused by fluctuations in market value and interest rates as a result of the economic environment. As the decline in market value is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June 30, 2015.</w:t>
      </w:r>
    </w:p>
    <w:p>
      <w:pPr>
        <w:spacing w:after="0" w:line="171" w:lineRule="exact"/>
        <w:rPr>
          <w:sz w:val="20"/>
          <w:szCs w:val="20"/>
          <w:color w:val="auto"/>
        </w:rPr>
      </w:pPr>
    </w:p>
    <w:p>
      <w:pPr>
        <w:ind w:right="720" w:firstLine="689"/>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June 30, 2015 and December 31, 2014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June 30,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37"/>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7"/>
              </w:rPr>
              <w:t>Quoted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7"/>
              </w:rPr>
              <w:t>Quoted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Prices in</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Prices in</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Active</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Observable</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Observable</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Identical</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Remaining</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Identical</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r>
      <w:tr>
        <w:trPr>
          <w:trHeight w:val="224"/>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550,904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550,904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589,016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589,016</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58,634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58,676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58,676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39,721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39,721</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22,854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31,193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31,193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710,168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33,193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676,975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721,801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15,309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706,492</w:t>
            </w:r>
          </w:p>
        </w:tc>
        <w:tc>
          <w:tcPr>
            <w:tcW w:w="100" w:type="dxa"/>
            <w:vAlign w:val="bottom"/>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43,190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391,634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436,766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275,344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271,724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710,168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721,801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period ended June 30,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as of June 30, 2015 and December 31, 2014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280" w:type="dxa"/>
            <w:vAlign w:val="bottom"/>
          </w:tcPr>
          <w:p>
            <w:pPr>
              <w:jc w:val="right"/>
              <w:ind w:right="54"/>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56,610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58,860</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12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68,845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69,477</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$1.2 million as of June 30, 2015 and December 31, 2014. Inventory also includes raw materials at contract manufacturers of $4.2 million and $4.8 million as of June 30, 2015 and December 31, 2014,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as of June 30, 2015 and December 31, 2014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20,166</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31,821</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3,902</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137,783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114,352</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(66,318)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58,919</w:t>
            </w: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Depreciation expense was $6.8 million and $6.0 million during the three months ended June 30, 2015 and June 30, 2014, respectively. Depreciation expense was $12.8 million and $9.9 million during the six months ended June 30, 2015 and June 30,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of June 30, 2015, we had invested a total of $10.3 million in the equity securities of three privately-held companies. Each of these investments is accounted for as a cost-basis investment,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2015, no events have occurred that would adversely affect the carrying value of these investments.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including performance stock units (“PSUs”), and the employee stock purchase plan (“ESPP”). Dilutive shares of common stock are determined by applying the treasury stock method.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163,161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169,009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162,778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162,778</w:t>
            </w:r>
          </w:p>
        </w:tc>
        <w:tc>
          <w:tcPr>
            <w:tcW w:w="0" w:type="dxa"/>
            <w:vAlign w:val="bottom"/>
          </w:tcPr>
          <w:p>
            <w:pPr>
              <w:spacing w:after="0"/>
              <w:rPr>
                <w:sz w:val="1"/>
                <w:szCs w:val="1"/>
                <w:color w:val="auto"/>
              </w:rPr>
            </w:pPr>
          </w:p>
        </w:tc>
      </w:tr>
      <w:tr>
        <w:trPr>
          <w:trHeight w:val="243"/>
        </w:trPr>
        <w:tc>
          <w:tcPr>
            <w:tcW w:w="5080" w:type="dxa"/>
            <w:vAlign w:val="bottom"/>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43"/>
        </w:trPr>
        <w:tc>
          <w:tcPr>
            <w:tcW w:w="5080" w:type="dxa"/>
            <w:vAlign w:val="bottom"/>
          </w:tcPr>
          <w:p>
            <w:pPr>
              <w:ind w:left="920"/>
              <w:spacing w:after="0"/>
              <w:rPr>
                <w:sz w:val="20"/>
                <w:szCs w:val="20"/>
                <w:color w:val="auto"/>
              </w:rPr>
            </w:pPr>
            <w:r>
              <w:rPr>
                <w:rFonts w:ascii="Arial" w:cs="Arial" w:eastAsia="Arial" w:hAnsi="Arial"/>
                <w:sz w:val="18"/>
                <w:szCs w:val="18"/>
                <w:color w:val="auto"/>
              </w:rPr>
              <w:t>RSUs (including PSUs)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w w:val="95"/>
              </w:rPr>
              <w:t>Weighted-average shares used to compute diluted net income per</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176,234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168,345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174,983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168,015</w:t>
            </w: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160" w:type="dxa"/>
            <w:vAlign w:val="bottom"/>
            <w:gridSpan w:val="4"/>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040" w:type="dxa"/>
            <w:vAlign w:val="bottom"/>
            <w:gridSpan w:val="3"/>
          </w:tcPr>
          <w:p>
            <w:pPr>
              <w:jc w:val="right"/>
              <w:ind w:right="7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6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46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460" w:type="dxa"/>
            <w:vAlign w:val="bottom"/>
          </w:tcPr>
          <w:p>
            <w:pPr>
              <w:jc w:val="right"/>
              <w:ind w:right="4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460" w:type="dxa"/>
            <w:vAlign w:val="bottom"/>
          </w:tcPr>
          <w:p>
            <w:pPr>
              <w:jc w:val="right"/>
              <w:ind w:right="47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4,323</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RSUs (including PSUs)</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1,871</w:t>
            </w:r>
          </w:p>
        </w:tc>
      </w:tr>
      <w:tr>
        <w:trPr>
          <w:trHeight w:val="27"/>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r>
      <w:tr>
        <w:trPr>
          <w:trHeight w:val="237"/>
        </w:trPr>
        <w:tc>
          <w:tcPr>
            <w:tcW w:w="508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6,455</w:t>
            </w:r>
          </w:p>
        </w:tc>
      </w:tr>
      <w:tr>
        <w:trPr>
          <w:trHeight w:val="27"/>
        </w:trPr>
        <w:tc>
          <w:tcPr>
            <w:tcW w:w="5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56"/>
        </w:trPr>
        <w:tc>
          <w:tcPr>
            <w:tcW w:w="5080" w:type="dxa"/>
            <w:vAlign w:val="bottom"/>
          </w:tcPr>
          <w:p>
            <w:pPr>
              <w:spacing w:after="0"/>
              <w:rPr>
                <w:sz w:val="24"/>
                <w:szCs w:val="24"/>
                <w:color w:val="auto"/>
              </w:rPr>
            </w:pPr>
          </w:p>
        </w:tc>
        <w:tc>
          <w:tcPr>
            <w:tcW w:w="1480" w:type="dxa"/>
            <w:vAlign w:val="bottom"/>
          </w:tcPr>
          <w:p>
            <w:pPr>
              <w:jc w:val="right"/>
              <w:ind w:right="7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as of June 30, 2015 and December 31, 2014 (in thousands):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125" w:right="144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653,100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554,115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657,561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558,757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Reported as: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368,929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Non-current</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189,828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657,561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558,757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June 30, 2015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74,322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74,322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158,302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110,058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15,729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9,954</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2025. In addition to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above, certain leases require us to pay variable costs such as taxes, maintenance, insurance, and asset retirement obligations. The terms of certain operating leases also provide for renewal options and escalation clauses. Rent expense was $2.9 million and $2.4 million during the three months ended June 30, 2015 and 2014, respectively. Rent expense was $6.0 million and $5.1 million during the six months ended June 30, 2015 and 2014, respectively. Rent expense is recognized using the straight-line method over the term of the lease.</w:t>
      </w:r>
    </w:p>
    <w:p>
      <w:pPr>
        <w:spacing w:after="0" w:line="18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Contract Manufacturer and Other Commitments</w:t>
      </w:r>
      <w:r>
        <w:rPr>
          <w:rFonts w:ascii="Arial" w:cs="Arial" w:eastAsia="Arial" w:hAnsi="Arial"/>
          <w:sz w:val="18"/>
          <w:szCs w:val="18"/>
          <w:color w:val="auto"/>
        </w:rPr>
        <w:t>—Our independent contract manufacturers procure components and build our products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our forecasts. These forecasts are based on estimates of future demand for our products, which are in turn based on historical trends and analysis, adjusted for overall market conditions. In order to reduce manufacturing lead times and plan for adequate component supply, we may issue purchase orders to some of our independent contract manufacturers which may not be cancelable. As of June 30, 2015, we had $74.3 million of open purchase orders with our independent contract manufacturers.</w:t>
      </w:r>
    </w:p>
    <w:p>
      <w:pPr>
        <w:spacing w:after="0" w:line="16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commitments with contract manufacturers, we have other contractual commitments and open purchase orders in the ordinary course of business for which we have not received goods or services. As of June 30, 2015, we had $33.9 million in other contractual commitments and open purchase orders.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significant accrual for loss contingencies associated with such legal proceedings; determined that a significant unfavorable outcome is probable or reasonably possible; or determined that the amount or range of any possible loss is reasonably estimable.</w:t>
      </w:r>
    </w:p>
    <w:p>
      <w:pPr>
        <w:spacing w:after="0" w:line="16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damage resulting from product defects and infringement of certain intellectual property rights, which may include patents, copyrights, trademarks, or trade secrets, and to pay judgments entered on such claims. Our exposure under these indemnification provisions is generally limited by the terms of our contracts to certain defined limits, such as the total amount paid by our customer under the agreement. However, certain agreements include covenants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stock options and RSUs, including PSUs. The Company also has an ESPP for all eligible employees. As of June 30, 2015, there were a total of 43,655,799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2880" w:type="dxa"/>
            <w:vAlign w:val="bottom"/>
            <w:gridSpan w:val="4"/>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right"/>
              <w:ind w:right="9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500" w:type="dxa"/>
            <w:vAlign w:val="bottom"/>
          </w:tcPr>
          <w:p>
            <w:pPr>
              <w:spacing w:after="0"/>
              <w:rPr>
                <w:sz w:val="18"/>
                <w:szCs w:val="18"/>
                <w:color w:val="auto"/>
              </w:rPr>
            </w:pPr>
          </w:p>
        </w:tc>
        <w:tc>
          <w:tcPr>
            <w:tcW w:w="1080" w:type="dxa"/>
            <w:vAlign w:val="bottom"/>
          </w:tcPr>
          <w:p>
            <w:pPr>
              <w:ind w:left="500"/>
              <w:spacing w:after="0"/>
              <w:rPr>
                <w:sz w:val="20"/>
                <w:szCs w:val="20"/>
                <w:color w:val="auto"/>
              </w:rPr>
            </w:pPr>
            <w:r>
              <w:rPr>
                <w:rFonts w:ascii="Arial" w:cs="Arial" w:eastAsia="Arial" w:hAnsi="Arial"/>
                <w:sz w:val="16"/>
                <w:szCs w:val="16"/>
                <w:b w:val="1"/>
                <w:bCs w:val="1"/>
                <w:color w:val="auto"/>
                <w:w w:val="87"/>
              </w:rPr>
              <w:t>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754"/>
              <w:spacing w:after="0"/>
              <w:rPr>
                <w:sz w:val="20"/>
                <w:szCs w:val="20"/>
                <w:color w:val="auto"/>
              </w:rPr>
            </w:pPr>
            <w:r>
              <w:rPr>
                <w:rFonts w:ascii="Arial" w:cs="Arial" w:eastAsia="Arial" w:hAnsi="Arial"/>
                <w:sz w:val="16"/>
                <w:szCs w:val="16"/>
                <w:b w:val="1"/>
                <w:bCs w:val="1"/>
                <w:color w:val="auto"/>
              </w:rPr>
              <w:t>June 30,</w:t>
            </w:r>
          </w:p>
        </w:tc>
        <w:tc>
          <w:tcPr>
            <w:tcW w:w="1460" w:type="dxa"/>
            <w:vAlign w:val="bottom"/>
          </w:tcPr>
          <w:p>
            <w:pPr>
              <w:jc w:val="right"/>
              <w:ind w:right="4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580" w:type="dxa"/>
            <w:vAlign w:val="bottom"/>
            <w:gridSpan w:val="2"/>
          </w:tcPr>
          <w:p>
            <w:pPr>
              <w:ind w:left="5140"/>
              <w:spacing w:after="0"/>
              <w:rPr>
                <w:sz w:val="20"/>
                <w:szCs w:val="20"/>
                <w:color w:val="auto"/>
              </w:rPr>
            </w:pPr>
            <w:r>
              <w:rPr>
                <w:rFonts w:ascii="Arial" w:cs="Arial" w:eastAsia="Arial" w:hAnsi="Arial"/>
                <w:sz w:val="16"/>
                <w:szCs w:val="16"/>
                <w:b w:val="1"/>
                <w:bCs w:val="1"/>
                <w:color w:val="auto"/>
              </w:rPr>
              <w:t>2015</w:t>
            </w:r>
          </w:p>
        </w:tc>
        <w:tc>
          <w:tcPr>
            <w:tcW w:w="18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854"/>
              <w:spacing w:after="0"/>
              <w:rPr>
                <w:sz w:val="20"/>
                <w:szCs w:val="20"/>
                <w:color w:val="auto"/>
              </w:rPr>
            </w:pPr>
            <w:r>
              <w:rPr>
                <w:rFonts w:ascii="Arial" w:cs="Arial" w:eastAsia="Arial" w:hAnsi="Arial"/>
                <w:sz w:val="16"/>
                <w:szCs w:val="16"/>
                <w:b w:val="1"/>
                <w:bCs w:val="1"/>
                <w:color w:val="auto"/>
              </w:rPr>
              <w:t>2015</w:t>
            </w:r>
          </w:p>
        </w:tc>
        <w:tc>
          <w:tcPr>
            <w:tcW w:w="1460" w:type="dxa"/>
            <w:vAlign w:val="bottom"/>
          </w:tcPr>
          <w:p>
            <w:pPr>
              <w:jc w:val="right"/>
              <w:ind w:right="573"/>
              <w:spacing w:after="0"/>
              <w:rPr>
                <w:sz w:val="20"/>
                <w:szCs w:val="20"/>
                <w:color w:val="auto"/>
              </w:rPr>
            </w:pPr>
            <w:r>
              <w:rPr>
                <w:rFonts w:ascii="Arial" w:cs="Arial" w:eastAsia="Arial" w:hAnsi="Arial"/>
                <w:sz w:val="16"/>
                <w:szCs w:val="16"/>
                <w:b w:val="1"/>
                <w:bCs w:val="1"/>
                <w:color w:val="auto"/>
              </w:rPr>
              <w:t>2014</w:t>
            </w:r>
          </w:p>
        </w:tc>
      </w:tr>
      <w:tr>
        <w:trPr>
          <w:trHeight w:val="33"/>
        </w:trPr>
        <w:tc>
          <w:tcPr>
            <w:tcW w:w="4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r>
      <w:tr>
        <w:trPr>
          <w:trHeight w:val="243"/>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920" w:type="dxa"/>
            <w:vAlign w:val="bottom"/>
          </w:tcPr>
          <w:p>
            <w:pPr>
              <w:jc w:val="right"/>
              <w:ind w:right="394"/>
              <w:spacing w:after="0"/>
              <w:rPr>
                <w:sz w:val="20"/>
                <w:szCs w:val="20"/>
                <w:color w:val="auto"/>
              </w:rPr>
            </w:pPr>
            <w:r>
              <w:rPr>
                <w:rFonts w:ascii="Arial" w:cs="Arial" w:eastAsia="Arial" w:hAnsi="Arial"/>
                <w:sz w:val="18"/>
                <w:szCs w:val="18"/>
                <w:color w:val="auto"/>
              </w:rPr>
              <w:t>38% - 40%</w:t>
            </w:r>
          </w:p>
        </w:tc>
        <w:tc>
          <w:tcPr>
            <w:tcW w:w="1460" w:type="dxa"/>
            <w:vAlign w:val="bottom"/>
          </w:tcPr>
          <w:p>
            <w:pPr>
              <w:jc w:val="right"/>
              <w:ind w:right="113"/>
              <w:spacing w:after="0"/>
              <w:rPr>
                <w:sz w:val="20"/>
                <w:szCs w:val="20"/>
                <w:color w:val="auto"/>
              </w:rPr>
            </w:pPr>
            <w:r>
              <w:rPr>
                <w:rFonts w:ascii="Arial" w:cs="Arial" w:eastAsia="Arial" w:hAnsi="Arial"/>
                <w:sz w:val="18"/>
                <w:szCs w:val="18"/>
                <w:color w:val="auto"/>
              </w:rPr>
              <w:t>43% - 45%</w:t>
            </w: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1.5%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Dividend rate</w:t>
            </w:r>
          </w:p>
        </w:tc>
        <w:tc>
          <w:tcPr>
            <w:tcW w:w="1800" w:type="dxa"/>
            <w:vAlign w:val="bottom"/>
            <w:gridSpan w:val="3"/>
          </w:tcPr>
          <w:p>
            <w:pPr>
              <w:jc w:val="right"/>
              <w:ind w:right="121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4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jc w:val="right"/>
              <w:ind w:right="271"/>
              <w:spacing w:after="0"/>
              <w:rPr>
                <w:sz w:val="20"/>
                <w:szCs w:val="20"/>
                <w:color w:val="auto"/>
              </w:rPr>
            </w:pPr>
            <w:r>
              <w:rPr>
                <w:rFonts w:ascii="Arial" w:cs="Arial" w:eastAsia="Arial" w:hAnsi="Arial"/>
                <w:sz w:val="18"/>
                <w:szCs w:val="18"/>
                <w:color w:val="auto"/>
                <w:w w:val="79"/>
              </w:rPr>
              <w:t>15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5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w:t>
            </w:r>
          </w:p>
        </w:tc>
        <w:tc>
          <w:tcPr>
            <w:tcW w:w="260" w:type="dxa"/>
            <w:vAlign w:val="bottom"/>
          </w:tcPr>
          <w:p>
            <w:pPr>
              <w:spacing w:after="0"/>
              <w:rPr>
                <w:sz w:val="17"/>
                <w:szCs w:val="17"/>
                <w:color w:val="auto"/>
              </w:rPr>
            </w:pPr>
          </w:p>
        </w:tc>
        <w:tc>
          <w:tcPr>
            <w:tcW w:w="120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08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26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08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26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91"/>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vest—June 30, 2015</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8,059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198,516</w:t>
            </w:r>
          </w:p>
        </w:tc>
      </w:tr>
      <w:tr>
        <w:trPr>
          <w:trHeight w:val="25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exercisable—June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182,363</w:t>
            </w: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2015, for all in-the-money options. As of June 30, 2015, total compensation expense related to unvested stock options granted to employees but not yet recognized was $12.6 million. This expense is expected to be amortized on a straight-line basis over a weighted-average period of 2.0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6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8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22,034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31,762</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8,771</w:t>
            </w:r>
          </w:p>
        </w:tc>
      </w:tr>
      <w:tr>
        <w:trPr>
          <w:trHeight w:val="27"/>
        </w:trPr>
        <w:tc>
          <w:tcPr>
            <w:tcW w:w="5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7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Weighted-Average</w:t>
            </w:r>
          </w:p>
        </w:tc>
      </w:tr>
      <w:tr>
        <w:trPr>
          <w:trHeight w:val="203"/>
        </w:trPr>
        <w:tc>
          <w:tcPr>
            <w:tcW w:w="7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rPr>
              <w:t>Grant-Date-Fair Value</w:t>
            </w:r>
          </w:p>
        </w:tc>
      </w:tr>
      <w:tr>
        <w:trPr>
          <w:trHeight w:val="210"/>
        </w:trPr>
        <w:tc>
          <w:tcPr>
            <w:tcW w:w="754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472"/>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22.93</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34.16</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26.01</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22.01</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2015</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27.62</w:t>
            </w: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1"/>
        </w:trPr>
        <w:tc>
          <w:tcPr>
            <w:tcW w:w="7540" w:type="dxa"/>
            <w:vAlign w:val="bottom"/>
          </w:tcPr>
          <w:p>
            <w:pPr>
              <w:ind w:left="40"/>
              <w:spacing w:after="0"/>
              <w:rPr>
                <w:sz w:val="20"/>
                <w:szCs w:val="20"/>
                <w:color w:val="auto"/>
              </w:rPr>
            </w:pPr>
            <w:r>
              <w:rPr>
                <w:rFonts w:ascii="Arial" w:cs="Arial" w:eastAsia="Arial" w:hAnsi="Arial"/>
                <w:sz w:val="18"/>
                <w:szCs w:val="18"/>
                <w:color w:val="auto"/>
              </w:rPr>
              <w:t>RSUs expected to vest—June 30, 2015</w:t>
            </w:r>
          </w:p>
        </w:tc>
        <w:tc>
          <w:tcPr>
            <w:tcW w:w="1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27.41</w:t>
            </w: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25" w:right="379" w:bottom="1440" w:gutter="0" w:footer="0" w:header="0"/>
        </w:sect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240" w:top="125"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As of June 30, 2015, total compensation expense related to unvested RSUs that were granted to employees and non-employees, but not yet recognized, was $207.6 million. This expense is expected to be amortized on a straight-line basis over a weighted-average vesting period of 3.0 years.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5,521</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Stock Units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granted PSUs to certain of our executive officers and employees. PSUs granted to executive officers are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 PSUs granted to our employees who are not executive officers are based on the achievement of personal- and company-based performance vesting conditions during the performance period. The final settlement of these PSUs will range between 50% to 150% of the target shares underlying the PSUs based on specified objective formula approved by our Compensation Committee. The PSUs entitle such employees to receive a number of shares of our common stock based on a one year performance period, and vest equally in the second and third years. There were no PSUs granted during the three months ended June 30, 2015.</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PSUs granted to our executive officers: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20" w:type="dxa"/>
            <w:vAlign w:val="bottom"/>
          </w:tcPr>
          <w:p>
            <w:pPr>
              <w:jc w:val="center"/>
              <w:ind w:right="176"/>
              <w:spacing w:after="0"/>
              <w:rPr>
                <w:sz w:val="20"/>
                <w:szCs w:val="20"/>
                <w:color w:val="auto"/>
              </w:rPr>
            </w:pPr>
            <w:r>
              <w:rPr>
                <w:rFonts w:ascii="Arial" w:cs="Arial" w:eastAsia="Arial" w:hAnsi="Arial"/>
                <w:sz w:val="16"/>
                <w:szCs w:val="16"/>
                <w:b w:val="1"/>
                <w:bCs w:val="1"/>
                <w:color w:val="auto"/>
                <w:w w:val="93"/>
              </w:rPr>
              <w:t>Three Months Ended</w:t>
            </w:r>
          </w:p>
        </w:tc>
        <w:tc>
          <w:tcPr>
            <w:tcW w:w="3020" w:type="dxa"/>
            <w:vAlign w:val="bottom"/>
            <w:gridSpan w:val="2"/>
          </w:tcPr>
          <w:p>
            <w:pPr>
              <w:jc w:val="right"/>
              <w:ind w:right="8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20" w:type="dxa"/>
            <w:vAlign w:val="bottom"/>
          </w:tcPr>
          <w:p>
            <w:pPr>
              <w:jc w:val="center"/>
              <w:ind w:right="236"/>
              <w:spacing w:after="0"/>
              <w:rPr>
                <w:sz w:val="20"/>
                <w:szCs w:val="20"/>
                <w:color w:val="auto"/>
              </w:rPr>
            </w:pPr>
            <w:r>
              <w:rPr>
                <w:rFonts w:ascii="Arial" w:cs="Arial" w:eastAsia="Arial" w:hAnsi="Arial"/>
                <w:sz w:val="16"/>
                <w:szCs w:val="16"/>
                <w:b w:val="1"/>
                <w:bCs w:val="1"/>
                <w:color w:val="auto"/>
                <w:w w:val="90"/>
              </w:rPr>
              <w:t>June 30,</w:t>
            </w:r>
          </w:p>
        </w:tc>
        <w:tc>
          <w:tcPr>
            <w:tcW w:w="1640" w:type="dxa"/>
            <w:vAlign w:val="bottom"/>
          </w:tcPr>
          <w:p>
            <w:pPr>
              <w:jc w:val="right"/>
              <w:ind w:right="674"/>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3660" w:type="dxa"/>
            <w:vAlign w:val="bottom"/>
          </w:tcPr>
          <w:p>
            <w:pPr>
              <w:spacing w:after="0"/>
              <w:rPr>
                <w:sz w:val="18"/>
                <w:szCs w:val="18"/>
                <w:color w:val="auto"/>
              </w:rPr>
            </w:pPr>
          </w:p>
        </w:tc>
        <w:tc>
          <w:tcPr>
            <w:tcW w:w="4740" w:type="dxa"/>
            <w:vAlign w:val="bottom"/>
            <w:gridSpan w:val="2"/>
          </w:tcPr>
          <w:p>
            <w:pPr>
              <w:jc w:val="center"/>
              <w:ind w:left="2572"/>
              <w:spacing w:after="0"/>
              <w:rPr>
                <w:sz w:val="20"/>
                <w:szCs w:val="20"/>
                <w:color w:val="auto"/>
              </w:rPr>
            </w:pPr>
            <w:r>
              <w:rPr>
                <w:rFonts w:ascii="Arial" w:cs="Arial" w:eastAsia="Arial" w:hAnsi="Arial"/>
                <w:sz w:val="16"/>
                <w:szCs w:val="16"/>
                <w:b w:val="1"/>
                <w:bCs w:val="1"/>
                <w:color w:val="auto"/>
                <w:w w:val="89"/>
              </w:rPr>
              <w:t>2014</w:t>
            </w:r>
          </w:p>
        </w:tc>
        <w:tc>
          <w:tcPr>
            <w:tcW w:w="1640" w:type="dxa"/>
            <w:vAlign w:val="bottom"/>
          </w:tcPr>
          <w:p>
            <w:pPr>
              <w:jc w:val="right"/>
              <w:ind w:right="794"/>
              <w:spacing w:after="0"/>
              <w:rPr>
                <w:sz w:val="20"/>
                <w:szCs w:val="20"/>
                <w:color w:val="auto"/>
              </w:rPr>
            </w:pPr>
            <w:r>
              <w:rPr>
                <w:rFonts w:ascii="Arial" w:cs="Arial" w:eastAsia="Arial" w:hAnsi="Arial"/>
                <w:sz w:val="16"/>
                <w:szCs w:val="16"/>
                <w:b w:val="1"/>
                <w:bCs w:val="1"/>
                <w:color w:val="auto"/>
              </w:rPr>
              <w:t>2015</w:t>
            </w:r>
          </w:p>
        </w:tc>
        <w:tc>
          <w:tcPr>
            <w:tcW w:w="13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2014</w:t>
            </w:r>
          </w:p>
        </w:tc>
      </w:tr>
      <w:tr>
        <w:trPr>
          <w:trHeight w:val="33"/>
        </w:trPr>
        <w:tc>
          <w:tcPr>
            <w:tcW w:w="36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74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3.0</w:t>
            </w:r>
          </w:p>
        </w:tc>
        <w:tc>
          <w:tcPr>
            <w:tcW w:w="16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3.0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740" w:type="dxa"/>
            <w:vAlign w:val="bottom"/>
            <w:gridSpan w:val="2"/>
          </w:tcPr>
          <w:p>
            <w:pPr>
              <w:jc w:val="right"/>
              <w:ind w:right="236"/>
              <w:spacing w:after="0"/>
              <w:rPr>
                <w:sz w:val="20"/>
                <w:szCs w:val="20"/>
                <w:color w:val="auto"/>
              </w:rPr>
            </w:pPr>
            <w:r>
              <w:rPr>
                <w:rFonts w:ascii="Arial" w:cs="Arial" w:eastAsia="Arial" w:hAnsi="Arial"/>
                <w:sz w:val="18"/>
                <w:szCs w:val="18"/>
                <w:color w:val="auto"/>
              </w:rPr>
              <w:t>46%</w:t>
            </w:r>
          </w:p>
        </w:tc>
        <w:tc>
          <w:tcPr>
            <w:tcW w:w="1640" w:type="dxa"/>
            <w:vAlign w:val="bottom"/>
          </w:tcPr>
          <w:p>
            <w:pPr>
              <w:jc w:val="right"/>
              <w:ind w:right="214"/>
              <w:spacing w:after="0"/>
              <w:rPr>
                <w:sz w:val="20"/>
                <w:szCs w:val="20"/>
                <w:color w:val="auto"/>
              </w:rPr>
            </w:pPr>
            <w:r>
              <w:rPr>
                <w:rFonts w:ascii="Arial" w:cs="Arial" w:eastAsia="Arial" w:hAnsi="Arial"/>
                <w:sz w:val="18"/>
                <w:szCs w:val="18"/>
                <w:color w:val="auto"/>
              </w:rPr>
              <w:t>38%</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740" w:type="dxa"/>
            <w:vAlign w:val="bottom"/>
            <w:tcBorders>
              <w:bottom w:val="single" w:sz="8" w:color="CCEEFF"/>
            </w:tcBorders>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0.9%</w:t>
            </w:r>
          </w:p>
        </w:tc>
        <w:tc>
          <w:tcPr>
            <w:tcW w:w="16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2920" w:type="dxa"/>
            <w:vAlign w:val="bottom"/>
          </w:tcPr>
          <w:p>
            <w:pPr>
              <w:spacing w:after="0"/>
              <w:rPr>
                <w:sz w:val="21"/>
                <w:szCs w:val="21"/>
                <w:color w:val="auto"/>
              </w:rPr>
            </w:pP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3660" w:type="dxa"/>
            <w:vAlign w:val="bottom"/>
          </w:tcPr>
          <w:p>
            <w:pPr>
              <w:spacing w:after="0"/>
              <w:rPr>
                <w:sz w:val="24"/>
                <w:szCs w:val="24"/>
                <w:color w:val="auto"/>
              </w:rPr>
            </w:pPr>
          </w:p>
        </w:tc>
        <w:tc>
          <w:tcPr>
            <w:tcW w:w="2920" w:type="dxa"/>
            <w:vAlign w:val="bottom"/>
          </w:tcPr>
          <w:p>
            <w:pPr>
              <w:jc w:val="right"/>
              <w:ind w:right="692"/>
              <w:spacing w:after="0"/>
              <w:rPr>
                <w:sz w:val="20"/>
                <w:szCs w:val="20"/>
                <w:color w:val="auto"/>
              </w:rPr>
            </w:pPr>
            <w:r>
              <w:rPr>
                <w:rFonts w:ascii="Arial" w:cs="Arial" w:eastAsia="Arial" w:hAnsi="Arial"/>
                <w:sz w:val="18"/>
                <w:szCs w:val="18"/>
                <w:color w:val="auto"/>
              </w:rPr>
              <w:t>17</w:t>
            </w: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PSUs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Three Months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Ended</w:t>
            </w:r>
          </w:p>
        </w:tc>
        <w:tc>
          <w:tcPr>
            <w:tcW w:w="380" w:type="dxa"/>
            <w:vAlign w:val="bottom"/>
          </w:tcPr>
          <w:p>
            <w:pPr>
              <w:spacing w:after="0"/>
              <w:rPr>
                <w:sz w:val="18"/>
                <w:szCs w:val="18"/>
                <w:color w:val="auto"/>
              </w:rPr>
            </w:pPr>
          </w:p>
        </w:tc>
        <w:tc>
          <w:tcPr>
            <w:tcW w:w="2780" w:type="dxa"/>
            <w:vAlign w:val="bottom"/>
            <w:gridSpan w:val="3"/>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6"/>
              <w:spacing w:after="0"/>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8"/>
                <w:szCs w:val="18"/>
                <w:color w:val="auto"/>
              </w:rPr>
            </w:pPr>
          </w:p>
        </w:tc>
        <w:tc>
          <w:tcPr>
            <w:tcW w:w="122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2014</w:t>
            </w:r>
          </w:p>
        </w:tc>
        <w:tc>
          <w:tcPr>
            <w:tcW w:w="38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granted to executive officers and employees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21.05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34.86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21.21</w:t>
            </w:r>
          </w:p>
        </w:tc>
      </w:tr>
    </w:tbl>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of June 30, 2015, total compensation expense related to unvested PSUs that were granted to certain of our executive officers and employees, but not yet recognized, was $8.0 million. This expense is expected to be amortized on a straight-line basis over a weighted-average vesting period of 2.3 years.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6"/>
          </w:tcPr>
          <w:p>
            <w:pPr>
              <w:jc w:val="right"/>
              <w:ind w:right="8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8200" w:type="dxa"/>
            <w:vAlign w:val="bottom"/>
          </w:tcPr>
          <w:p>
            <w:pPr>
              <w:ind w:left="660"/>
              <w:spacing w:after="0"/>
              <w:rPr>
                <w:sz w:val="20"/>
                <w:szCs w:val="20"/>
                <w:color w:val="auto"/>
              </w:rPr>
            </w:pPr>
            <w:r>
              <w:rPr>
                <w:rFonts w:ascii="Arial" w:cs="Arial" w:eastAsia="Arial" w:hAnsi="Arial"/>
                <w:sz w:val="18"/>
                <w:szCs w:val="18"/>
                <w:color w:val="auto"/>
                <w:w w:val="91"/>
              </w:rPr>
              <w:t>Additional information related to the ESPP is provided below (in thousands, except per share amounts):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2"/>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6"/>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424</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17.18</w:t>
            </w:r>
          </w:p>
        </w:tc>
      </w:tr>
      <w:tr>
        <w:trPr>
          <w:trHeight w:val="27"/>
        </w:trPr>
        <w:tc>
          <w:tcPr>
            <w:tcW w:w="8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shares granted or issued under the ESPP during the three months ended June 30, 2015 and June 30,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76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r>
      <w:tr>
        <w:trPr>
          <w:trHeight w:val="243"/>
        </w:trPr>
        <w:tc>
          <w:tcPr>
            <w:tcW w:w="5080" w:type="dxa"/>
            <w:vAlign w:val="bottom"/>
          </w:tcPr>
          <w:p>
            <w:pPr>
              <w:ind w:left="48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3,292</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2,692</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10,698</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8,053</w:t>
            </w:r>
          </w:p>
        </w:tc>
      </w:tr>
      <w:tr>
        <w:trPr>
          <w:trHeight w:val="243"/>
        </w:trPr>
        <w:tc>
          <w:tcPr>
            <w:tcW w:w="508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5,747</w:t>
            </w: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20,578</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11,493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5,764</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5,117</w:t>
            </w:r>
          </w:p>
        </w:tc>
      </w:tr>
      <w:tr>
        <w:trPr>
          <w:trHeight w:val="257"/>
        </w:trPr>
        <w:tc>
          <w:tcPr>
            <w:tcW w:w="508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14,716</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40,682</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27,646</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760" w:type="dxa"/>
            <w:vAlign w:val="bottom"/>
            <w:gridSpan w:val="3"/>
          </w:tcPr>
          <w:p>
            <w:pPr>
              <w:jc w:val="right"/>
              <w:ind w:right="7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94"/>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9,113</w:t>
            </w:r>
          </w:p>
        </w:tc>
      </w:tr>
      <w:tr>
        <w:trPr>
          <w:trHeight w:val="243"/>
        </w:trPr>
        <w:tc>
          <w:tcPr>
            <w:tcW w:w="5080" w:type="dxa"/>
            <w:vAlign w:val="bottom"/>
          </w:tcPr>
          <w:p>
            <w:pPr>
              <w:ind w:left="480"/>
              <w:spacing w:after="0"/>
              <w:rPr>
                <w:sz w:val="20"/>
                <w:szCs w:val="20"/>
                <w:color w:val="auto"/>
              </w:rPr>
            </w:pPr>
            <w:r>
              <w:rPr>
                <w:rFonts w:ascii="Arial" w:cs="Arial" w:eastAsia="Arial" w:hAnsi="Arial"/>
                <w:sz w:val="18"/>
                <w:szCs w:val="18"/>
                <w:color w:val="auto"/>
              </w:rPr>
              <w:t>RSUs (including PSUs)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9,248</w:t>
            </w:r>
          </w:p>
        </w:tc>
        <w:tc>
          <w:tcPr>
            <w:tcW w:w="3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31,678</w:t>
            </w: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16,611</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1,047</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2,532</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w:t>
            </w:r>
          </w:p>
        </w:tc>
      </w:tr>
      <w:tr>
        <w:trPr>
          <w:trHeight w:val="257"/>
        </w:trPr>
        <w:tc>
          <w:tcPr>
            <w:tcW w:w="508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14,716</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40,682</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27,646</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operations is as follows (in thousands):</w:t>
      </w: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16"/>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760" w:type="dxa"/>
            <w:vAlign w:val="bottom"/>
            <w:gridSpan w:val="3"/>
          </w:tcPr>
          <w:p>
            <w:pPr>
              <w:jc w:val="right"/>
              <w:ind w:right="776"/>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220" w:type="dxa"/>
            <w:vAlign w:val="bottom"/>
          </w:tcPr>
          <w:p>
            <w:pPr>
              <w:jc w:val="center"/>
              <w:ind w:right="236"/>
              <w:spacing w:after="0"/>
              <w:rPr>
                <w:sz w:val="20"/>
                <w:szCs w:val="20"/>
                <w:color w:val="auto"/>
              </w:rPr>
            </w:pPr>
            <w:r>
              <w:rPr>
                <w:rFonts w:ascii="Arial" w:cs="Arial" w:eastAsia="Arial" w:hAnsi="Arial"/>
                <w:sz w:val="16"/>
                <w:szCs w:val="16"/>
                <w:b w:val="1"/>
                <w:bCs w:val="1"/>
                <w:color w:val="auto"/>
                <w:w w:val="90"/>
              </w:rPr>
              <w:t>June 30,</w:t>
            </w:r>
          </w:p>
        </w:tc>
        <w:tc>
          <w:tcPr>
            <w:tcW w:w="360" w:type="dxa"/>
            <w:vAlign w:val="bottom"/>
          </w:tcPr>
          <w:p>
            <w:pPr>
              <w:spacing w:after="0"/>
              <w:rPr>
                <w:sz w:val="18"/>
                <w:szCs w:val="18"/>
                <w:color w:val="auto"/>
              </w:rPr>
            </w:pPr>
          </w:p>
        </w:tc>
        <w:tc>
          <w:tcPr>
            <w:tcW w:w="1200" w:type="dxa"/>
            <w:vAlign w:val="bottom"/>
          </w:tcPr>
          <w:p>
            <w:pPr>
              <w:jc w:val="center"/>
              <w:ind w:right="257"/>
              <w:spacing w:after="0"/>
              <w:rPr>
                <w:sz w:val="20"/>
                <w:szCs w:val="20"/>
                <w:color w:val="auto"/>
              </w:rPr>
            </w:pPr>
            <w:r>
              <w:rPr>
                <w:rFonts w:ascii="Arial" w:cs="Arial" w:eastAsia="Arial" w:hAnsi="Arial"/>
                <w:sz w:val="16"/>
                <w:szCs w:val="16"/>
                <w:b w:val="1"/>
                <w:bCs w:val="1"/>
                <w:color w:val="auto"/>
                <w:w w:val="90"/>
              </w:rPr>
              <w:t>June 30,</w:t>
            </w:r>
          </w:p>
        </w:tc>
        <w:tc>
          <w:tcPr>
            <w:tcW w:w="360" w:type="dxa"/>
            <w:vAlign w:val="bottom"/>
          </w:tcPr>
          <w:p>
            <w:pPr>
              <w:spacing w:after="0"/>
              <w:rPr>
                <w:sz w:val="18"/>
                <w:szCs w:val="18"/>
                <w:color w:val="auto"/>
              </w:rPr>
            </w:pPr>
          </w:p>
        </w:tc>
        <w:tc>
          <w:tcPr>
            <w:tcW w:w="120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7"/>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6"/>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200" w:type="dxa"/>
            <w:vAlign w:val="bottom"/>
          </w:tcPr>
          <w:p>
            <w:pPr>
              <w:jc w:val="right"/>
              <w:ind w:right="497"/>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7,643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7,813</w:t>
            </w:r>
          </w:p>
        </w:tc>
      </w:tr>
      <w:tr>
        <w:trPr>
          <w:trHeight w:val="27"/>
        </w:trPr>
        <w:tc>
          <w:tcPr>
            <w:tcW w:w="5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December 2013, our Board of Directors (“Board”) authorized a Share Repurchase Program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October 2014, our Board extended the share repurchase authorization under the Program through December 31, 2015. During the three and six months ended June 30, 2015, there were no shares repurchased under the Program. As of June 30, 2015, $122.5 million remains available for future share repurchases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effective tax rate was 77% for the three months ended June 30, 2015, compared to an effective tax rate of 49% for the same period last year. The effective tax rate was 54% for the six months ended June 30, 2015, compared to an effective tax rate of 44% for the same period last year. The provision for income taxes for the periods presented is comprised of U.S. federal and state taxes, Singapore and other foreign income taxes, withholding tax, and transfer pricing allocations which impact jurisdictional income taxed at various tax rates. During the three and six months ended June 30, 2015, there were additional unrecognized tax benefits and non-deductible stock-based compensation expense that adversely impacted the quarterly effective tax rate.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 of June 30, 2015 and December 31, 2014, unrecognized tax benefits were $52.4 million and $44.2 million, respectively. The total amount of $52.2 million in unrecognized tax benefits, if recognized, would favorably impact the effective tax rate. It is our policy to classify accrued interest and penalties related to unrecognized tax benefits in the provision for income taxes. As of June 30, 2015, we had accrued $5.2 million for estimated interest related to uncertain tax positions.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2008. We are no longer subject to examination by U.S federal income tax authorities for tax years prior to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PLANS</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approved 50% matching contributions on employee contributions up to 4% of each employee’s eligible earnings. Our matching contributions to the 401(k) Plan and RRSP during the three months ended</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June 30, 2015 and June 30, 2014 were $0.9 million and $0.6 million, respectively. Our matching contributions to the 401(k) Plan and RRSP during the six months ended June 30, 2015 and June 30, 2014 were $1.8 million and $1.2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SIGNIFICANT CUSTOMER INFORMATION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geographic region is based on the billing address of the customer. The following table sets forth revenue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20" w:type="dxa"/>
            <w:vAlign w:val="bottom"/>
          </w:tcPr>
          <w:p>
            <w:pPr>
              <w:spacing w:after="0"/>
              <w:rPr>
                <w:sz w:val="15"/>
                <w:szCs w:val="15"/>
                <w:color w:val="auto"/>
              </w:rPr>
            </w:pPr>
          </w:p>
        </w:tc>
        <w:tc>
          <w:tcPr>
            <w:tcW w:w="50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5"/>
                <w:szCs w:val="15"/>
                <w:color w:val="auto"/>
              </w:rPr>
            </w:pPr>
          </w:p>
        </w:tc>
        <w:tc>
          <w:tcPr>
            <w:tcW w:w="1220" w:type="dxa"/>
            <w:vAlign w:val="bottom"/>
          </w:tcPr>
          <w:p>
            <w:pPr>
              <w:jc w:val="right"/>
              <w:ind w:right="512"/>
              <w:spacing w:after="0" w:line="176"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472"/>
              <w:spacing w:after="0" w:line="176"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73"/>
              <w:spacing w:after="0" w:line="176"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49,672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129,725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94,465</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38,733</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2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17,619</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150,817</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Europe, Middle East, and Africa (“EMEA”)</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83,404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159,068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119,197</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Asia Pacific (“APAC”)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83,033</w:t>
            </w:r>
          </w:p>
        </w:tc>
      </w:tr>
      <w:tr>
        <w:trPr>
          <w:trHeight w:val="257"/>
        </w:trPr>
        <w:tc>
          <w:tcPr>
            <w:tcW w:w="20" w:type="dxa"/>
            <w:vAlign w:val="bottom"/>
          </w:tcPr>
          <w:p>
            <w:pPr>
              <w:spacing w:after="0"/>
              <w:rPr>
                <w:sz w:val="22"/>
                <w:szCs w:val="22"/>
                <w:color w:val="auto"/>
              </w:rPr>
            </w:pPr>
          </w:p>
        </w:tc>
        <w:tc>
          <w:tcPr>
            <w:tcW w:w="5060" w:type="dxa"/>
            <w:vAlign w:val="bottom"/>
            <w:gridSpan w:val="2"/>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239,785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184,098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452,671</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353,047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property and equipment by geographic region as of June 30, 2015 and December 31, 2014 (in thousands):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60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653"/>
              <w:spacing w:after="0" w:line="176"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593"/>
              <w:spacing w:after="0" w:line="176" w:lineRule="exact"/>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2080" w:type="dxa"/>
            <w:vAlign w:val="bottom"/>
            <w:tcBorders>
              <w:top w:val="single" w:sz="8" w:color="auto"/>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50,328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46,116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Other Americas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Americas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EMEA</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Total property and equipment—net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71,465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58,919</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80" w:type="dxa"/>
            <w:vAlign w:val="bottom"/>
            <w:gridSpan w:val="6"/>
            <w:vMerge w:val="restart"/>
          </w:tcPr>
          <w:p>
            <w:pPr>
              <w:ind w:left="580"/>
              <w:spacing w:after="0"/>
              <w:rPr>
                <w:sz w:val="20"/>
                <w:szCs w:val="20"/>
                <w:color w:val="auto"/>
              </w:rPr>
            </w:pPr>
            <w:r>
              <w:rPr>
                <w:rFonts w:ascii="Arial" w:cs="Arial" w:eastAsia="Arial" w:hAnsi="Arial"/>
                <w:sz w:val="18"/>
                <w:szCs w:val="18"/>
                <w:color w:val="auto"/>
              </w:rPr>
              <w:t>The following customer, a distributor, accounted for 10% or more of our revenue:</w:t>
            </w: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6"/>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80" w:type="dxa"/>
            <w:vAlign w:val="bottom"/>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6"/>
          </w:tcPr>
          <w:p>
            <w:pPr>
              <w:ind w:left="9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Arial" w:cs="Arial" w:eastAsia="Arial" w:hAnsi="Arial"/>
                <w:sz w:val="16"/>
                <w:szCs w:val="16"/>
                <w:b w:val="1"/>
                <w:bCs w:val="1"/>
                <w:color w:val="auto"/>
                <w:w w:val="96"/>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060" w:type="dxa"/>
            <w:vAlign w:val="bottom"/>
            <w:gridSpan w:val="5"/>
          </w:tcPr>
          <w:p>
            <w:pPr>
              <w:ind w:left="5580"/>
              <w:spacing w:after="0"/>
              <w:rPr>
                <w:sz w:val="20"/>
                <w:szCs w:val="20"/>
                <w:color w:val="auto"/>
              </w:rPr>
            </w:pPr>
            <w:r>
              <w:rPr>
                <w:rFonts w:ascii="Arial" w:cs="Arial" w:eastAsia="Arial" w:hAnsi="Arial"/>
                <w:sz w:val="16"/>
                <w:szCs w:val="16"/>
                <w:b w:val="1"/>
                <w:bCs w:val="1"/>
                <w:color w:val="auto"/>
              </w:rPr>
              <w:t>2015</w:t>
            </w:r>
          </w:p>
        </w:tc>
        <w:tc>
          <w:tcPr>
            <w:tcW w:w="16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Exclusive Networks Group</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360" w:type="dxa"/>
            <w:vAlign w:val="bottom"/>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right"/>
              <w:ind w:right="39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2014</w:t>
            </w:r>
          </w:p>
        </w:tc>
      </w:tr>
      <w:tr>
        <w:trPr>
          <w:trHeight w:val="33"/>
        </w:trPr>
        <w:tc>
          <w:tcPr>
            <w:tcW w:w="75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Fine Tec Computer</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Tax benefit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Unrealized Gains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(Losses)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31, 2014</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1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0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as of June 30, 2015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about the reclassification out of accumulated other comprehensive loss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ind w:left="215"/>
              <w:spacing w:after="0"/>
              <w:rPr>
                <w:sz w:val="20"/>
                <w:szCs w:val="20"/>
                <w:color w:val="auto"/>
              </w:rPr>
            </w:pPr>
            <w:r>
              <w:rPr>
                <w:rFonts w:ascii="Arial" w:cs="Arial" w:eastAsia="Arial" w:hAnsi="Arial"/>
                <w:sz w:val="16"/>
                <w:szCs w:val="16"/>
                <w:b w:val="1"/>
                <w:bCs w:val="1"/>
                <w:color w:val="auto"/>
                <w:w w:val="93"/>
              </w:rPr>
              <w:t>Accumulated Other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Affected Line Item in the Statement</w:t>
            </w:r>
          </w:p>
        </w:tc>
      </w:tr>
      <w:tr>
        <w:trPr>
          <w:trHeight w:val="210"/>
        </w:trPr>
        <w:tc>
          <w:tcPr>
            <w:tcW w:w="6540" w:type="dxa"/>
            <w:vAlign w:val="bottom"/>
            <w:gridSpan w:val="2"/>
          </w:tcPr>
          <w:p>
            <w:pPr>
              <w:ind w:left="860"/>
              <w:spacing w:after="0"/>
              <w:rPr>
                <w:sz w:val="20"/>
                <w:szCs w:val="20"/>
                <w:color w:val="auto"/>
              </w:rPr>
            </w:pPr>
            <w:r>
              <w:rPr>
                <w:rFonts w:ascii="Arial" w:cs="Arial" w:eastAsia="Arial" w:hAnsi="Arial"/>
                <w:sz w:val="16"/>
                <w:szCs w:val="16"/>
                <w:b w:val="1"/>
                <w:bCs w:val="1"/>
                <w:color w:val="auto"/>
              </w:rPr>
              <w:t>Details about Accumulated Other Comprehensive Loss Components</w:t>
            </w:r>
          </w:p>
        </w:tc>
        <w:tc>
          <w:tcPr>
            <w:tcW w:w="1840" w:type="dxa"/>
            <w:vAlign w:val="bottom"/>
          </w:tcPr>
          <w:p>
            <w:pPr>
              <w:jc w:val="center"/>
              <w:ind w:left="215"/>
              <w:spacing w:after="0"/>
              <w:rPr>
                <w:sz w:val="20"/>
                <w:szCs w:val="20"/>
                <w:color w:val="auto"/>
              </w:rPr>
            </w:pPr>
            <w:r>
              <w:rPr>
                <w:rFonts w:ascii="Arial" w:cs="Arial" w:eastAsia="Arial" w:hAnsi="Arial"/>
                <w:sz w:val="16"/>
                <w:szCs w:val="16"/>
                <w:b w:val="1"/>
                <w:bCs w:val="1"/>
                <w:color w:val="auto"/>
                <w:w w:val="87"/>
              </w:rPr>
              <w:t>Comprehensive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1840" w:type="dxa"/>
            <w:vAlign w:val="bottom"/>
            <w:tcBorders>
              <w:bottom w:val="single" w:sz="8" w:color="CCEEFF"/>
            </w:tcBorders>
            <w:shd w:val="clear" w:color="auto" w:fill="CCEEFF"/>
          </w:tcPr>
          <w:p>
            <w:pPr>
              <w:jc w:val="right"/>
              <w:ind w:right="165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w:t>
            </w:r>
          </w:p>
        </w:tc>
        <w:tc>
          <w:tcPr>
            <w:tcW w:w="1840" w:type="dxa"/>
            <w:vAlign w:val="bottom"/>
          </w:tcPr>
          <w:p>
            <w:pPr>
              <w:spacing w:after="0"/>
              <w:rPr>
                <w:sz w:val="21"/>
                <w:szCs w:val="21"/>
                <w:color w:val="auto"/>
              </w:rPr>
            </w:pP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1   Provision for income taxes</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840" w:type="dxa"/>
            <w:vAlign w:val="bottom"/>
            <w:tcBorders>
              <w:bottom w:val="single" w:sz="8" w:color="auto"/>
            </w:tcBorders>
            <w:shd w:val="clear" w:color="auto" w:fill="CCEEFF"/>
          </w:tcPr>
          <w:p>
            <w:pPr>
              <w:jc w:val="right"/>
              <w:ind w:right="165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FOREIGN CURRENCY DERIVATIVES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including forward contracts,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of one month. We record changes in the fair value of forward exchange contracts related to balance sheet accounts as Other expense—net in the condensed consolidated statement of operations.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Other expense—net in our condensed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and GBP could adversely impact our operating expenses in the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notional amount of our forward exchange contract to hedge balance sheet accounts were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8"/>
                <w:szCs w:val="18"/>
                <w:b w:val="1"/>
                <w:bCs w:val="1"/>
                <w:color w:val="auto"/>
                <w:w w:val="90"/>
              </w:rPr>
              <w:t>Buy/Sell</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96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Currency—As of June 30, 2015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00" w:type="dxa"/>
            <w:vAlign w:val="bottom"/>
            <w:gridSpan w:val="5"/>
          </w:tcPr>
          <w:p>
            <w:pPr>
              <w:ind w:left="40"/>
              <w:spacing w:after="0"/>
              <w:rPr>
                <w:sz w:val="20"/>
                <w:szCs w:val="20"/>
                <w:color w:val="auto"/>
              </w:rPr>
            </w:pPr>
            <w:r>
              <w:rPr>
                <w:rFonts w:ascii="Arial" w:cs="Arial" w:eastAsia="Arial" w:hAnsi="Arial"/>
                <w:sz w:val="18"/>
                <w:szCs w:val="18"/>
                <w:color w:val="auto"/>
              </w:rPr>
              <w:t>CAD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Sell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6,743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3"/>
        </w:trPr>
        <w:tc>
          <w:tcPr>
            <w:tcW w:w="96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3"/>
        </w:trPr>
        <w:tc>
          <w:tcPr>
            <w:tcW w:w="96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Buy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r>
      <w:tr>
        <w:trPr>
          <w:trHeight w:val="27"/>
        </w:trPr>
        <w:tc>
          <w:tcPr>
            <w:tcW w:w="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the fair value of the forward exchange contract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son of one member of our Board of Directors (“Board”) is a partner of an outside law firm that we utilize for certain complex litigation matters. Expenses for legal services provided by the law firm related to matters that arose subsequent to the member joining our Board were $0.9 million and $0.5 million for the three months ended June 30, 2015 and June 30, 2014, respectively. Expenses for legal services provided by the law firm related to matters that arose subsequent to the member joining our Board were $2.8 million and $0.7 million for the six months ended June 30, 2015 and June 30, 2014, respectively. Amounts due and payable to the law firm were $2.3 million and $1.3 million as of June 30, 2015 and December 31, 2014,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July 2015, we acquired Meru Networks, Inc. (“Meru”), which offers Wi-Fi networking solutions, for a total consideration of approximately $44.0 million. The acquisition expands on our secure wireless vision and enterprise growth focus, broadens our portfolio of solutions , and expands our opportunity to address the global enterprise Wi-Fi market with integrated secure wireless solutions. We are still in the process of evaluating the business combination accounting considerations, including the consideration transferred and the initial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proportion of our revenue that consists of our product and service revenue, and the mix of billings between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large enterprises, service providers, and government organizations and the impact of sales to these organizations on our long-term growth and operating results;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04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trends in our operating expenses, including research and development expense, sales and marketing expense and general and administrative expense, and expectations regarding these expenses as a percentage of revenue;</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integration of acquired companies and technologies;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implementation of a new enterprise resource planning (“ERP”) system;</w:t>
      </w:r>
    </w:p>
    <w:p>
      <w:pPr>
        <w:spacing w:after="0" w:line="225" w:lineRule="exact"/>
        <w:rPr>
          <w:rFonts w:ascii="Arial" w:cs="Arial" w:eastAsia="Arial" w:hAnsi="Arial"/>
          <w:sz w:val="18"/>
          <w:szCs w:val="18"/>
          <w:i w:val="1"/>
          <w:iCs w:val="1"/>
          <w:color w:val="auto"/>
        </w:rPr>
      </w:pPr>
    </w:p>
    <w:p>
      <w:pPr>
        <w:ind w:left="1300" w:right="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provide high performance cybersecurity solutions to some of the largest enterprises, service providers and government organizations across the globe, including a majority of the 2015 Fortune 100. Our cybersecurity solutions are fast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secure and designed to provide broad, high-performance protection against dynamic security threats while simplifying the information technology (“IT”) infrastructure of our end-customers worldwide.</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flagship integrated network security solution consists of our FortiGate physical and virtual appliance platforms which are deployable in large enterprise, service provider and small and medium-sized business environments, and government organizations. These platforms provide a broad array of integrated security and networking functions to help protect data, applications, and users from network- and content-level security threats. These functions, which can be integrated in a variety of ways, include firewall, intrusion prevention, anti-malware, application control, virtual private network, web-filtering, vulnerability management, anti-spam, mobile security, wireless controller, and wide area network acceleration. Our FortiGate appliance platforms may be deployed as next generation firewalls, data center firewalls, unified threat management systems, internal segmentation firewalls, virtual machine firewalls or cloud firewalls. For wireless networked environments, we offer our FortiWiFi appliances, which integrate wireless access point capabilities into the FortiGate network security platform. Each FortiWiFi appliance provides secure access to the wired and wireless local area networks, as well as various wide area network connections.</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FortiGate platform includes our FortiASICs, which are specifically designed for accelerated processing of security and networking functions, and our FortiOS operating system, which provides the foundation for all FortiGate security functions. Our FortiGuard security subscription and FortiCare technical support services provide end-customers with access to dynamic updates to our application control, anti-malware, intrusion prevention, web filtering, and anti-spam functionality. Our security subscription services are based in part on intelligence gathered by FortiGuard Labs, a large team of threat researchers who detect threats and help protect our customers. By combining multiple proprietary security and networking functions with our purpose-built FortiASIC and FortiOS, our FortiGate solution delivers broad protection against dynamic security threats while reducing the operational burden and costs associated with managing multiple point products.</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complement our FortiGate product line with the FortiManager and FortiAnalyzer product families. FortiManager provides customers with centralized management of multiple FortiGate appliances while FortiAnalyzer provides customers with a single point of network log data collection. These products enable customers to implement security policies across large networks. The FortiGate platform can be expanded with a number of other security systems including email (FortiMail), endpoint (FortiClient), wireless access points (FortiAP), advanced threat protection (FortiSandbox), and application security (FortiWAF, FortiADC, and FortiDDoS).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offer virtual appliances for the FortiGate, FortiManager, FortiAnalyzer, FortiWeb, FortiMail, FortiCache, and FortiADC product lines that can be used in conjunction with traditional Fortinet physical appliances, such as FortiGate, FortiManager, and FortiAnalyzer, to help ensure the visibility, management, and protection of physical and virtual environments. We also offer on-demand cloud-based versions of FortiGate and FortiWeb.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2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total revenue of $239.8 million and $452.7 million for the three and six months ended June 30, 2015, respectively, an increase of 30% and 28%, respectively, compared to the same periods last year. Product revenue was $114.8 million and $212.3 million during the three and six months ended June 30, 2015, respectively, an increase of 34% and 31%, respectively, compared to the same periods last year. Service revenue was $125.0 million and $240.4 million for the three and six months ended June 30, 2015, an increase of 27% and 26%, respectively, compared to the same periods last year.</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$1.15 billion as of June 30, 2015, an increase of $156.6 million, or 16%, from December 31, 2014.</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$657.6 million as of June 30, 2015, an increase of $98.8 million, or 18%, from December 31, 2014</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$148.9 million during the six months ended June 30, 2015, an increase of $44.2 million, or 42%, compared to the same period last year.</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2015, we acquired Meru Networks, Inc. (“Meru”), which offers Wi-Fi networking solutions, for a total consideration of approximately $44.0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Revenue grew as our integrated security platform products put us in a strong competitive position in a robust security market. In addition, we continue to expand and upgrade our enterprise sales force, build out vertical-specific sales teams, strengthen partnerships with enterprise resellers, and gain from our prior sales investments. Our strategy is enabling us to gain market share, win new customers, and expand within existing customer accounts, especially in the large enterprise market. Aside from obtaining new customers, other levers to drive long-term growth and operating leverage include adding more functionality and value in our security and support service offerings to customers. We continue to grow the number of large deals with large enterprises, which is also key to our long-term growth and profitability strategy as these high-end customers tend to provide higher lifetime value and are beneficial to our business model over time.</w:t>
      </w:r>
    </w:p>
    <w:p>
      <w:pPr>
        <w:spacing w:after="0" w:line="18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During the three months ended June 30, 2015, our revenue growth was primarily driven by our growth in the U.S. large enterprise market. We also continued to see diversity of product sales in our FortiGate product family due to increased demand across all product categories. Our high-end products (FortiGate 1000 to 5000 series) accounted for 45% of billings primarily driven by continued enterprise adoption of our high-end appliances such as the FortiGate1500D and 3700D series appliances. Our mid-range products (FortiGate 200 to 800 series) accounted for 24% of billings, and our entry-level products (FortiGate 20 to 100 series) accounted for 31% of billings. During the three months ended June 30, 2014, our high-end products (FortiGate1000 to 5000 series) accounted for 40% of billings primarily due to an increase in billings from large enterprise customers. Our mid-range products (FortiGate 200 to 800 series) accounted for 26% of billings, and our entry-level products (FortiGate 20 to 100 series) accounted for 34% of billings.</w:t>
      </w:r>
    </w:p>
    <w:p>
      <w:pPr>
        <w:spacing w:after="0" w:line="16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During the three and six months ended June 30, 2015, operating expenses increased compared to the same periods last year. The increase was primarily driven by our accelerated pace of hiring and continued investments to expand our sales coverage, grow our marketing capabilities, develop new products, and scale our customer support organization to meet the needs of our expanding customer base. Headcount, including full time equivalent employees, increased to 3,336 as of June 30, 2015 from 2,532 as of June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239,785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184,098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657,561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480,202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57,390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(non-GAAP)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297,175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212,997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1,148,371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910,594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84,305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43,798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73,544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34,094</w:t>
            </w:r>
          </w:p>
        </w:tc>
      </w:tr>
      <w:tr>
        <w:trPr>
          <w:trHeight w:val="27"/>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unamortized portion of services revenue from FortiGuard security subscription and FortiCare technical support service contracts. We monitor our deferred revenue balance because it represents a significant portion of revenue to be recognized in future periods.</w:t>
      </w:r>
    </w:p>
    <w:p>
      <w:pPr>
        <w:spacing w:after="0" w:line="14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Billings (Non-GAAP).</w:t>
      </w:r>
      <w:r>
        <w:rPr>
          <w:rFonts w:ascii="Arial" w:cs="Arial" w:eastAsia="Arial" w:hAnsi="Arial"/>
          <w:sz w:val="16"/>
          <w:szCs w:val="16"/>
          <w:color w:val="auto"/>
        </w:rPr>
        <w:t>We define billings as revenue recognized plus the change in deferred revenue from the beginning to the end of the period less</w:t>
      </w:r>
      <w:r>
        <w:rPr>
          <w:rFonts w:ascii="Arial" w:cs="Arial" w:eastAsia="Arial" w:hAnsi="Arial"/>
          <w:sz w:val="16"/>
          <w:szCs w:val="16"/>
          <w:i w:val="1"/>
          <w:iCs w:val="1"/>
          <w:color w:val="auto"/>
        </w:rPr>
        <w:t xml:space="preserve"> </w:t>
      </w:r>
      <w:r>
        <w:rPr>
          <w:rFonts w:ascii="Arial" w:cs="Arial" w:eastAsia="Arial" w:hAnsi="Arial"/>
          <w:sz w:val="16"/>
          <w:szCs w:val="16"/>
          <w:color w:val="auto"/>
        </w:rPr>
        <w:t>any deferred revenue balances acquired from business combination(s) during the period, if any. We consider billings to be a useful metric for management and investors because billings drives deferred revenue, which is an important indicator of the health and viability of our business. There are a number of limitations related to the use of billings versus revenue calculated in accordance with GAAP. First, billings include amounts that have not yet been recognized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revenue. Second, we may calculate billings in a manner that is different from peer companies that report similar financial measures. Management compensates for these limitations by providing specific information regarding GAAP revenue and evaluating billings together with revenue calculated in accordance with GAAP. A reconciliation of billings to revenue, the most directly comparable financial measure calculated and presented in accordance with GAAP, is provided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184,098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deferred revenue</w:t>
            </w:r>
          </w:p>
        </w:tc>
        <w:tc>
          <w:tcPr>
            <w:tcW w:w="3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57,390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28,899</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297,175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212,997</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capital expenditures (purchases of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comparisons of our operating results to competitors’ operating results. A limitation of using free cash flow versus the GAAP measure of net cash provided by operating activities as a means for evaluating liquidity is that free cash flow does not represent the total increase or decrease in the cash, cash equivalents and investments balance for the period because free cash flow excludes cash used for capital expenditures and also excludes cash provided by or used for other investing and financing activities. Management compensates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84,305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43,798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73,544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34,094</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expenses, and related disclosures. Our estimates include those related to revenue recognition, stock-based compensation expense, valuation of inventory, warranty liabilities, investments,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of and for the three and six months ended June 30, 2015, as compared to the critical accounting policies and estimates described in the Form 10-K.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Meru</w:t>
      </w:r>
    </w:p>
    <w:p>
      <w:pPr>
        <w:spacing w:after="0" w:line="2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July 2015, we acquired Meru, which offers Wi-Fi networking solutions, for a total consideration of approximately $44.0 million. The acquisition expands our secure wireless vision and enterprise growth focus, broadens our portfolio of solutions , and expands our opportunity to address the global enterprise Wi-Fi market with integrated secure wireless solutions.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and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85,384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29,393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26,294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27</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239,785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184,098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55,687</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108,593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30,208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33</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47,787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43,159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4,628</w:t>
            </w:r>
          </w:p>
        </w:tc>
        <w:tc>
          <w:tcPr>
            <w:tcW w:w="1420" w:type="dxa"/>
            <w:vAlign w:val="bottom"/>
          </w:tcPr>
          <w:p>
            <w:pPr>
              <w:ind w:left="1060"/>
              <w:spacing w:after="0"/>
              <w:rPr>
                <w:sz w:val="20"/>
                <w:szCs w:val="20"/>
                <w:color w:val="auto"/>
              </w:rPr>
            </w:pPr>
            <w:r>
              <w:rPr>
                <w:rFonts w:ascii="Arial" w:cs="Arial" w:eastAsia="Arial" w:hAnsi="Arial"/>
                <w:sz w:val="18"/>
                <w:szCs w:val="18"/>
                <w:color w:val="auto"/>
              </w:rPr>
              <w:t>11</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239,785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184,098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55,687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30%</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Total revenue increased by $55.7 million, or 30%, during the three months ended June 30, 2015 compared to the same period last year. The Americas region grew by 39% as we saw continued strength in the U.S. enterprise market primarily driven by increased sales to large enterprise customers. The EMEA region grew by 33% due to strong sales performance across the region. The APAC region grew by 11% as we saw continued growth in certain parts of the region. Product revenue increased by $29.4 million, or 34%, during the three months ended June 30, 2015 compared to the same period last year. The increase in product revenue was primarily driven by greater sales volume in our FortiGate product family due to increased demand for each of our high-end, mid-range and entry-level product categories, and in particular for our high-end products for large enterprise customers.</w:t>
      </w:r>
    </w:p>
    <w:p>
      <w:pPr>
        <w:spacing w:after="0" w:line="16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Service revenue increased by $26.3 million, or 27%, during the three months ended June 30, 2015 compared to the same period last year due to the recognition of revenue from our deferred revenue balance consisting of FortiGuard security subscription and FortiCare technical support contracts sold to a larger customer base, particularly our large enterprise customers, as well as the renewals of similar contracts sold in earlier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6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jc w:val="right"/>
              <w:ind w:right="4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47,397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37,455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9,942</w:t>
            </w:r>
          </w:p>
        </w:tc>
        <w:tc>
          <w:tcPr>
            <w:tcW w:w="1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20,302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1,799</w:t>
            </w:r>
          </w:p>
        </w:tc>
        <w:tc>
          <w:tcPr>
            <w:tcW w:w="1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69,498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57,757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11,741</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Total gross margin increased by 2.4 percentage points during the three months ended June 30, 2015 compared to the same period last year as both product and service gross margins increased. Product gross margin increased by 2.6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points during the three months ended June 30, 2015 compared to the same period last year primarily due to a greater mix of high-end FortiGate product sales compared to the same period last year.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Service gross margin increased by 2.9 percentage points during the three months ended June 30, 2015 compared to the same period last year as we scale efficiencies resulting from our ability to add more functionality and value to our service offerings, which have translated into improved service margins. Cost of service revenue increased by $1.8 million primarily due to an increase in personnel costs, including stock-based compensation expense, as a result of increased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37,389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29,938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7,451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25%</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37,111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50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7,574</w:t>
            </w:r>
          </w:p>
        </w:tc>
        <w:tc>
          <w:tcPr>
            <w:tcW w:w="1420" w:type="dxa"/>
            <w:vAlign w:val="bottom"/>
          </w:tcPr>
          <w:p>
            <w:pPr>
              <w:ind w:left="1060"/>
              <w:spacing w:after="0"/>
              <w:rPr>
                <w:sz w:val="20"/>
                <w:szCs w:val="20"/>
                <w:color w:val="auto"/>
              </w:rPr>
            </w:pPr>
            <w:r>
              <w:rPr>
                <w:rFonts w:ascii="Arial" w:cs="Arial" w:eastAsia="Arial" w:hAnsi="Arial"/>
                <w:sz w:val="18"/>
                <w:szCs w:val="18"/>
                <w:color w:val="auto"/>
              </w:rPr>
              <w:t>73</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167,335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52,136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45%</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Research and development expense increased by $7.5 million, or 25%, during the three months ended June 30, 2015 compared to the same period last year primarily due to an increase of $4.8 million in personnel costs and $1.4 million in stock-based compensation expense as a result of increased headcount to support the development of new products and continued enhancements of our existing products. In addition, during the three months ended June 30, 2014, we had a reversal of $0.7 million related to a previously recorded liability for estimated contingent consideration. We intend to continue to invest in our research and development organization and integrate personnel from our acquisition of Meru but expect research and development expense as a percentage of total revenue to remain at comparable levels during the remainder of 2015.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Sales and marketing expense increased by $37.1 million, or 50%, during the three months ended June 30, 2015 compared to the same period last year, primarily due to an increase of $20.2 million in personnel costs and $5.5 million in stock-based compensation expense, as we continued to increase our sales headcount in order to drive continued market share gains globally. Marketing-related expense increased by $5.0 million as we invested significantly in marketing programs to capture market share, particularly in the enterprise market, including costs related to trade-shows and lead generation. Travel expense increased by $2.3 million and depreciation and other occupancy-related costs increased by $1.8 million. As a percentage of total revenue, sales and marketing expense increased as we accelerated the investment in our sales force and marketing programs to drive future growth. We intend to continue to make investments in our sales resources and infrastructure and marketing strategy, which are critical to support growth.</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General and administrative expense increased by $7.6 million, or 73%, during the three months ended June 30, 2015 compared to the same period last year. Personnel costs, including stock-based compensation expense, increased by $2.1 million, as we continued to increase our headcount in order to support our expanding business. In addition, legal, tax and other professional fees increased by $2.8 million. We also incurred $1.4 million in expenses related to business process design and reengineering in preparation of an ERP system implementation and $1.3 million of transaction costs related to the Meru acquisition. As a percentage of total revenue, we expect general and administrative expense to remain at comparable levels during the remainder of 2015.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40" w:type="dxa"/>
            <w:vAlign w:val="bottom"/>
          </w:tcPr>
          <w:p>
            <w:pPr>
              <w:jc w:val="center"/>
              <w:ind w:left="457"/>
              <w:spacing w:after="0"/>
              <w:rPr>
                <w:sz w:val="20"/>
                <w:szCs w:val="20"/>
                <w:color w:val="auto"/>
              </w:rPr>
            </w:pPr>
            <w:r>
              <w:rPr>
                <w:rFonts w:ascii="Arial" w:cs="Arial" w:eastAsia="Arial" w:hAnsi="Arial"/>
                <w:sz w:val="16"/>
                <w:szCs w:val="16"/>
                <w:b w:val="1"/>
                <w:bCs w:val="1"/>
                <w:color w:val="auto"/>
                <w:w w:val="90"/>
              </w:rPr>
              <w:t>June 30,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45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(574)</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(256)</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45</w:t>
            </w:r>
          </w:p>
        </w:tc>
      </w:tr>
    </w:tbl>
    <w:p>
      <w:pPr>
        <w:spacing w:after="0" w:line="31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income increased during the three months ended June 30, 2015 compared to the same period last year due to interest earned on higher invested balances of cash, cash equivalents and investments. The increase in Other expense—net for the three months ended June 30, 2015 when compared to the same period last year, was the result of higher foreign currency exchange losses.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2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20" w:type="dxa"/>
            <w:vAlign w:val="bottom"/>
          </w:tcPr>
          <w:p>
            <w:pPr>
              <w:jc w:val="center"/>
              <w:ind w:left="497"/>
              <w:spacing w:after="0"/>
              <w:rPr>
                <w:sz w:val="20"/>
                <w:szCs w:val="20"/>
                <w:color w:val="auto"/>
              </w:rPr>
            </w:pPr>
            <w:r>
              <w:rPr>
                <w:rFonts w:ascii="Arial" w:cs="Arial" w:eastAsia="Arial" w:hAnsi="Arial"/>
                <w:sz w:val="16"/>
                <w:szCs w:val="16"/>
                <w:b w:val="1"/>
                <w:bCs w:val="1"/>
                <w:color w:val="auto"/>
                <w:w w:val="87"/>
              </w:rPr>
              <w:t>June 30,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57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80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0" w:type="dxa"/>
            <w:vAlign w:val="bottom"/>
            <w:gridSpan w:val="3"/>
          </w:tcPr>
          <w:p>
            <w:pPr>
              <w:ind w:left="400"/>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2,694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5,806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(3,112)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Arial" w:cs="Arial" w:eastAsia="Arial" w:hAnsi="Arial"/>
                <w:sz w:val="18"/>
                <w:szCs w:val="18"/>
                <w:color w:val="auto"/>
              </w:rPr>
              <w:t>28%</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effective tax rate was 77% for the three months ended June 30, 2015, compared with an effective tax rate of 49% for the same period last year. The provision for income taxes for the three months ended June 30, 2015 was comprised primarily of U.S. federal and state taxes, other foreign income taxes, foreign withholding taxes, and transfer pricing allocations which impact jurisdictional income taxed at various tax rates. During the three months ended June 30, 2015, there were additional unrecognized tax benefits and non-deductible stock-based compensation expense that adversely impacted the quarterly effective tax rate.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2015, we had accrued $5.2 million for estimated interest related to uncertain tax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is reasonably possible that over the next twelve-month period, we may experience increases or decreases in our unrecognized tax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it is not possible to determine either the magnitude or the range of increases or decreases at this time.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and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50,137</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240,385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190,898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49,487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26</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452,671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353,047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99,624</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200,153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150,817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49,336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33</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93,450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83,033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10,417</w:t>
            </w:r>
          </w:p>
        </w:tc>
        <w:tc>
          <w:tcPr>
            <w:tcW w:w="1420" w:type="dxa"/>
            <w:vAlign w:val="bottom"/>
          </w:tcPr>
          <w:p>
            <w:pPr>
              <w:ind w:left="1060"/>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452,671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353,047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99,624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Total revenue increased by $99.6 million, or 28%, during the six months ended June 30, 2015 compared to the same period last year. All three regions experienced revenue growth compared to the same period last year, with the Americas and EMEA contributing the largest portion of our revenue growth on a percentage basis. Product revenue increased by $50.1 million, or 31%, during the six months ended June 30, 2015 compared to the same period last year. The increase in product revenue was primarily driven by greater sales volume in our FortiGate product family due to increased demand for each of our high-end, mid-range and entry-level product categories, and in particular for our high-end products for large enterprise customers.</w:t>
      </w:r>
    </w:p>
    <w:p>
      <w:pPr>
        <w:spacing w:after="0" w:line="15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Service revenue increased by $49.5 million, or 26%, during the six months ended June 30, 2015 compared to the same period last year due to the recognition of revenue from our deferred revenue balance consisting of FortiGuard security subscription and FortiCare technical support contracts sold to a larger customer base, particularly our large enterprise customers, as well as the renewals of similar contracts sold in earlier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ind w:right="6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2"/>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88,765</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69,594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19,171</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28%</w:t>
            </w: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44,335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38,906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5,429</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14</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133,100</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108,500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24,600</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23%</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Total gross margin increased by 1.3 percentage points during the six months ended June 30, 2015 compared to the same period last year, as both product and service gross margins increased. Product gross margin increased by 1.1 percentage points during the six months ended June 30, 2015 compared to the same period last year primarily due to a greater mix of high-end FortiGate product sales compared to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Service gross margin increased by 2.0 percentage points during the six months ended June 30, 2015 as compared to the same period last year as we scale efficiencies resulting from our ability to add more functionality and value to our service offerings, which have translated into improved service margins. Cost of service revenue increased by $5.4 million primarily due to a $4.8 million increase in personnel costs and a $0.6 million increase in stock-based compensation expense, as a result of increased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73,205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58,993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14,212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70,394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50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29,979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10,525</w:t>
            </w:r>
          </w:p>
        </w:tc>
        <w:tc>
          <w:tcPr>
            <w:tcW w:w="1420" w:type="dxa"/>
            <w:vAlign w:val="bottom"/>
          </w:tcPr>
          <w:p>
            <w:pPr>
              <w:ind w:left="1060"/>
              <w:spacing w:after="0"/>
              <w:rPr>
                <w:sz w:val="20"/>
                <w:szCs w:val="20"/>
                <w:color w:val="auto"/>
              </w:rPr>
            </w:pPr>
            <w:r>
              <w:rPr>
                <w:rFonts w:ascii="Arial" w:cs="Arial" w:eastAsia="Arial" w:hAnsi="Arial"/>
                <w:sz w:val="18"/>
                <w:szCs w:val="18"/>
                <w:color w:val="auto"/>
              </w:rPr>
              <w:t>54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315,721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220,590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95,131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43%</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expense increased by $14.2 million, or 24%, during the six months ended June 30, 2015 compared to the same period last year primarily due to an increase of $7.9 million in personnel costs and $2.6 million in stock-based compensation expense as a result of increased headcount to support the development of new products and continued enhancements of our existing products. Depreciation expense and other occupancy-related costs increased by $0.8 million and costs of test supplies and prototype materials used in product development increased by $0.4 million. In addition, during the six months ended June 30, 2014, we had a reversal of $1.9 million related to a previously recorded liability for estimated contingent consideration.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Sales and marketing expense increased by $70.4 million, or 50%, during the six months ended June 30, 2015 compared to the same period last year, primarily due to an increase of $40.0 million in personnel costs and $9.1 million in stock-based compensation expense as we continued to increase our sales headcount in order to drive continued market share gains globally. Marketing-related expense increased by $8.6 million as we invested significantly in marketing programs to capture market share, particularly in the large enterprise market, including costs related to trade-shows and lead generation. In addition, depreciation and other occupancy-related expense increased by $3.9 million and travel expense increased by $4.0 million.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 increased by $10.5 million, or 54%, during the six months ended June 30, 2015 compared to the same period last year. Personnel costs, including stock-based compensation expense, increased by $4.7 million, as we continued to increase our headcount in order to support our expanding business. In addition, legal, tax, and other professional fees increased by $2.9 million. We also incurred $1.4 million in expenses related to business process design and reengineering in preparation of the ERP system implementation and $1.3 million of transaction costs related to the Meru acquisition.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20" w:type="dxa"/>
            <w:vAlign w:val="bottom"/>
          </w:tcPr>
          <w:p>
            <w:pPr>
              <w:jc w:val="center"/>
              <w:ind w:left="476"/>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w w:val="87"/>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20" w:type="dxa"/>
            <w:vAlign w:val="bottom"/>
          </w:tcPr>
          <w:p>
            <w:pPr>
              <w:jc w:val="right"/>
              <w:ind w:right="76"/>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655"/>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8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w w:val="93"/>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2,786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134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(1,507)</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(544)</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56</w:t>
            </w:r>
          </w:p>
        </w:tc>
      </w:tr>
    </w:tbl>
    <w:p>
      <w:pPr>
        <w:spacing w:after="0" w:line="31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income increased during the six months ended June 30, 2015 compared to the same period last year due to interest earned on higher invested balances of cash, cash equivalents and investments. The increase in Other expense—net for the six months ended June 30, 2015 when compared to the same period last year, was the result of higher foreign currency exchange losses.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20" w:type="dxa"/>
            <w:vAlign w:val="bottom"/>
          </w:tcPr>
          <w:p>
            <w:pPr>
              <w:jc w:val="center"/>
              <w:ind w:left="496"/>
              <w:spacing w:after="0"/>
              <w:rPr>
                <w:sz w:val="20"/>
                <w:szCs w:val="20"/>
                <w:color w:val="auto"/>
              </w:rPr>
            </w:pPr>
            <w:r>
              <w:rPr>
                <w:rFonts w:ascii="Arial" w:cs="Arial" w:eastAsia="Arial" w:hAnsi="Arial"/>
                <w:sz w:val="16"/>
                <w:szCs w:val="16"/>
                <w:b w:val="1"/>
                <w:bCs w:val="1"/>
                <w:color w:val="auto"/>
                <w:w w:val="87"/>
              </w:rPr>
              <w:t>June 30,</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80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3"/>
              </w:rPr>
              <w:t>2,777</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11,172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(8,395)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Arial" w:cs="Arial" w:eastAsia="Arial" w:hAnsi="Arial"/>
                <w:sz w:val="18"/>
                <w:szCs w:val="18"/>
                <w:color w:val="auto"/>
              </w:rPr>
              <w:t>10%</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effective tax rate was 54% for the six months ended June 30, 2015, compared with an effective tax rate of 44% for the same period last year. The provision for income taxes for the six months ended June 30, 2015 was comprised primarily of U.S. federal and state taxes, other foreign income taxes, foreign withholding taxes, and transfer pricing allocations which impact jurisdictional income taxed at various tax rates. During the six months ended June 30, 2015, there were additional unrecognized tax benefits and non-deductible stock-based compensation expense that adversely impacted the effective tax rate.</w:t>
      </w:r>
    </w:p>
    <w:p>
      <w:pPr>
        <w:sectPr>
          <w:pgSz w:w="11900" w:h="16838" w:orient="portrait"/>
          <w:cols w:equalWidth="0" w:num="1">
            <w:col w:w="11420"/>
          </w:cols>
          <w:pgMar w:left="240" w:top="121"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cash equivalents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provided by (used in) 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4"/>
              </w:rPr>
              <w:t>As of</w:t>
            </w:r>
          </w:p>
        </w:tc>
        <w:tc>
          <w:tcPr>
            <w:tcW w:w="1600" w:type="dxa"/>
            <w:vAlign w:val="bottom"/>
          </w:tcPr>
          <w:p>
            <w:pPr>
              <w:spacing w:after="0"/>
              <w:rPr>
                <w:sz w:val="18"/>
                <w:szCs w:val="18"/>
                <w:color w:val="auto"/>
              </w:rPr>
            </w:pPr>
          </w:p>
        </w:tc>
      </w:tr>
      <w:tr>
        <w:trPr>
          <w:trHeight w:val="33"/>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240" w:type="dxa"/>
            <w:vAlign w:val="bottom"/>
          </w:tcPr>
          <w:p>
            <w:pPr>
              <w:spacing w:after="0"/>
              <w:rPr>
                <w:sz w:val="20"/>
                <w:szCs w:val="20"/>
                <w:color w:val="auto"/>
              </w:rPr>
            </w:pPr>
          </w:p>
        </w:tc>
        <w:tc>
          <w:tcPr>
            <w:tcW w:w="138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June 30, 2015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2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340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88"/>
              </w:rPr>
              <w:t>(in thousands)</w:t>
            </w:r>
          </w:p>
        </w:tc>
      </w:tr>
      <w:tr>
        <w:trPr>
          <w:trHeight w:val="276"/>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481,393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283,254</w:t>
            </w:r>
          </w:p>
        </w:tc>
      </w:tr>
      <w:tr>
        <w:trPr>
          <w:trHeight w:val="270"/>
        </w:trPr>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666,978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708,490</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1,148,371</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991,744</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48"/>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630,211</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550,409</w:t>
            </w:r>
          </w:p>
        </w:tc>
      </w:tr>
      <w:tr>
        <w:trPr>
          <w:trHeight w:val="27"/>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704"/>
        </w:trPr>
        <w:tc>
          <w:tcPr>
            <w:tcW w:w="240" w:type="dxa"/>
            <w:vAlign w:val="bottom"/>
          </w:tcPr>
          <w:p>
            <w:pPr>
              <w:spacing w:after="0"/>
              <w:rPr>
                <w:sz w:val="24"/>
                <w:szCs w:val="24"/>
                <w:color w:val="auto"/>
              </w:rPr>
            </w:pPr>
          </w:p>
        </w:tc>
        <w:tc>
          <w:tcPr>
            <w:tcW w:w="340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90"/>
              </w:rPr>
              <w:t>Six Months Ended</w:t>
            </w:r>
          </w:p>
        </w:tc>
      </w:tr>
      <w:tr>
        <w:trPr>
          <w:trHeight w:val="33"/>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240" w:type="dxa"/>
            <w:vAlign w:val="bottom"/>
          </w:tcPr>
          <w:p>
            <w:pPr>
              <w:spacing w:after="0"/>
              <w:rPr>
                <w:sz w:val="18"/>
                <w:szCs w:val="18"/>
                <w:color w:val="auto"/>
              </w:rPr>
            </w:pPr>
          </w:p>
        </w:tc>
        <w:tc>
          <w:tcPr>
            <w:tcW w:w="138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72"/>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240" w:type="dxa"/>
            <w:vAlign w:val="bottom"/>
          </w:tcPr>
          <w:p>
            <w:pPr>
              <w:spacing w:after="0"/>
              <w:rPr>
                <w:sz w:val="18"/>
                <w:szCs w:val="18"/>
                <w:color w:val="auto"/>
              </w:rPr>
            </w:pPr>
          </w:p>
        </w:tc>
        <w:tc>
          <w:tcPr>
            <w:tcW w:w="13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2015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32"/>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2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340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88"/>
              </w:rPr>
              <w:t>(in thousands)</w:t>
            </w:r>
          </w:p>
        </w:tc>
      </w:tr>
      <w:tr>
        <w:trPr>
          <w:trHeight w:val="276"/>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148,924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104,700</w:t>
            </w:r>
          </w:p>
        </w:tc>
      </w:tr>
      <w:tr>
        <w:trPr>
          <w:trHeight w:val="270"/>
        </w:trPr>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17,930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(8,299)</w:t>
            </w:r>
          </w:p>
        </w:tc>
      </w:tr>
      <w:tr>
        <w:trPr>
          <w:trHeight w:val="270"/>
        </w:trPr>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70"/>
        </w:trPr>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198,139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88,074</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acquisitions, capital expenditures, stock repurchases, proceeds associated with stock option exercises and issuances of common stock under the ESPP, payment of taxes in connection with the net settlement of equity awards, and investments in strategic relationships that we have made or may make in the future. As of June 30, 2015, $122.5 million remains available for future share repurchases under our stock repurchase program (“Program”), which will be financed through our available working capital. In recent years, we have received significant capital resources as a result of exercises of stock options and purchases under our ESPP. We expect proceeds in future years to be impacted by our share price and the changing mix of stock options and RSUs granted. We expect to spend $35.0 million to $45.0 million in capital expenditures primarily related to expansion of our offices to support worldwide growth, as well as the implementation of our ERP system.</w:t>
      </w:r>
    </w:p>
    <w:p>
      <w:pPr>
        <w:spacing w:after="0" w:line="16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As of June 30, 2015, our cash, cash equivalents, and investments of $1.15 billion were invested primarily in corporate debt securities, commercial paper, municipal bonds, certificates of deposit and term deposits, money market funds, and U.S. government and agency debt securities.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June 30, 2015, $317.7 million of our cash and investments were held by our international subsidiaries and are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expand our offices to support growth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adjusted for non-cash items, and changes in operating assets and liabilities. Non-cash adjustments consisted primarily of stock-based compensation expense, depreciation of property and equipment, amortization of intangible assets, and amortization of investment premiums.</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Our operating activities during the six months ended June 30, 2015 provided $148.9 million in cash as a result of our continued growth in billings, profitability, and the ability to successfully manage our working capital. The primary sources of cash from operating activities during the six months ended June 30, 2015 consisted of net income of $2.4 million increased by non-cash adjustments of $59.7 million and changes in operating assets and liabilities of $86.9 million. Changes in operating assets and liabilities primarily resulted from an increase in payments received from customers, partially offset by an increase in payments to vendors and an increase in prepayment of certain expenses.</w:t>
      </w:r>
    </w:p>
    <w:p>
      <w:pPr>
        <w:spacing w:after="0" w:line="1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operating activities during the six months ended June 30, 2014, provided $104.7 million in cash as a result of our growth in billings, profitability, and the ability to successfully manage our working capital. The primary sources of cash from operating activities during the six months ended June 30, 2014 consisted of net income of $14.5 million increased by non-cash adjustments of $44.4 million and changes in operating assets and liabilities of $45.8 million. During the six months ended June 30, 2014, we received $20.0 million pursuant to a six year mutual covenant-not-to-sue and release agreement with Palo Alto Networks, Inc. Changes in operating assets and liabilities primarily resulted from an increase in payments received from customers and a receipt of cash related to the mutual covenant-not-to-sue and release agreement, partially offset by payment of income taxes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six months ended June 30, 2015, cash provided by investing activities was a result of positive cash flow due to sales and maturities, net of purchases, from our investments of $33.6 million, partially offset by capital expenditures of $15.7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six months ended June 30, 2014, cash used by investing activities was primarily due to capital expenditures of $21.0 million, partially offset by positive cash flow due to sales and maturities, net of purchases, from our investments of $12.7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and repurchase and retirement of common stock.</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six months ended June 30, 2015, cash provided by financing activities was $31.3 million as a result of proceeds of $42.6 million from the issuance of common stock under our stock plans. This cash inflow was partially offset by $11.4 million related to withholding taxes paid upon the issuance of RSUs.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six months ended June 30, 2014, we used $27.2 million to repurchase and retire our common stock and $5.5 million to pay withholding taxes upon issuance of RSUs. These cash outflows were partially offset by proceeds of $22.5 million from the issuance of common stock under our stock plans, as well as excess tax benefit from employee stock-based compensation expense of $2.4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have been no material changes outside the ordinary course of business during the six months ended June 30, 2015 to the contractual obligations and commitments disclosed in Management’s Discussion and Analysis of Financial Condition and Results of Operations, set forth in Part II, Item 7, of the Form 10-K. See Note 8 to the notes to the condensed consolidated financial statements included in Part I, Item 1 of this Form 10-Q for additional information regarding contractual obligations and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of June 30,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2015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June 30, 2015.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Based on that evaluation, our CEO and CFO concluded that our disclosure controls and procedures were effective as of June 30, 2015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six months ended June 30,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121" w:right="4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2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1" w:right="29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81" w:lineRule="exact"/>
        <w:rPr>
          <w:rFonts w:ascii="Arial" w:cs="Arial" w:eastAsia="Arial" w:hAnsi="Arial"/>
          <w:sz w:val="18"/>
          <w:szCs w:val="18"/>
          <w:color w:val="auto"/>
        </w:rPr>
      </w:pPr>
    </w:p>
    <w:p>
      <w:pPr>
        <w:ind w:left="1300" w:right="7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18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right="5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such as with respect to privacy, information security, export, environmental, and accounting.</w:t>
      </w:r>
    </w:p>
    <w:p>
      <w:pPr>
        <w:spacing w:after="0" w:line="3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2"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will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but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subscriptions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tax laws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 important part of our growth strategy is to increase sales of our products to large enterprises, service providers and government organizations. While we have increased sales to service providers and large enterprises in recent periods, we have experienced less traction selling to certain government organizations and there can be no assurance that we will be successful selling to these customers. Sales to large enterprises, service providers and government organizations involve risks that may not be present (or that are present to a lesser extent) with sales to small-to-mid-sized entities. These risks include: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enterprises,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large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enterprises, service providers and government organizations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31%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based on trade compliance requirements, or any shipment delays based on labor disputes at shipping ports or otherwise, our billings and revenue for that quarter could fall below our expectations or those of securities analysts and investors, resulting in a decline in our stock price.</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recently been increasing our investments in sales and marketing, it is not clear that these investments will continue to result in increased revenue. If our investments in additional sales personnel or if our marketing programs are not successful in continuing to create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market awareness of our company and products, our business, financial condition and results of operations will be adversely affected, and we will not be able to achieve sustained growth.</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June 30, 2015 and June 30, 2014, Exclusive Networks Group, which distributed our solutions to a large group of resellers and end-customers, accounted for 17% and 14% of our total revenue. During the six months ended June 30, 2015 and June 30, 2014, Exclusive Networks Group accounted for 17% and 14%,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5" w:lineRule="exact"/>
        <w:rPr>
          <w:sz w:val="20"/>
          <w:szCs w:val="20"/>
          <w:color w:val="auto"/>
        </w:rPr>
      </w:pPr>
    </w:p>
    <w:p>
      <w:pPr>
        <w:ind w:right="30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47" w:lineRule="exact"/>
        <w:rPr>
          <w:sz w:val="20"/>
          <w:szCs w:val="20"/>
          <w:color w:val="auto"/>
        </w:rPr>
      </w:pPr>
    </w:p>
    <w:p>
      <w:pPr>
        <w:ind w:left="1300" w:right="3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our new enterprise resource planning system.</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purchased a new enterprise resource planning system (“ERP”) and are currently implementing the new system. ERP implementations are complex and time-consuming and involve substantial expenditures on system software and implementation activities. Our ERP system is critical to our ability to accurately maintain books and records, record transactions, provide important information to our management and prepare our consolidated financial statements.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of the new ERP system has required, and will continue to require, the investment of significant financial and human resources and may be subject to delays and cost overruns. In addition, we may not be able to successfully complete the implementation of the new ERP system without experiencing difficulties. Any disruptions, delays or deficiencies in the design and implementation of the new ERP system could adversely affect our ability to process orders, ship products, provide services and customer support, send invoices and track payments,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fulfill contractual obligations or otherwise operate our business. Additionally, if we do not effectively implement the ERP system as planned or the system does not operate as intended, the effectiveness of our internal control over financial reporting could be adversely affected or our ability to assess it adequately could be delayed.</w:t>
      </w:r>
    </w:p>
    <w:p>
      <w:pPr>
        <w:spacing w:after="0" w:line="3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8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that we will win a sale.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All of our sales to government organizations have been made indirectly through our distribution channel.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manufactured in the United States and other high cost manufacturing locations, and we may not manufacture all products in locations that meet the requirements of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Increasingly, companies are subject to a wide variety of attacks on their networks and websites.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disclose information in order to gain access to our network. We cannot assure you that the measures we have taken to protect our network and website will provide absolute security. Moreover, because we provide network security products, we may be a more attractive target for attacks by computer hackers. Although we have not experienced significant damages from unauthorized access by a third party of our internal network or website, if an actual or perceived breach of network security occurs in our internal systems or website it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7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we hold a significant portion of our cash and investments outside of the United States. Potential legislation could result in us transferring this cash and investments back to the United States, and potentially incurring an additional tax obligation.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For example, we recently closed our acquisition of Meru for approximately $44.0 million. For any past acquisition or possible future acquisition,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including our acquisition of Meru, may be dilutive to revenue growth and earnings and may not result in any synergies or other benefits we had expected to achieve, which could result in impairment charges that could be substantial. For example, in the second quarter of 2014, we recognized an impairment charge of $2.4 million for intangible assets from our acquisition of Coyote Point Systems, Inc.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significant expenses. The occurrence of any such problems could harm our business, financial condition and results of operations.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significant natural disaster, such as an earthquake, fire, power outages, floods, or other catastrophic events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6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significant research, development, marketing, sales and other expenses we incurred in connection with the new product or enhancement.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 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Blue Coat, Check Point, Cisco/SourceFire, Dell/SonicWall, F5 Networks, FireEye, Intel/McAfee, Juniper, Palo Alto Networks, Sophos, and others.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example, we may be required to pay substantial damages and could be prevented from selling certain of our products. Litigation, with or without merit, could negatively impact our business, reputation, and sales in a material fashion.</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2014, our internal controls over financial reporting were effective, we cannot predict the outcome of our testing in 2015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and other factors such as rumors or fluctuations in the valuation of companies perceived by investors to be comparable to us or announcements regarding the Program and the timing and amount of shares we purchase under the Program. For example, during the three months ended June 30, 2015, the closing price of our common stock ranged from $33.72 to $43.74.</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June 30, 2015, there were no shares repurchased under the Program. As of June 30, 2015, $122.5 million remains available for future share repurchases under the Program.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122" w:right="5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35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4920"/>
        <w:spacing w:after="0"/>
        <w:tabs>
          <w:tab w:leader="none" w:pos="7340" w:val="left"/>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730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7" w:lineRule="exact"/>
        <w:rPr>
          <w:sz w:val="20"/>
          <w:szCs w:val="20"/>
          <w:color w:val="auto"/>
        </w:rPr>
      </w:pPr>
    </w:p>
    <w:p>
      <w:pPr>
        <w:jc w:val="center"/>
        <w:ind w:left="536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536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250" w:lineRule="exact"/>
        <w:rPr>
          <w:sz w:val="20"/>
          <w:szCs w:val="20"/>
          <w:color w:val="auto"/>
        </w:rPr>
      </w:pPr>
    </w:p>
    <w:p>
      <w:pPr>
        <w:ind w:left="4920"/>
        <w:spacing w:after="0"/>
        <w:tabs>
          <w:tab w:leader="none" w:pos="7620" w:val="left"/>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730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7" w:lineRule="exact"/>
        <w:rPr>
          <w:sz w:val="20"/>
          <w:szCs w:val="20"/>
          <w:color w:val="auto"/>
        </w:rPr>
      </w:pPr>
    </w:p>
    <w:p>
      <w:pPr>
        <w:jc w:val="center"/>
        <w:ind w:left="536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536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240" w:top="122" w:right="71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22" w:right="1440"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000" w:type="dxa"/>
            <w:vAlign w:val="bottom"/>
          </w:tcPr>
          <w:p>
            <w:pPr>
              <w:ind w:left="164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4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4"/>
              </w:rPr>
              <w:t>Agreement and Plan of Merger, dated May 27, 2015, by and among</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Fortinet, Inc., Malbrouck Acquisition Corp. and Meru Networks,</w:t>
            </w: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Inc.</w:t>
            </w:r>
          </w:p>
        </w:tc>
      </w:tr>
      <w:tr>
        <w:trPr>
          <w:trHeight w:val="452"/>
        </w:trPr>
        <w:tc>
          <w:tcPr>
            <w:tcW w:w="142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w w:val="96"/>
              </w:rPr>
              <w:t>Form of Change of Control Agreement between the Company and</w:t>
            </w: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its Directors</w:t>
            </w:r>
          </w:p>
        </w:tc>
      </w:tr>
      <w:tr>
        <w:trPr>
          <w:trHeight w:val="439"/>
        </w:trPr>
        <w:tc>
          <w:tcPr>
            <w:tcW w:w="142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w w:val="99"/>
              </w:rPr>
              <w:t>Certification of Chief Executive Officer pursuant to Exchange Act</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2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Exchange Act</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2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Certifications of Chief Executive Officer and Chief Financial</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Arial" w:cs="Arial" w:eastAsia="Arial" w:hAnsi="Arial"/>
                <w:sz w:val="14"/>
                <w:szCs w:val="14"/>
                <w:color w:val="auto"/>
                <w:w w:val="95"/>
              </w:rPr>
              <w:t>Officer pursuant to 18 U.S.C. Section 1350, as adopted pursuant to</w:t>
            </w: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Section 906 of the Sarbanes-Oxley Act of 2002</w:t>
            </w:r>
          </w:p>
        </w:tc>
      </w:tr>
      <w:tr>
        <w:trPr>
          <w:trHeight w:val="32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0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00" w:type="dxa"/>
            <w:vAlign w:val="bottom"/>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0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0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00" w:type="dxa"/>
            <w:vAlign w:val="bottom"/>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00" w:type="dxa"/>
            <w:vAlign w:val="bottom"/>
          </w:tcPr>
          <w:p>
            <w:pPr>
              <w:ind w:left="20"/>
              <w:spacing w:after="0"/>
              <w:rPr>
                <w:sz w:val="20"/>
                <w:szCs w:val="20"/>
                <w:color w:val="auto"/>
              </w:rPr>
            </w:pPr>
            <w:r>
              <w:rPr>
                <w:rFonts w:ascii="Arial" w:cs="Arial" w:eastAsia="Arial" w:hAnsi="Arial"/>
                <w:sz w:val="14"/>
                <w:szCs w:val="14"/>
                <w:color w:val="auto"/>
              </w:rPr>
              <w:t>XBRL Instance Document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787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3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Exhibit Number</w:t>
            </w:r>
          </w:p>
        </w:tc>
      </w:tr>
      <w:tr>
        <w:trPr>
          <w:trHeight w:val="156"/>
        </w:trPr>
        <w:tc>
          <w:tcPr>
            <w:tcW w:w="15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Current Report on</w:t>
            </w:r>
          </w:p>
        </w:tc>
        <w:tc>
          <w:tcPr>
            <w:tcW w:w="15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July 8, 2015</w:t>
            </w:r>
          </w:p>
        </w:tc>
        <w:tc>
          <w:tcPr>
            <w:tcW w:w="1380" w:type="dxa"/>
            <w:vAlign w:val="bottom"/>
          </w:tcPr>
          <w:p>
            <w:pPr>
              <w:jc w:val="right"/>
              <w:ind w:right="8"/>
              <w:spacing w:after="0" w:line="157" w:lineRule="exact"/>
              <w:rPr>
                <w:sz w:val="20"/>
                <w:szCs w:val="20"/>
                <w:color w:val="auto"/>
              </w:rPr>
            </w:pPr>
            <w:r>
              <w:rPr>
                <w:rFonts w:ascii="Arial" w:cs="Arial" w:eastAsia="Arial" w:hAnsi="Arial"/>
                <w:sz w:val="14"/>
                <w:szCs w:val="14"/>
                <w:color w:val="auto"/>
              </w:rPr>
              <w:t>2.1</w:t>
            </w:r>
          </w:p>
        </w:tc>
      </w:tr>
      <w:tr>
        <w:trPr>
          <w:trHeight w:val="149"/>
        </w:trPr>
        <w:tc>
          <w:tcPr>
            <w:tcW w:w="1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Form 8-K (File No.</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2"/>
        </w:trPr>
        <w:tc>
          <w:tcPr>
            <w:tcW w:w="1400" w:type="dxa"/>
            <w:vAlign w:val="bottom"/>
          </w:tcPr>
          <w:p>
            <w:pPr>
              <w:ind w:left="20"/>
              <w:spacing w:after="0"/>
              <w:rPr>
                <w:sz w:val="20"/>
                <w:szCs w:val="20"/>
                <w:color w:val="auto"/>
              </w:rPr>
            </w:pPr>
            <w:r>
              <w:rPr>
                <w:rFonts w:ascii="Arial" w:cs="Arial" w:eastAsia="Arial" w:hAnsi="Arial"/>
                <w:sz w:val="14"/>
                <w:szCs w:val="14"/>
                <w:color w:val="auto"/>
              </w:rPr>
              <w:t>001-34511)</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5561" w:lineRule="exact"/>
        <w:rPr>
          <w:sz w:val="20"/>
          <w:szCs w:val="20"/>
          <w:color w:val="auto"/>
        </w:rPr>
      </w:pPr>
    </w:p>
    <w:p>
      <w:pPr>
        <w:sectPr>
          <w:pgSz w:w="11900" w:h="16838" w:orient="portrait"/>
          <w:cols w:equalWidth="0" w:num="2">
            <w:col w:w="5540" w:space="100"/>
            <w:col w:w="457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219"/>
          </w:cols>
          <w:pgMar w:left="240" w:top="122" w:right="1440"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FORTINET,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OF CONTROL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Change of Control Agreement (the “Agreement”) is made and entered into by and between _____________________ (“Outside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Director”) and Fortinet, Inc. (the “Company”), effective as of __________ _____, 2015 (the “Effective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6" w:lineRule="exact"/>
        <w:rPr>
          <w:sz w:val="20"/>
          <w:szCs w:val="20"/>
          <w:color w:val="auto"/>
        </w:rPr>
      </w:pPr>
    </w:p>
    <w:p>
      <w:pPr>
        <w:ind w:right="80" w:firstLine="656"/>
        <w:spacing w:after="0" w:line="271" w:lineRule="auto"/>
        <w:tabs>
          <w:tab w:leader="none" w:pos="1431" w:val="left"/>
        </w:tabs>
        <w:numPr>
          <w:ilvl w:val="0"/>
          <w:numId w:val="21"/>
        </w:numPr>
        <w:rPr>
          <w:rFonts w:ascii="Arial" w:cs="Arial" w:eastAsia="Arial" w:hAnsi="Arial"/>
          <w:sz w:val="18"/>
          <w:szCs w:val="18"/>
          <w:color w:val="auto"/>
        </w:rPr>
      </w:pPr>
      <w:r>
        <w:rPr>
          <w:rFonts w:ascii="Arial" w:cs="Arial" w:eastAsia="Arial" w:hAnsi="Arial"/>
          <w:sz w:val="20"/>
          <w:szCs w:val="20"/>
          <w:color w:val="auto"/>
        </w:rPr>
        <w:t>It is expected that the Company from time to time will consider the possibility of an acquisition by another company or other change of control. The Board of Directors of the Company (the “Board”) recognizes that such consideration can be a distraction to Outside Director and has determined that it is in the best interests of the Company and its stockholders to assure that the Company will have the continued dedication and objectivity of Outside Director, notwithstanding the possibility, threat or occurrence of a Change of Control (as defined herein) of the Company.</w:t>
      </w:r>
    </w:p>
    <w:p>
      <w:pPr>
        <w:spacing w:after="0" w:line="206" w:lineRule="exact"/>
        <w:rPr>
          <w:rFonts w:ascii="Arial" w:cs="Arial" w:eastAsia="Arial" w:hAnsi="Arial"/>
          <w:sz w:val="18"/>
          <w:szCs w:val="18"/>
          <w:color w:val="auto"/>
        </w:rPr>
      </w:pPr>
    </w:p>
    <w:p>
      <w:pPr>
        <w:jc w:val="both"/>
        <w:ind w:right="360" w:firstLine="656"/>
        <w:spacing w:after="0" w:line="347" w:lineRule="auto"/>
        <w:tabs>
          <w:tab w:leader="none" w:pos="1431"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Board believes that it is in the best interests of the Company and its stockholders to provide Outside Director with an incentive to motivate Outside Director to maximize the value of the Company upon a Change of Control for the benefit of its stockholders.</w:t>
      </w:r>
    </w:p>
    <w:p>
      <w:pPr>
        <w:spacing w:after="0" w:line="144" w:lineRule="exact"/>
        <w:rPr>
          <w:rFonts w:ascii="Arial" w:cs="Arial" w:eastAsia="Arial" w:hAnsi="Arial"/>
          <w:sz w:val="16"/>
          <w:szCs w:val="16"/>
          <w:color w:val="auto"/>
        </w:rPr>
      </w:pPr>
    </w:p>
    <w:p>
      <w:pPr>
        <w:ind w:right="280" w:firstLine="656"/>
        <w:spacing w:after="0" w:line="316" w:lineRule="auto"/>
        <w:tabs>
          <w:tab w:leader="none" w:pos="1431" w:val="left"/>
        </w:tabs>
        <w:numPr>
          <w:ilvl w:val="0"/>
          <w:numId w:val="21"/>
        </w:numPr>
        <w:rPr>
          <w:rFonts w:ascii="Arial" w:cs="Arial" w:eastAsia="Arial" w:hAnsi="Arial"/>
          <w:sz w:val="17"/>
          <w:szCs w:val="17"/>
          <w:color w:val="auto"/>
        </w:rPr>
      </w:pPr>
      <w:r>
        <w:rPr>
          <w:rFonts w:ascii="Arial" w:cs="Arial" w:eastAsia="Arial" w:hAnsi="Arial"/>
          <w:sz w:val="19"/>
          <w:szCs w:val="19"/>
          <w:color w:val="auto"/>
        </w:rPr>
        <w:t>The Board believes that it is imperative to provide Outside Director with certain benefits upon a Change of Control. These benefits will provide Outside Director with enhanced financial incentive and encouragement to remain with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in consideration of the mutual covenants contained herein, the parties hereto agree as follows:</w:t>
      </w:r>
    </w:p>
    <w:p>
      <w:pPr>
        <w:spacing w:after="0" w:line="16" w:lineRule="exact"/>
        <w:rPr>
          <w:sz w:val="20"/>
          <w:szCs w:val="20"/>
          <w:color w:val="auto"/>
        </w:rPr>
      </w:pPr>
    </w:p>
    <w:p>
      <w:pPr>
        <w:jc w:val="both"/>
        <w:ind w:right="240" w:firstLine="656"/>
        <w:spacing w:after="0" w:line="260" w:lineRule="auto"/>
        <w:tabs>
          <w:tab w:leader="none" w:pos="99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will terminate upon earlier to occur of: (1) the date that Outside Director resigns from, was removed from, or fails to be reelected to, the Board, in each case, not in connection with a Change of Control (as defined below); and (2) the date that all of the obligations of the parties hereto with respect to this Agreement have been satisfied.</w:t>
      </w:r>
    </w:p>
    <w:p>
      <w:pPr>
        <w:spacing w:after="0" w:line="192" w:lineRule="exact"/>
        <w:rPr>
          <w:rFonts w:ascii="Arial" w:cs="Arial" w:eastAsia="Arial" w:hAnsi="Arial"/>
          <w:sz w:val="19"/>
          <w:szCs w:val="19"/>
          <w:color w:val="auto"/>
        </w:rPr>
      </w:pPr>
    </w:p>
    <w:p>
      <w:pPr>
        <w:ind w:left="1000" w:hanging="344"/>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Benefits upon a Change of Control</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120" w:firstLine="1305"/>
        <w:spacing w:after="0" w:line="271" w:lineRule="auto"/>
        <w:tabs>
          <w:tab w:leader="none" w:pos="2144" w:val="left"/>
        </w:tabs>
        <w:numPr>
          <w:ilvl w:val="1"/>
          <w:numId w:val="22"/>
        </w:numPr>
        <w:rPr>
          <w:rFonts w:ascii="Arial" w:cs="Arial" w:eastAsia="Arial" w:hAnsi="Arial"/>
          <w:sz w:val="18"/>
          <w:szCs w:val="18"/>
          <w:color w:val="auto"/>
        </w:rPr>
      </w:pPr>
      <w:r>
        <w:rPr>
          <w:rFonts w:ascii="Arial" w:cs="Arial" w:eastAsia="Arial" w:hAnsi="Arial"/>
          <w:sz w:val="20"/>
          <w:szCs w:val="20"/>
          <w:u w:val="single" w:color="auto"/>
          <w:color w:val="auto"/>
        </w:rPr>
        <w:t>Equity Awards</w:t>
      </w:r>
      <w:r>
        <w:rPr>
          <w:rFonts w:ascii="Arial" w:cs="Arial" w:eastAsia="Arial" w:hAnsi="Arial"/>
          <w:sz w:val="20"/>
          <w:szCs w:val="20"/>
          <w:color w:val="auto"/>
        </w:rPr>
        <w:t>. If Outside Director holds unvested equity awards (“Awards”) at the time of a Change of Control, then one hundred percent (100%) of the then-unvested shares subject to such Awards will vest immediately prior to the consummation of a Change of Control. For the sake of clarity, Outside Director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w:t>
      </w:r>
    </w:p>
    <w:p>
      <w:pPr>
        <w:spacing w:after="0" w:line="207" w:lineRule="exact"/>
        <w:rPr>
          <w:rFonts w:ascii="Arial" w:cs="Arial" w:eastAsia="Arial" w:hAnsi="Arial"/>
          <w:sz w:val="18"/>
          <w:szCs w:val="18"/>
          <w:color w:val="auto"/>
        </w:rPr>
      </w:pPr>
    </w:p>
    <w:p>
      <w:pPr>
        <w:ind w:left="2160" w:hanging="855"/>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For purposes of this Agreement, “Change of Control” of the Company is defined as:</w:t>
      </w:r>
    </w:p>
    <w:p>
      <w:pPr>
        <w:spacing w:after="0" w:line="26" w:lineRule="exact"/>
        <w:rPr>
          <w:rFonts w:ascii="Arial" w:cs="Arial" w:eastAsia="Arial" w:hAnsi="Arial"/>
          <w:sz w:val="18"/>
          <w:szCs w:val="18"/>
          <w:color w:val="auto"/>
        </w:rPr>
      </w:pPr>
    </w:p>
    <w:p>
      <w:pPr>
        <w:ind w:right="60" w:firstLine="1953"/>
        <w:spacing w:after="0" w:line="310" w:lineRule="auto"/>
        <w:tabs>
          <w:tab w:leader="none" w:pos="2763" w:val="left"/>
        </w:tabs>
        <w:numPr>
          <w:ilvl w:val="2"/>
          <w:numId w:val="22"/>
        </w:numPr>
        <w:rPr>
          <w:rFonts w:ascii="Arial" w:cs="Arial" w:eastAsia="Arial" w:hAnsi="Arial"/>
          <w:sz w:val="16"/>
          <w:szCs w:val="16"/>
          <w:color w:val="auto"/>
        </w:rPr>
      </w:pPr>
      <w:r>
        <w:rPr>
          <w:rFonts w:ascii="Arial" w:cs="Arial" w:eastAsia="Arial" w:hAnsi="Arial"/>
          <w:sz w:val="18"/>
          <w:szCs w:val="18"/>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 Securities”); provided, however, that for purposes of this subsection (i), the acquisition of additional</w:t>
      </w:r>
    </w:p>
    <w:p>
      <w:pPr>
        <w:sectPr>
          <w:pgSz w:w="11900" w:h="16838" w:orient="portrait"/>
          <w:cols w:equalWidth="0" w:num="1">
            <w:col w:w="11420"/>
          </w:cols>
          <w:pgMar w:left="240" w:top="580" w:right="239" w:bottom="1440" w:gutter="0" w:footer="0" w:header="0"/>
        </w:sectPr>
      </w:pPr>
    </w:p>
    <w:bookmarkStart w:id="62" w:name="page63"/>
    <w:bookmarkEnd w:id="62"/>
    <w:p>
      <w:pPr>
        <w:ind w:right="760"/>
        <w:spacing w:after="0" w:line="289" w:lineRule="auto"/>
        <w:rPr>
          <w:sz w:val="20"/>
          <w:szCs w:val="20"/>
          <w:color w:val="auto"/>
        </w:rPr>
      </w:pPr>
      <w:r>
        <w:rPr>
          <w:rFonts w:ascii="Arial" w:cs="Arial" w:eastAsia="Arial" w:hAnsi="Arial"/>
          <w:sz w:val="20"/>
          <w:szCs w:val="20"/>
          <w:color w:val="auto"/>
        </w:rPr>
        <w:t>securities by any one Person, who is considered to own more than fifty percent (50%) of the total voting power of the securities of the Company shall not be considered a Change of Control;</w:t>
      </w:r>
    </w:p>
    <w:p>
      <w:pPr>
        <w:spacing w:after="0" w:line="189" w:lineRule="exact"/>
        <w:rPr>
          <w:sz w:val="20"/>
          <w:szCs w:val="20"/>
          <w:color w:val="auto"/>
        </w:rPr>
      </w:pPr>
    </w:p>
    <w:p>
      <w:pPr>
        <w:ind w:right="20" w:firstLine="1953"/>
        <w:spacing w:after="0" w:line="272" w:lineRule="auto"/>
        <w:tabs>
          <w:tab w:leader="none" w:pos="2813" w:val="left"/>
        </w:tabs>
        <w:numPr>
          <w:ilvl w:val="1"/>
          <w:numId w:val="23"/>
        </w:numPr>
        <w:rPr>
          <w:rFonts w:ascii="Arial" w:cs="Arial" w:eastAsia="Arial" w:hAnsi="Arial"/>
          <w:sz w:val="18"/>
          <w:szCs w:val="18"/>
          <w:color w:val="auto"/>
        </w:rPr>
      </w:pPr>
      <w:r>
        <w:rPr>
          <w:rFonts w:ascii="Arial" w:cs="Arial" w:eastAsia="Arial" w:hAnsi="Arial"/>
          <w:sz w:val="20"/>
          <w:szCs w:val="20"/>
          <w:color w:val="auto"/>
        </w:rPr>
        <w:t>a change in the composition of the Board occurring within a twelve (12) month period, as a result of which fewer than a majority of the Outside Directors are Incumbent Outside Directors. “Incumbent Outside Directors” will mean Outside Directors who either (A) are Outside Directors of the Company as of the date hereof, or (B) are elected, or nominated for election, to the Board with the affirmative votes of at least a majority of the Incumbent Outside Directors at the time of such election or nomination (but will not include an individual whose election or nomination is in connection with an actual or threatened proxy contest relating to the election of Outside Directors to the Company);</w:t>
      </w:r>
    </w:p>
    <w:p>
      <w:pPr>
        <w:spacing w:after="0" w:line="205" w:lineRule="exact"/>
        <w:rPr>
          <w:rFonts w:ascii="Arial" w:cs="Arial" w:eastAsia="Arial" w:hAnsi="Arial"/>
          <w:sz w:val="18"/>
          <w:szCs w:val="18"/>
          <w:color w:val="auto"/>
        </w:rPr>
      </w:pPr>
    </w:p>
    <w:p>
      <w:pPr>
        <w:ind w:right="60" w:firstLine="1953"/>
        <w:spacing w:after="0" w:line="272" w:lineRule="auto"/>
        <w:tabs>
          <w:tab w:leader="none" w:pos="2863" w:val="left"/>
        </w:tabs>
        <w:numPr>
          <w:ilvl w:val="1"/>
          <w:numId w:val="23"/>
        </w:numPr>
        <w:rPr>
          <w:rFonts w:ascii="Arial" w:cs="Arial" w:eastAsia="Arial" w:hAnsi="Arial"/>
          <w:sz w:val="18"/>
          <w:szCs w:val="18"/>
          <w:color w:val="auto"/>
        </w:rPr>
      </w:pPr>
      <w:r>
        <w:rPr>
          <w:rFonts w:ascii="Arial" w:cs="Arial" w:eastAsia="Arial" w:hAnsi="Arial"/>
          <w:sz w:val="20"/>
          <w:szCs w:val="20"/>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205" w:lineRule="exact"/>
        <w:rPr>
          <w:rFonts w:ascii="Arial" w:cs="Arial" w:eastAsia="Arial" w:hAnsi="Arial"/>
          <w:sz w:val="18"/>
          <w:szCs w:val="18"/>
          <w:color w:val="auto"/>
        </w:rPr>
      </w:pPr>
    </w:p>
    <w:p>
      <w:pPr>
        <w:ind w:right="120" w:firstLine="1953"/>
        <w:spacing w:after="0" w:line="334" w:lineRule="auto"/>
        <w:tabs>
          <w:tab w:leader="none" w:pos="2853" w:val="left"/>
        </w:tabs>
        <w:numPr>
          <w:ilvl w:val="1"/>
          <w:numId w:val="23"/>
        </w:numPr>
        <w:rPr>
          <w:rFonts w:ascii="Arial" w:cs="Arial" w:eastAsia="Arial" w:hAnsi="Arial"/>
          <w:sz w:val="15"/>
          <w:szCs w:val="15"/>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2(b)(iv),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w:t>
      </w:r>
    </w:p>
    <w:p>
      <w:pPr>
        <w:spacing w:after="0" w:line="4" w:lineRule="exact"/>
        <w:rPr>
          <w:rFonts w:ascii="Arial" w:cs="Arial" w:eastAsia="Arial" w:hAnsi="Arial"/>
          <w:sz w:val="15"/>
          <w:szCs w:val="15"/>
          <w:color w:val="auto"/>
        </w:rPr>
      </w:pPr>
    </w:p>
    <w:p>
      <w:pPr>
        <w:ind w:right="100" w:firstLine="8"/>
        <w:spacing w:after="0" w:line="278" w:lineRule="auto"/>
        <w:tabs>
          <w:tab w:leader="none" w:pos="324"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entity, at least fifty percent (50%) of the total value or voting power of which is owned, directly or indirectly, by a Person described in subsection (C). For purposes of this clause (2),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right="1200" w:firstLine="648"/>
        <w:spacing w:after="0" w:line="260" w:lineRule="auto"/>
        <w:rPr>
          <w:sz w:val="20"/>
          <w:szCs w:val="20"/>
          <w:color w:val="auto"/>
        </w:rPr>
      </w:pPr>
      <w:r>
        <w:rPr>
          <w:rFonts w:ascii="Arial" w:cs="Arial" w:eastAsia="Arial" w:hAnsi="Arial"/>
          <w:sz w:val="20"/>
          <w:szCs w:val="20"/>
          <w:color w:val="auto"/>
        </w:rPr>
        <w:t>Notwithstanding the foregoing, a Company transaction that does not constitute a change in control event under Treasury Regulation 1.409A-3(i)(5)(v) or (vii) shall not be considered a Change of Control.</w:t>
      </w:r>
    </w:p>
    <w:p>
      <w:pPr>
        <w:spacing w:after="0" w:line="204" w:lineRule="exact"/>
        <w:rPr>
          <w:sz w:val="20"/>
          <w:szCs w:val="20"/>
          <w:color w:val="auto"/>
        </w:rPr>
      </w:pPr>
    </w:p>
    <w:p>
      <w:pPr>
        <w:ind w:firstLine="1305"/>
        <w:spacing w:after="0" w:line="343" w:lineRule="auto"/>
        <w:tabs>
          <w:tab w:leader="none" w:pos="2144" w:val="left"/>
        </w:tabs>
        <w:numPr>
          <w:ilvl w:val="0"/>
          <w:numId w:val="25"/>
        </w:numPr>
        <w:rPr>
          <w:rFonts w:ascii="Arial" w:cs="Arial" w:eastAsia="Arial" w:hAnsi="Arial"/>
          <w:sz w:val="15"/>
          <w:szCs w:val="15"/>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provisions of this Agreement are intended to comply with the requirements of Section 409A of the Internal Revenue Code of 1986, as amended (the “Code”) and any final regulations and official guidance promulgated thereunder (“Section 409A”) so that none of the benefits to be provided hereunder will be subject to the additional tax imposed under Section 409A, and any ambiguities herein will be interpreted to so comply. Outside Director and the Company agree to work together in good faith to consider amendments to this Agreement and to take such reasonable actions which are necessary, appropriate or desirable to avoid imposition of any additional tax or income recognition prior to actual payment to Outside Director under Section 409A. To the extent (i) any payments to which Outside Director becomes entitled under this Agreement, or any other agreement or plan with the Company, in connection with Outside Director’s termination of service with the Company constitute deferred compensation subject to Section 409A and (ii) Outside Director is deemed at the time of such termination to be a “specified” employee under Section 409A, then such payment or payments shall not be made or commence until the earlier of (i) the expiration of the six (6)-month period measured from the Outside Director’s termination; or (ii) the date of Outside Director’s death following such termination; provided, however, that such deferral shall only be effected to the extent required to avoid adverse tax treatment to Outside Director. Upon the expiration of the applicable deferral period, any payments which would have otherwise</w:t>
      </w:r>
    </w:p>
    <w:p>
      <w:pPr>
        <w:sectPr>
          <w:pgSz w:w="11900" w:h="16838" w:orient="portrait"/>
          <w:cols w:equalWidth="0" w:num="1">
            <w:col w:w="11380"/>
          </w:cols>
          <w:pgMar w:left="240" w:top="595" w:right="279" w:bottom="1440" w:gutter="0" w:footer="0" w:header="0"/>
        </w:sectPr>
      </w:pPr>
    </w:p>
    <w:bookmarkStart w:id="63" w:name="page64"/>
    <w:bookmarkEnd w:id="63"/>
    <w:p>
      <w:pPr>
        <w:jc w:val="both"/>
        <w:ind w:right="60"/>
        <w:spacing w:after="0" w:line="307" w:lineRule="auto"/>
        <w:rPr>
          <w:sz w:val="20"/>
          <w:szCs w:val="20"/>
          <w:color w:val="auto"/>
        </w:rPr>
      </w:pPr>
      <w:r>
        <w:rPr>
          <w:rFonts w:ascii="Arial" w:cs="Arial" w:eastAsia="Arial" w:hAnsi="Arial"/>
          <w:sz w:val="18"/>
          <w:szCs w:val="18"/>
          <w:color w:val="auto"/>
        </w:rPr>
        <w:t>been made during that period (whether in a single sum or in installments) in the absence of this paragraph shall be paid to Outside Director or Outside Director’s beneficiary in one lump sum (without interest). Any termination of Outside Director’s employment is intended to constitute a “separation from service” as such term is defined in Treasury Regulation Section 1.409A-1.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Plan (or referenced in this Plan) are intended to constitute separate payments for purposes of Section 1.409A-2(b)(2) of the regulations under Section 409A.</w:t>
      </w:r>
    </w:p>
    <w:p>
      <w:pPr>
        <w:spacing w:after="0" w:line="167" w:lineRule="exact"/>
        <w:rPr>
          <w:sz w:val="20"/>
          <w:szCs w:val="20"/>
          <w:color w:val="auto"/>
        </w:rPr>
      </w:pPr>
    </w:p>
    <w:p>
      <w:pPr>
        <w:ind w:right="80" w:firstLine="656"/>
        <w:spacing w:after="0" w:line="246" w:lineRule="auto"/>
        <w:tabs>
          <w:tab w:leader="none" w:pos="995"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Limitation on Payments</w:t>
      </w:r>
      <w:r>
        <w:rPr>
          <w:rFonts w:ascii="Arial" w:cs="Arial" w:eastAsia="Arial" w:hAnsi="Arial"/>
          <w:sz w:val="20"/>
          <w:szCs w:val="20"/>
          <w:color w:val="auto"/>
        </w:rPr>
        <w:t>. In the event that any payment or benefit received or to be received pursuant to this Agreement or otherwise (the “Payments”) (i) constitute “parachute payments” within the meaning of Section 280G of the Code and (ii) but for this Section 3, would be subject to the excise tax imposed by Section 4999 of the Code, any successor provisions, or any comparable federal, state, local or foreign excise tax then Outside Director’s Payments will be either:</w:t>
      </w:r>
    </w:p>
    <w:p>
      <w:pPr>
        <w:spacing w:after="0" w:line="205" w:lineRule="exact"/>
        <w:rPr>
          <w:rFonts w:ascii="Arial" w:cs="Arial" w:eastAsia="Arial" w:hAnsi="Arial"/>
          <w:sz w:val="20"/>
          <w:szCs w:val="20"/>
          <w:color w:val="auto"/>
        </w:rPr>
      </w:pPr>
    </w:p>
    <w:p>
      <w:pPr>
        <w:ind w:left="1720" w:hanging="415"/>
        <w:spacing w:after="0"/>
        <w:tabs>
          <w:tab w:leader="none" w:pos="17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delivered in full, or</w:t>
      </w:r>
    </w:p>
    <w:p>
      <w:pPr>
        <w:spacing w:after="0" w:line="229" w:lineRule="exact"/>
        <w:rPr>
          <w:rFonts w:ascii="Arial" w:cs="Arial" w:eastAsia="Arial" w:hAnsi="Arial"/>
          <w:sz w:val="20"/>
          <w:szCs w:val="20"/>
          <w:color w:val="auto"/>
        </w:rPr>
      </w:pPr>
    </w:p>
    <w:p>
      <w:pPr>
        <w:ind w:right="360" w:firstLine="1305"/>
        <w:spacing w:after="0" w:line="260" w:lineRule="auto"/>
        <w:tabs>
          <w:tab w:leader="none" w:pos="1725"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delivered as to such lesser extent which would result in no portion of such Payments being subject to excise tax under Section 4999 of the Code,</w:t>
      </w:r>
    </w:p>
    <w:p>
      <w:pPr>
        <w:spacing w:after="0" w:line="19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imposed by Section 4999, results in the receipt by Outside Director on an after-tax basis, of the greatest amount of Payments, notwithstanding that all or some portion of such Payments may be taxable under Section 4999 of the Code. Unless the Company and Outside Director otherwise agree in writing, any determination required under this Section 3 will be made in writing by an independent firm designated by the Company immediately prior to Change of Control (the “Firm”), whose determination will be conclusive and binding upon Outside Director and the Company for all purposes. For purposes of making the calculations required by this Section 3, the Firm may make reasonable assumptions and approximations concerning applicable taxes and may rely on reasonable, good faith interpretations concerning the application of Sections 280G and 4999 of the Code. The Company and Outside Director will furnish to the Firm such information and documents as the Firm may reasonably request in order to make a determination under this Section. The Company will bear all costs the Firm may reasonably incur in connection with any calculations contemplated by this Section 3. If a reduction in Payments is necessary so that benefits are delivered to a lesser extent, reduction shall occur in the following order: reduction of cash payments; cancellation of awards granted “contingent on a change in ownership or control” (within the meaning of Code Section 280G); cancellation of accelerated vesting of equity awards; reduction of employee benefits. Within any such category of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w:t>
      </w:r>
    </w:p>
    <w:p>
      <w:pPr>
        <w:spacing w:after="0" w:line="194" w:lineRule="exact"/>
        <w:rPr>
          <w:sz w:val="20"/>
          <w:szCs w:val="20"/>
          <w:color w:val="auto"/>
        </w:rPr>
      </w:pPr>
    </w:p>
    <w:p>
      <w:pPr>
        <w:ind w:left="1000" w:hanging="344"/>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1305"/>
        <w:spacing w:after="0" w:line="255" w:lineRule="auto"/>
        <w:tabs>
          <w:tab w:leader="none" w:pos="1714"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4(a) or which becomes bound by the terms of this Agreement by operation of law.</w:t>
      </w:r>
    </w:p>
    <w:p>
      <w:pPr>
        <w:jc w:val="both"/>
        <w:ind w:right="80" w:firstLine="1305"/>
        <w:spacing w:after="0" w:line="241" w:lineRule="auto"/>
        <w:tabs>
          <w:tab w:leader="none" w:pos="1725"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Outside Director’s Successors</w:t>
      </w:r>
      <w:r>
        <w:rPr>
          <w:rFonts w:ascii="Arial" w:cs="Arial" w:eastAsia="Arial" w:hAnsi="Arial"/>
          <w:sz w:val="20"/>
          <w:szCs w:val="20"/>
          <w:color w:val="auto"/>
        </w:rPr>
        <w:t>. The terms of this Agreement and all rights of Outside Director hereunder will inure to the benefit of, and be enforceable by, Outside Director’s personal or legal representatives, executors, administrators, successors, heirs, distributees, devisees and legatees.</w:t>
      </w:r>
    </w:p>
    <w:p>
      <w:pPr>
        <w:sectPr>
          <w:pgSz w:w="11900" w:h="16838" w:orient="portrait"/>
          <w:cols w:equalWidth="0" w:num="1">
            <w:col w:w="11420"/>
          </w:cols>
          <w:pgMar w:left="240" w:top="595" w:right="239" w:bottom="1440" w:gutter="0" w:footer="0" w:header="0"/>
        </w:sectPr>
      </w:pPr>
    </w:p>
    <w:bookmarkStart w:id="64" w:name="page65"/>
    <w:bookmarkEnd w:id="64"/>
    <w:p>
      <w:pPr>
        <w:ind w:left="344" w:hanging="344"/>
        <w:spacing w:after="0"/>
        <w:tabs>
          <w:tab w:leader="none" w:pos="34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56" w:right="120" w:firstLine="1305"/>
        <w:spacing w:after="0" w:line="244" w:lineRule="auto"/>
        <w:tabs>
          <w:tab w:leader="none" w:pos="1058"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Outside Director,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208" w:lineRule="exact"/>
        <w:rPr>
          <w:rFonts w:ascii="Arial" w:cs="Arial" w:eastAsia="Arial" w:hAnsi="Arial"/>
          <w:sz w:val="20"/>
          <w:szCs w:val="20"/>
          <w:color w:val="auto"/>
        </w:rPr>
      </w:pPr>
    </w:p>
    <w:p>
      <w:pPr>
        <w:ind w:left="344" w:hanging="344"/>
        <w:spacing w:after="0"/>
        <w:tabs>
          <w:tab w:leader="none" w:pos="34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56" w:right="40" w:firstLine="1305"/>
        <w:spacing w:after="0" w:line="274" w:lineRule="auto"/>
        <w:tabs>
          <w:tab w:leader="none" w:pos="10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Outside Director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82" w:lineRule="exact"/>
        <w:rPr>
          <w:rFonts w:ascii="Arial" w:cs="Arial" w:eastAsia="Arial" w:hAnsi="Arial"/>
          <w:sz w:val="18"/>
          <w:szCs w:val="18"/>
          <w:color w:val="auto"/>
        </w:rPr>
      </w:pPr>
    </w:p>
    <w:p>
      <w:pPr>
        <w:ind w:left="-656" w:right="240" w:firstLine="1305"/>
        <w:spacing w:after="0" w:line="263" w:lineRule="auto"/>
        <w:tabs>
          <w:tab w:leader="none" w:pos="1065"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Outside Director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90" w:lineRule="exact"/>
        <w:rPr>
          <w:rFonts w:ascii="Arial" w:cs="Arial" w:eastAsia="Arial" w:hAnsi="Arial"/>
          <w:sz w:val="19"/>
          <w:szCs w:val="19"/>
          <w:color w:val="auto"/>
        </w:rPr>
      </w:pPr>
    </w:p>
    <w:p>
      <w:pPr>
        <w:ind w:left="-656" w:firstLine="1305"/>
        <w:spacing w:after="0" w:line="243" w:lineRule="auto"/>
        <w:tabs>
          <w:tab w:leader="none" w:pos="1058" w:val="left"/>
        </w:tabs>
        <w:numPr>
          <w:ilvl w:val="1"/>
          <w:numId w:val="28"/>
        </w:numPr>
        <w:rPr>
          <w:rFonts w:ascii="Arial" w:cs="Arial" w:eastAsia="Arial" w:hAnsi="Arial"/>
          <w:sz w:val="20"/>
          <w:szCs w:val="20"/>
          <w:color w:val="auto"/>
        </w:rPr>
      </w:pPr>
      <w:r>
        <w:rPr>
          <w:rFonts w:ascii="Arial" w:cs="Arial" w:eastAsia="Arial" w:hAnsi="Arial"/>
          <w:sz w:val="20"/>
          <w:szCs w:val="20"/>
          <w:color w:val="auto"/>
        </w:rPr>
        <w:t>OUTSIDE DIRECTOR HAS READ AND UNDERSTANDS THIS SECTION, WHICH DISCUSSES ARBITRATION. OUTSIDE DIRECTOR UNDERSTANDS THAT SUBMITTING ANY CLAIMS ARISING OUT OF, RELATING TO, OR IN CONNECTION WITH THIS AGREEMENT, OR THE INTERPRETATION, VALIDITY, CONSTRUCTION, PERFORMANCE, BREACH OR TERMINATION THEREOF TO BINDING ARBITRATION, CONSTITUTES A WAIVER OF OUTSIDE DIRECTOR’S RIGHT TO A JURY TRIAL AND RELATES TO THE RESOLUTION OF ALL DISPUTES RELATING HERETO, INCLUDING BUT NOT LIMITED TO, THE FOLLOWING CLAIMS:</w:t>
      </w:r>
    </w:p>
    <w:p>
      <w:pPr>
        <w:spacing w:after="0" w:line="223" w:lineRule="exact"/>
        <w:rPr>
          <w:rFonts w:ascii="Arial" w:cs="Arial" w:eastAsia="Arial" w:hAnsi="Arial"/>
          <w:sz w:val="20"/>
          <w:szCs w:val="20"/>
          <w:color w:val="auto"/>
        </w:rPr>
      </w:pPr>
    </w:p>
    <w:p>
      <w:pPr>
        <w:ind w:left="-656" w:right="40" w:firstLine="2277"/>
        <w:spacing w:after="0" w:line="293" w:lineRule="auto"/>
        <w:tabs>
          <w:tab w:leader="none" w:pos="2107" w:val="left"/>
        </w:tabs>
        <w:numPr>
          <w:ilvl w:val="2"/>
          <w:numId w:val="28"/>
        </w:numPr>
        <w:rPr>
          <w:rFonts w:ascii="Arial" w:cs="Arial" w:eastAsia="Arial" w:hAnsi="Arial"/>
          <w:sz w:val="17"/>
          <w:szCs w:val="17"/>
          <w:color w:val="auto"/>
        </w:rPr>
      </w:pPr>
      <w:r>
        <w:rPr>
          <w:rFonts w:ascii="Arial" w:cs="Arial" w:eastAsia="Arial" w:hAnsi="Arial"/>
          <w:sz w:val="19"/>
          <w:szCs w:val="19"/>
          <w:color w:val="auto"/>
        </w:rPr>
        <w:t>ANY AND ALL CLAIMS FOR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17"/>
          <w:szCs w:val="17"/>
          <w:color w:val="auto"/>
        </w:rPr>
      </w:pPr>
    </w:p>
    <w:p>
      <w:pPr>
        <w:ind w:left="-656" w:right="160" w:firstLine="2277"/>
        <w:spacing w:after="0" w:line="316" w:lineRule="auto"/>
        <w:tabs>
          <w:tab w:leader="none" w:pos="2157" w:val="left"/>
        </w:tabs>
        <w:numPr>
          <w:ilvl w:val="2"/>
          <w:numId w:val="28"/>
        </w:numPr>
        <w:rPr>
          <w:rFonts w:ascii="Arial" w:cs="Arial" w:eastAsia="Arial" w:hAnsi="Arial"/>
          <w:sz w:val="17"/>
          <w:szCs w:val="17"/>
          <w:color w:val="auto"/>
        </w:rPr>
      </w:pPr>
      <w:r>
        <w:rPr>
          <w:rFonts w:ascii="Arial" w:cs="Arial" w:eastAsia="Arial" w:hAnsi="Arial"/>
          <w:sz w:val="19"/>
          <w:szCs w:val="19"/>
          <w:color w:val="auto"/>
        </w:rPr>
        <w:t xml:space="preserve">ANY AND ALL CLAIMS FOR VIOLATION OF ANY FEDERAL STATE OR MUNICIPAL STATUTE, INCLUDING, BUT NOT LIMITED TO, TITLE VII OF THE CIVIL RIGHTS ACT OF 1964, THE CIVIL RIGHTS ACT OF 1991,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153" w:lineRule="exact"/>
        <w:rPr>
          <w:rFonts w:ascii="Arial" w:cs="Arial" w:eastAsia="Arial" w:hAnsi="Arial"/>
          <w:sz w:val="17"/>
          <w:szCs w:val="17"/>
          <w:color w:val="auto"/>
        </w:rPr>
      </w:pPr>
    </w:p>
    <w:p>
      <w:pPr>
        <w:ind w:left="344" w:hanging="344"/>
        <w:spacing w:after="0"/>
        <w:tabs>
          <w:tab w:leader="none" w:pos="34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56" w:right="60" w:firstLine="1305"/>
        <w:spacing w:after="0" w:line="263" w:lineRule="auto"/>
        <w:tabs>
          <w:tab w:leader="none" w:pos="1058"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Outside Director and by an authorized officer of the Company (other than Outside Director). No waiver by either party of any breach of, or of compliance with, any condition or provision of this Agreement by the other party will be considered a waiver of any other condition or provision or of the same condition or provision at another time.</w:t>
      </w:r>
    </w:p>
    <w:p>
      <w:pPr>
        <w:sectPr>
          <w:pgSz w:w="11900" w:h="16838" w:orient="portrait"/>
          <w:cols w:equalWidth="0" w:num="1">
            <w:col w:w="10764"/>
          </w:cols>
          <w:pgMar w:left="896" w:top="811" w:right="239" w:bottom="1440" w:gutter="0" w:footer="0" w:header="0"/>
        </w:sectPr>
      </w:pPr>
    </w:p>
    <w:bookmarkStart w:id="65" w:name="page66"/>
    <w:bookmarkEnd w:id="65"/>
    <w:p>
      <w:pPr>
        <w:ind w:left="-40" w:right="140" w:firstLine="1305"/>
        <w:spacing w:after="0" w:line="260" w:lineRule="auto"/>
        <w:tabs>
          <w:tab w:leader="none" w:pos="168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All captions and section headings used in this Agreement are for convenient reference only and do not form a part of this Agreement.</w:t>
      </w:r>
    </w:p>
    <w:p>
      <w:pPr>
        <w:spacing w:after="0" w:line="190" w:lineRule="exact"/>
        <w:rPr>
          <w:rFonts w:ascii="Arial" w:cs="Arial" w:eastAsia="Arial" w:hAnsi="Arial"/>
          <w:sz w:val="20"/>
          <w:szCs w:val="20"/>
          <w:color w:val="auto"/>
        </w:rPr>
      </w:pPr>
    </w:p>
    <w:p>
      <w:pPr>
        <w:ind w:left="-40" w:right="20" w:firstLine="1305"/>
        <w:spacing w:after="0" w:line="244" w:lineRule="auto"/>
        <w:tabs>
          <w:tab w:leader="none" w:pos="1674"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of the parties hereto. Outside Director acknowledges and agrees that this Agreement encompasses all the rights of Outside Director to any acceleration of Award vesting or the lapsing of restrictions thereto, and Outside Director hereby agrees that he or she has no such rights except as stated herein, and Outside Director agrees that any such rights, whether in a service agreement, stock option agreement, restricted stock purchase agreement, restricted stock unit agreement, stock plan or other agreement, are hereby waived.</w:t>
      </w:r>
    </w:p>
    <w:p>
      <w:pPr>
        <w:spacing w:after="0" w:line="208" w:lineRule="exact"/>
        <w:rPr>
          <w:rFonts w:ascii="Arial" w:cs="Arial" w:eastAsia="Arial" w:hAnsi="Arial"/>
          <w:sz w:val="20"/>
          <w:szCs w:val="20"/>
          <w:color w:val="auto"/>
        </w:rPr>
      </w:pPr>
    </w:p>
    <w:p>
      <w:pPr>
        <w:ind w:left="-40" w:firstLine="1305"/>
        <w:spacing w:after="0" w:line="260" w:lineRule="auto"/>
        <w:tabs>
          <w:tab w:leader="none" w:pos="168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The validity, interpretation, construction and performance of this Agreement will be governed by the laws of the State of California (with the exception of its conflict of laws provisions).</w:t>
      </w:r>
    </w:p>
    <w:p>
      <w:pPr>
        <w:spacing w:after="0" w:line="190" w:lineRule="exact"/>
        <w:rPr>
          <w:rFonts w:ascii="Arial" w:cs="Arial" w:eastAsia="Arial" w:hAnsi="Arial"/>
          <w:sz w:val="20"/>
          <w:szCs w:val="20"/>
          <w:color w:val="auto"/>
        </w:rPr>
      </w:pPr>
    </w:p>
    <w:p>
      <w:pPr>
        <w:ind w:left="-40" w:right="580" w:firstLine="1305"/>
        <w:spacing w:after="0" w:line="260" w:lineRule="auto"/>
        <w:tabs>
          <w:tab w:leader="none" w:pos="1674"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or provisions of this Agreement will not affect the validity or enforceability of any other provision hereof, which will remain in full force and effect.</w:t>
      </w:r>
    </w:p>
    <w:p>
      <w:pPr>
        <w:spacing w:after="0" w:line="190" w:lineRule="exact"/>
        <w:rPr>
          <w:rFonts w:ascii="Arial" w:cs="Arial" w:eastAsia="Arial" w:hAnsi="Arial"/>
          <w:sz w:val="20"/>
          <w:szCs w:val="20"/>
          <w:color w:val="auto"/>
        </w:rPr>
      </w:pPr>
    </w:p>
    <w:p>
      <w:pPr>
        <w:ind w:left="-40" w:right="500" w:firstLine="1305"/>
        <w:spacing w:after="0" w:line="260" w:lineRule="auto"/>
        <w:tabs>
          <w:tab w:leader="none" w:pos="1652"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360"/>
          </w:cols>
          <w:pgMar w:left="280" w:top="811" w:right="259" w:bottom="1440" w:gutter="0" w:footer="0" w:header="0"/>
        </w:sectPr>
      </w:pPr>
    </w:p>
    <w:bookmarkStart w:id="66" w:name="page67"/>
    <w:bookmarkEnd w:id="66"/>
    <w:p>
      <w:pPr>
        <w:ind w:firstLine="648"/>
        <w:spacing w:after="0" w:line="260"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set forth below.</w:t>
      </w:r>
    </w:p>
    <w:p>
      <w:pPr>
        <w:spacing w:after="0" w:line="342"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FORTINET, INC</w:t>
      </w:r>
    </w:p>
    <w:p>
      <w:pPr>
        <w:spacing w:after="0" w:line="38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240" w:top="7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OUTSIDE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3320" w:space="720"/>
            <w:col w:w="7240"/>
          </w:cols>
          <w:pgMar w:left="240" w:top="798" w:right="37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Signature Page to Change of Control Agreement</w:t>
      </w:r>
    </w:p>
    <w:p>
      <w:pPr>
        <w:sectPr>
          <w:pgSz w:w="11900" w:h="16838" w:orient="portrait"/>
          <w:cols w:equalWidth="0" w:num="1">
            <w:col w:w="11280"/>
          </w:cols>
          <w:pgMar w:left="240" w:top="798" w:right="37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June 30, 2015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4, 2015</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quarterly period ended June 30, 2015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4, 2015</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
    <w:nsid w:val="54E49EB4"/>
    <w:multiLevelType w:val="hybridMultilevel"/>
    <w:lvl w:ilvl="0">
      <w:lvlJc w:val="left"/>
      <w:lvlText w:val="%1"/>
      <w:numFmt w:val="upperLetter"/>
      <w:start w:val="1"/>
    </w:lvl>
    <w:lvl w:ilvl="1">
      <w:lvlJc w:val="left"/>
      <w:lvlText w:val="(%2)"/>
      <w:numFmt w:val="lowerRoman"/>
      <w:start w:val="2"/>
    </w:lvl>
  </w:abstractNum>
  <w:abstractNum w:abstractNumId="23">
    <w:nsid w:val="71F32454"/>
    <w:multiLevelType w:val="hybridMultilevel"/>
    <w:lvl w:ilvl="0">
      <w:lvlJc w:val="left"/>
      <w:lvlText w:val="(%1)"/>
      <w:numFmt w:val="upperLetter"/>
      <w:start w:val="4"/>
    </w:lvl>
    <w:lvl w:ilvl="1">
      <w:lvlJc w:val="left"/>
      <w:lvlText w:val="%2"/>
      <w:numFmt w:val="lowerRoman"/>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decimal"/>
      <w:start w:val="3"/>
    </w:lvl>
    <w:lvl w:ilvl="1">
      <w:lvlJc w:val="left"/>
      <w:lvlText w:val="(%2)"/>
      <w:numFmt w:val="lowerLetter"/>
      <w:start w:val="1"/>
    </w:lvl>
  </w:abstractNum>
  <w:abstractNum w:abstractNumId="26">
    <w:nsid w:val="2901D82"/>
    <w:multiLevelType w:val="hybridMultilevel"/>
    <w:lvl w:ilvl="0">
      <w:lvlJc w:val="left"/>
      <w:lvlText w:val="%1."/>
      <w:numFmt w:val="decimal"/>
      <w:start w:val="4"/>
    </w:lvl>
    <w:lvl w:ilvl="1">
      <w:lvlJc w:val="left"/>
      <w:lvlText w:val="(%2)"/>
      <w:numFmt w:val="lowerLetter"/>
      <w:start w:val="1"/>
    </w:lvl>
  </w:abstractNum>
  <w:abstractNum w:abstractNumId="27">
    <w:nsid w:val="3A95F87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2019-12-29T16:02:42Z</dcterms:created>
  <dcterms:modified xsi:type="dcterms:W3CDTF">2019-12-29T16:02:42Z</dcterms:modified>
</cp:coreProperties>
</file>