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415925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329565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158"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FORM 10-Q</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72" w:lineRule="exact"/>
        <w:rPr>
          <w:sz w:val="24"/>
          <w:szCs w:val="24"/>
          <w:color w:val="auto"/>
        </w:rPr>
      </w:pPr>
    </w:p>
    <w:p>
      <w:pPr>
        <w:ind w:left="3900" w:right="1860" w:hanging="3865"/>
        <w:spacing w:after="0" w:line="461" w:lineRule="auto"/>
        <w:tabs>
          <w:tab w:leader="none" w:pos="38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2016</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3975100</wp:posOffset>
            </wp:positionH>
            <wp:positionV relativeFrom="paragraph">
              <wp:posOffset>248920</wp:posOffset>
            </wp:positionV>
            <wp:extent cx="838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tbl>
      <w:tblPr>
        <w:tblLayout w:type="fixed"/>
        <w:tblInd w:w="1520" w:type="dxa"/>
        <w:tblCellMar>
          <w:top w:w="0" w:type="dxa"/>
          <w:left w:w="0" w:type="dxa"/>
          <w:bottom w:w="0" w:type="dxa"/>
          <w:right w:w="0" w:type="dxa"/>
        </w:tblCellMar>
      </w:tblPr>
      <w:tr>
        <w:trPr>
          <w:trHeight w:val="220"/>
        </w:trPr>
        <w:tc>
          <w:tcPr>
            <w:tcW w:w="6220" w:type="dxa"/>
            <w:vAlign w:val="bottom"/>
          </w:tcPr>
          <w:p>
            <w:pPr>
              <w:jc w:val="center"/>
              <w:ind w:left="2091"/>
              <w:spacing w:after="0"/>
              <w:rPr>
                <w:sz w:val="20"/>
                <w:szCs w:val="20"/>
                <w:color w:val="auto"/>
              </w:rPr>
            </w:pPr>
            <w:r>
              <w:rPr>
                <w:rFonts w:ascii="Arial" w:cs="Arial" w:eastAsia="Arial" w:hAnsi="Arial"/>
                <w:sz w:val="18"/>
                <w:szCs w:val="18"/>
                <w:b w:val="1"/>
                <w:bCs w:val="1"/>
                <w:color w:val="auto"/>
                <w:w w:val="89"/>
              </w:rPr>
              <w:t>Commission file number: 001-34511</w:t>
            </w:r>
          </w:p>
        </w:tc>
        <w:tc>
          <w:tcPr>
            <w:tcW w:w="1460" w:type="dxa"/>
            <w:vAlign w:val="bottom"/>
          </w:tcPr>
          <w:p>
            <w:pPr>
              <w:spacing w:after="0"/>
              <w:rPr>
                <w:sz w:val="19"/>
                <w:szCs w:val="19"/>
                <w:color w:val="auto"/>
              </w:rPr>
            </w:pPr>
          </w:p>
        </w:tc>
      </w:tr>
      <w:tr>
        <w:trPr>
          <w:trHeight w:val="207"/>
        </w:trPr>
        <w:tc>
          <w:tcPr>
            <w:tcW w:w="6220" w:type="dxa"/>
            <w:vAlign w:val="bottom"/>
          </w:tcPr>
          <w:p>
            <w:pPr>
              <w:jc w:val="center"/>
              <w:ind w:left="2071"/>
              <w:spacing w:after="0"/>
              <w:rPr>
                <w:sz w:val="20"/>
                <w:szCs w:val="20"/>
                <w:color w:val="auto"/>
              </w:rPr>
            </w:pPr>
            <w:r>
              <w:rPr>
                <w:rFonts w:ascii="Arial" w:cs="Arial" w:eastAsia="Arial" w:hAnsi="Arial"/>
                <w:sz w:val="18"/>
                <w:szCs w:val="18"/>
                <w:color w:val="auto"/>
                <w:w w:val="89"/>
              </w:rPr>
              <w:t>______________________________________</w:t>
            </w:r>
          </w:p>
        </w:tc>
        <w:tc>
          <w:tcPr>
            <w:tcW w:w="1460" w:type="dxa"/>
            <w:vAlign w:val="bottom"/>
          </w:tcPr>
          <w:p>
            <w:pPr>
              <w:spacing w:after="0"/>
              <w:rPr>
                <w:sz w:val="18"/>
                <w:szCs w:val="18"/>
                <w:color w:val="auto"/>
              </w:rPr>
            </w:pPr>
          </w:p>
        </w:tc>
      </w:tr>
      <w:tr>
        <w:trPr>
          <w:trHeight w:val="329"/>
        </w:trPr>
        <w:tc>
          <w:tcPr>
            <w:tcW w:w="6220" w:type="dxa"/>
            <w:vAlign w:val="bottom"/>
          </w:tcPr>
          <w:p>
            <w:pPr>
              <w:jc w:val="center"/>
              <w:ind w:left="2111"/>
              <w:spacing w:after="0"/>
              <w:rPr>
                <w:sz w:val="20"/>
                <w:szCs w:val="20"/>
                <w:color w:val="auto"/>
              </w:rPr>
            </w:pPr>
            <w:r>
              <w:rPr>
                <w:rFonts w:ascii="Arial" w:cs="Arial" w:eastAsia="Arial" w:hAnsi="Arial"/>
                <w:sz w:val="25"/>
                <w:szCs w:val="25"/>
                <w:b w:val="1"/>
                <w:bCs w:val="1"/>
                <w:color w:val="auto"/>
              </w:rPr>
              <w:t>FORTINET, INC.</w:t>
            </w:r>
          </w:p>
        </w:tc>
        <w:tc>
          <w:tcPr>
            <w:tcW w:w="1460" w:type="dxa"/>
            <w:vAlign w:val="bottom"/>
          </w:tcPr>
          <w:p>
            <w:pPr>
              <w:spacing w:after="0"/>
              <w:rPr>
                <w:sz w:val="24"/>
                <w:szCs w:val="24"/>
                <w:color w:val="auto"/>
              </w:rPr>
            </w:pPr>
          </w:p>
        </w:tc>
      </w:tr>
      <w:tr>
        <w:trPr>
          <w:trHeight w:val="198"/>
        </w:trPr>
        <w:tc>
          <w:tcPr>
            <w:tcW w:w="6220" w:type="dxa"/>
            <w:vAlign w:val="bottom"/>
          </w:tcPr>
          <w:p>
            <w:pPr>
              <w:jc w:val="center"/>
              <w:ind w:left="207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460" w:type="dxa"/>
            <w:vAlign w:val="bottom"/>
          </w:tcPr>
          <w:p>
            <w:pPr>
              <w:spacing w:after="0"/>
              <w:rPr>
                <w:sz w:val="17"/>
                <w:szCs w:val="17"/>
                <w:color w:val="auto"/>
              </w:rPr>
            </w:pPr>
          </w:p>
        </w:tc>
      </w:tr>
      <w:tr>
        <w:trPr>
          <w:trHeight w:val="206"/>
        </w:trPr>
        <w:tc>
          <w:tcPr>
            <w:tcW w:w="6220" w:type="dxa"/>
            <w:vAlign w:val="bottom"/>
          </w:tcPr>
          <w:p>
            <w:pPr>
              <w:jc w:val="center"/>
              <w:ind w:left="2091"/>
              <w:spacing w:after="0"/>
              <w:rPr>
                <w:sz w:val="20"/>
                <w:szCs w:val="20"/>
                <w:color w:val="auto"/>
              </w:rPr>
            </w:pPr>
            <w:r>
              <w:rPr>
                <w:rFonts w:ascii="Arial" w:cs="Arial" w:eastAsia="Arial" w:hAnsi="Arial"/>
                <w:sz w:val="16"/>
                <w:szCs w:val="16"/>
                <w:color w:val="auto"/>
                <w:w w:val="91"/>
              </w:rPr>
              <w:t>______________________________________</w:t>
            </w:r>
          </w:p>
        </w:tc>
        <w:tc>
          <w:tcPr>
            <w:tcW w:w="1460" w:type="dxa"/>
            <w:vAlign w:val="bottom"/>
          </w:tcPr>
          <w:p>
            <w:pPr>
              <w:spacing w:after="0"/>
              <w:rPr>
                <w:sz w:val="17"/>
                <w:szCs w:val="17"/>
                <w:color w:val="auto"/>
              </w:rPr>
            </w:pPr>
          </w:p>
        </w:tc>
      </w:tr>
      <w:tr>
        <w:trPr>
          <w:trHeight w:val="587"/>
        </w:trPr>
        <w:tc>
          <w:tcPr>
            <w:tcW w:w="6220" w:type="dxa"/>
            <w:vAlign w:val="bottom"/>
          </w:tcPr>
          <w:p>
            <w:pPr>
              <w:jc w:val="center"/>
              <w:ind w:right="3451"/>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115"/>
              <w:spacing w:after="0"/>
              <w:rPr>
                <w:sz w:val="20"/>
                <w:szCs w:val="20"/>
                <w:color w:val="auto"/>
              </w:rPr>
            </w:pPr>
            <w:r>
              <w:rPr>
                <w:rFonts w:ascii="Arial" w:cs="Arial" w:eastAsia="Arial" w:hAnsi="Arial"/>
                <w:sz w:val="18"/>
                <w:szCs w:val="18"/>
                <w:b w:val="1"/>
                <w:bCs w:val="1"/>
                <w:color w:val="auto"/>
              </w:rPr>
              <w:t>77-0560389</w:t>
            </w:r>
          </w:p>
        </w:tc>
      </w:tr>
      <w:tr>
        <w:trPr>
          <w:trHeight w:val="243"/>
        </w:trPr>
        <w:tc>
          <w:tcPr>
            <w:tcW w:w="6220" w:type="dxa"/>
            <w:vAlign w:val="bottom"/>
          </w:tcPr>
          <w:p>
            <w:pPr>
              <w:jc w:val="center"/>
              <w:ind w:right="3431"/>
              <w:spacing w:after="0"/>
              <w:rPr>
                <w:sz w:val="20"/>
                <w:szCs w:val="20"/>
                <w:color w:val="auto"/>
              </w:rPr>
            </w:pPr>
            <w:r>
              <w:rPr>
                <w:rFonts w:ascii="Arial" w:cs="Arial" w:eastAsia="Arial" w:hAnsi="Arial"/>
                <w:sz w:val="16"/>
                <w:szCs w:val="16"/>
                <w:b w:val="1"/>
                <w:bCs w:val="1"/>
                <w:color w:val="auto"/>
                <w:w w:val="91"/>
              </w:rPr>
              <w:t>(State or other jurisdiction of</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6220" w:type="dxa"/>
            <w:vAlign w:val="bottom"/>
          </w:tcPr>
          <w:p>
            <w:pPr>
              <w:jc w:val="center"/>
              <w:ind w:right="3451"/>
              <w:spacing w:after="0"/>
              <w:rPr>
                <w:sz w:val="20"/>
                <w:szCs w:val="20"/>
                <w:color w:val="auto"/>
              </w:rPr>
            </w:pPr>
            <w:r>
              <w:rPr>
                <w:rFonts w:ascii="Arial" w:cs="Arial" w:eastAsia="Arial" w:hAnsi="Arial"/>
                <w:sz w:val="16"/>
                <w:szCs w:val="16"/>
                <w:b w:val="1"/>
                <w:bCs w:val="1"/>
                <w:color w:val="auto"/>
                <w:w w:val="92"/>
              </w:rPr>
              <w:t>incorporation or organization)</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3"/>
              </w:rPr>
              <w:t>Identification No.)</w:t>
            </w:r>
          </w:p>
        </w:tc>
      </w:tr>
      <w:tr>
        <w:trPr>
          <w:trHeight w:val="393"/>
        </w:trPr>
        <w:tc>
          <w:tcPr>
            <w:tcW w:w="6220" w:type="dxa"/>
            <w:vAlign w:val="bottom"/>
          </w:tcPr>
          <w:p>
            <w:pPr>
              <w:jc w:val="center"/>
              <w:ind w:right="3431"/>
              <w:spacing w:after="0"/>
              <w:rPr>
                <w:sz w:val="20"/>
                <w:szCs w:val="20"/>
                <w:color w:val="auto"/>
              </w:rPr>
            </w:pPr>
            <w:r>
              <w:rPr>
                <w:rFonts w:ascii="Arial" w:cs="Arial" w:eastAsia="Arial" w:hAnsi="Arial"/>
                <w:sz w:val="18"/>
                <w:szCs w:val="18"/>
                <w:b w:val="1"/>
                <w:bCs w:val="1"/>
                <w:color w:val="auto"/>
                <w:w w:val="93"/>
              </w:rPr>
              <w:t>899 Kifer Road</w:t>
            </w:r>
          </w:p>
        </w:tc>
        <w:tc>
          <w:tcPr>
            <w:tcW w:w="1460" w:type="dxa"/>
            <w:vAlign w:val="bottom"/>
          </w:tcPr>
          <w:p>
            <w:pPr>
              <w:spacing w:after="0"/>
              <w:rPr>
                <w:sz w:val="24"/>
                <w:szCs w:val="24"/>
                <w:color w:val="auto"/>
              </w:rPr>
            </w:pPr>
          </w:p>
        </w:tc>
      </w:tr>
      <w:tr>
        <w:trPr>
          <w:trHeight w:val="234"/>
        </w:trPr>
        <w:tc>
          <w:tcPr>
            <w:tcW w:w="6220" w:type="dxa"/>
            <w:vAlign w:val="bottom"/>
          </w:tcPr>
          <w:p>
            <w:pPr>
              <w:jc w:val="center"/>
              <w:ind w:right="3451"/>
              <w:spacing w:after="0"/>
              <w:rPr>
                <w:sz w:val="20"/>
                <w:szCs w:val="20"/>
                <w:color w:val="auto"/>
              </w:rPr>
            </w:pPr>
            <w:r>
              <w:rPr>
                <w:rFonts w:ascii="Arial" w:cs="Arial" w:eastAsia="Arial" w:hAnsi="Arial"/>
                <w:sz w:val="18"/>
                <w:szCs w:val="18"/>
                <w:b w:val="1"/>
                <w:bCs w:val="1"/>
                <w:color w:val="auto"/>
                <w:w w:val="91"/>
              </w:rPr>
              <w:t>Sunnyvale, California</w:t>
            </w:r>
          </w:p>
        </w:tc>
        <w:tc>
          <w:tcPr>
            <w:tcW w:w="1460" w:type="dxa"/>
            <w:vAlign w:val="bottom"/>
          </w:tcPr>
          <w:p>
            <w:pPr>
              <w:jc w:val="right"/>
              <w:ind w:right="315"/>
              <w:spacing w:after="0"/>
              <w:rPr>
                <w:sz w:val="20"/>
                <w:szCs w:val="20"/>
                <w:color w:val="auto"/>
              </w:rPr>
            </w:pPr>
            <w:r>
              <w:rPr>
                <w:rFonts w:ascii="Arial" w:cs="Arial" w:eastAsia="Arial" w:hAnsi="Arial"/>
                <w:sz w:val="18"/>
                <w:szCs w:val="18"/>
                <w:b w:val="1"/>
                <w:bCs w:val="1"/>
                <w:color w:val="auto"/>
              </w:rPr>
              <w:t>94086</w:t>
            </w:r>
          </w:p>
        </w:tc>
      </w:tr>
      <w:tr>
        <w:trPr>
          <w:trHeight w:val="251"/>
        </w:trPr>
        <w:tc>
          <w:tcPr>
            <w:tcW w:w="6220" w:type="dxa"/>
            <w:vAlign w:val="bottom"/>
          </w:tcPr>
          <w:p>
            <w:pPr>
              <w:jc w:val="center"/>
              <w:ind w:right="3451"/>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3"/>
              </w:rPr>
              <w:t>(Zip Code)</w:t>
            </w:r>
          </w:p>
        </w:tc>
      </w:tr>
      <w:tr>
        <w:trPr>
          <w:trHeight w:val="235"/>
        </w:trPr>
        <w:tc>
          <w:tcPr>
            <w:tcW w:w="6220" w:type="dxa"/>
            <w:vAlign w:val="bottom"/>
          </w:tcPr>
          <w:p>
            <w:pPr>
              <w:jc w:val="center"/>
              <w:ind w:left="2091"/>
              <w:spacing w:after="0"/>
              <w:rPr>
                <w:sz w:val="20"/>
                <w:szCs w:val="20"/>
                <w:color w:val="auto"/>
              </w:rPr>
            </w:pPr>
            <w:r>
              <w:rPr>
                <w:rFonts w:ascii="Arial" w:cs="Arial" w:eastAsia="Arial" w:hAnsi="Arial"/>
                <w:sz w:val="18"/>
                <w:szCs w:val="18"/>
                <w:b w:val="1"/>
                <w:bCs w:val="1"/>
                <w:color w:val="auto"/>
                <w:w w:val="90"/>
              </w:rPr>
              <w:t>(408) 235-7700</w:t>
            </w:r>
          </w:p>
        </w:tc>
        <w:tc>
          <w:tcPr>
            <w:tcW w:w="1460" w:type="dxa"/>
            <w:vAlign w:val="bottom"/>
          </w:tcPr>
          <w:p>
            <w:pPr>
              <w:spacing w:after="0"/>
              <w:rPr>
                <w:sz w:val="20"/>
                <w:szCs w:val="20"/>
                <w:color w:val="auto"/>
              </w:rPr>
            </w:pPr>
          </w:p>
        </w:tc>
      </w:tr>
      <w:tr>
        <w:trPr>
          <w:trHeight w:val="210"/>
        </w:trPr>
        <w:tc>
          <w:tcPr>
            <w:tcW w:w="6220" w:type="dxa"/>
            <w:vAlign w:val="bottom"/>
          </w:tcPr>
          <w:p>
            <w:pPr>
              <w:jc w:val="center"/>
              <w:ind w:left="2071"/>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460" w:type="dxa"/>
            <w:vAlign w:val="bottom"/>
          </w:tcPr>
          <w:p>
            <w:pPr>
              <w:spacing w:after="0"/>
              <w:rPr>
                <w:sz w:val="18"/>
                <w:szCs w:val="18"/>
                <w:color w:val="auto"/>
              </w:rPr>
            </w:pPr>
          </w:p>
        </w:tc>
      </w:tr>
    </w:tbl>
    <w:p>
      <w:pPr>
        <w:spacing w:after="0" w:line="194" w:lineRule="exact"/>
        <w:rPr>
          <w:sz w:val="24"/>
          <w:szCs w:val="24"/>
          <w:color w:val="auto"/>
        </w:rPr>
      </w:pPr>
    </w:p>
    <w:p>
      <w:pPr>
        <w:jc w:val="both"/>
        <w:ind w:right="100"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x No o</w:t>
      </w:r>
    </w:p>
    <w:p>
      <w:pPr>
        <w:spacing w:after="0" w:line="127" w:lineRule="exact"/>
        <w:rPr>
          <w:sz w:val="24"/>
          <w:szCs w:val="24"/>
          <w:color w:val="auto"/>
        </w:rPr>
      </w:pPr>
    </w:p>
    <w:p>
      <w:pPr>
        <w:jc w:val="both"/>
        <w:ind w:firstLine="27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7" w:lineRule="exact"/>
        <w:rPr>
          <w:sz w:val="24"/>
          <w:szCs w:val="24"/>
          <w:color w:val="auto"/>
        </w:rPr>
      </w:pPr>
    </w:p>
    <w:p>
      <w:pPr>
        <w:ind w:right="100" w:firstLine="27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229" w:right="25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08" w:lineRule="exact"/>
        <w:rPr>
          <w:sz w:val="24"/>
          <w:szCs w:val="24"/>
          <w:color w:val="auto"/>
        </w:rPr>
      </w:pPr>
    </w:p>
    <w:p>
      <w:pPr>
        <w:sectPr>
          <w:pgSz w:w="11900" w:h="16838" w:orient="portrait"/>
          <w:cols w:equalWidth="0" w:num="4">
            <w:col w:w="2000" w:space="720"/>
            <w:col w:w="4780" w:space="720"/>
            <w:col w:w="1960" w:space="720"/>
            <w:col w:w="500"/>
          </w:cols>
          <w:pgMar w:left="240" w:top="229" w:right="259" w:bottom="1440" w:gutter="0" w:footer="0" w:header="0"/>
          <w:type w:val="continuous"/>
        </w:sectPr>
      </w:pPr>
    </w:p>
    <w:p>
      <w:pPr>
        <w:spacing w:after="0" w:line="2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ind w:left="340"/>
        <w:spacing w:after="0"/>
        <w:rPr>
          <w:sz w:val="20"/>
          <w:szCs w:val="20"/>
          <w:color w:val="auto"/>
        </w:rPr>
      </w:pPr>
      <w:r>
        <w:rPr>
          <w:rFonts w:ascii="Arial" w:cs="Arial" w:eastAsia="Arial" w:hAnsi="Arial"/>
          <w:sz w:val="16"/>
          <w:szCs w:val="16"/>
          <w:color w:val="auto"/>
        </w:rPr>
        <w:t>(Do not check if smaller reporting</w:t>
      </w:r>
    </w:p>
    <w:p>
      <w:pPr>
        <w:spacing w:after="0" w:line="46"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o</w:t>
        <w:tab/>
        <w:t>company)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44" w:lineRule="exact"/>
        <w:rPr>
          <w:sz w:val="24"/>
          <w:szCs w:val="24"/>
          <w:color w:val="auto"/>
        </w:rPr>
      </w:pPr>
    </w:p>
    <w:p>
      <w:pPr>
        <w:sectPr>
          <w:pgSz w:w="11900" w:h="16838" w:orient="portrait"/>
          <w:cols w:equalWidth="0" w:num="4">
            <w:col w:w="2000" w:space="720"/>
            <w:col w:w="4780" w:space="720"/>
            <w:col w:w="1960" w:space="720"/>
            <w:col w:w="500"/>
          </w:cols>
          <w:pgMar w:left="240" w:top="229" w:right="25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No x</w:t>
      </w:r>
    </w:p>
    <w:p>
      <w:pPr>
        <w:spacing w:after="0" w:line="171" w:lineRule="exact"/>
        <w:rPr>
          <w:sz w:val="24"/>
          <w:szCs w:val="24"/>
          <w:color w:val="auto"/>
        </w:rPr>
      </w:pPr>
    </w:p>
    <w:p>
      <w:pPr>
        <w:sectPr>
          <w:pgSz w:w="11900" w:h="16838" w:orient="portrait"/>
          <w:cols w:equalWidth="0" w:num="3">
            <w:col w:w="7700" w:space="180"/>
            <w:col w:w="440" w:space="220"/>
            <w:col w:w="2860"/>
          </w:cols>
          <w:pgMar w:left="240" w:top="229" w:right="25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As of April 29, 2016, there were 171,671,224 shares of the registrant’s common stock outstanding.</w:t>
      </w:r>
    </w:p>
    <w:p>
      <w:pPr>
        <w:sectPr>
          <w:pgSz w:w="11900" w:h="16838" w:orient="portrait"/>
          <w:cols w:equalWidth="0" w:num="1">
            <w:col w:w="11400"/>
          </w:cols>
          <w:pgMar w:left="240" w:top="229" w:right="25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March 31, 2016</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gridSpan w:val="4"/>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5140" w:type="dxa"/>
            <w:vAlign w:val="bottom"/>
            <w:gridSpan w:val="8"/>
            <w:vMerge w:val="restart"/>
          </w:tcPr>
          <w:p>
            <w:pPr>
              <w:jc w:val="center"/>
              <w:ind w:right="468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vMerge w:val="continue"/>
          </w:tcPr>
          <w:p>
            <w:pPr>
              <w:spacing w:after="0"/>
              <w:rPr>
                <w:sz w:val="24"/>
                <w:szCs w:val="24"/>
                <w:color w:val="auto"/>
              </w:rPr>
            </w:pPr>
          </w:p>
        </w:tc>
        <w:tc>
          <w:tcPr>
            <w:tcW w:w="5140" w:type="dxa"/>
            <w:vAlign w:val="bottom"/>
            <w:gridSpan w:val="8"/>
            <w:vMerge w:val="continue"/>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574"/>
        </w:trPr>
        <w:tc>
          <w:tcPr>
            <w:tcW w:w="9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464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60" w:type="dxa"/>
            <w:vAlign w:val="bottom"/>
            <w:tcBorders>
              <w:top w:val="single" w:sz="8" w:color="0000EE"/>
            </w:tcBorders>
          </w:tcPr>
          <w:p>
            <w:pPr>
              <w:spacing w:after="0"/>
              <w:rPr>
                <w:sz w:val="24"/>
                <w:szCs w:val="24"/>
                <w:color w:val="auto"/>
              </w:rPr>
            </w:pPr>
          </w:p>
        </w:tc>
        <w:tc>
          <w:tcPr>
            <w:tcW w:w="4680" w:type="dxa"/>
            <w:vAlign w:val="bottom"/>
            <w:gridSpan w:val="7"/>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8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March 31, 2016 and December 31, 2015</w:t>
              </w:r>
            </w:hyperlink>
          </w:p>
        </w:tc>
        <w:tc>
          <w:tcPr>
            <w:tcW w:w="3260" w:type="dxa"/>
            <w:vAlign w:val="bottom"/>
            <w:gridSpan w:val="4"/>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Months Ended March 31, 2016 and 2015</w:t>
              </w:r>
            </w:hyperlink>
          </w:p>
        </w:tc>
        <w:tc>
          <w:tcPr>
            <w:tcW w:w="1900" w:type="dxa"/>
            <w:vAlign w:val="bottom"/>
            <w:gridSpan w:val="3"/>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540" w:type="dxa"/>
            <w:vAlign w:val="bottom"/>
            <w:gridSpan w:val="19"/>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Comprehensive Income (Loss) for the Three Months Ended March 31, 2016 and 2015</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70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Three Months Ended March 31, 2016 and 2015</w:t>
              </w:r>
            </w:hyperlink>
          </w:p>
        </w:tc>
        <w:tc>
          <w:tcPr>
            <w:tcW w:w="1360" w:type="dxa"/>
            <w:vAlign w:val="bottom"/>
            <w:tcBorders>
              <w:top w:val="single" w:sz="8" w:color="0000EE"/>
            </w:tcBorders>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5540" w:type="dxa"/>
            <w:vAlign w:val="bottom"/>
            <w:gridSpan w:val="1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978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3.</w:t>
              </w:r>
            </w:hyperlink>
          </w:p>
        </w:tc>
        <w:tc>
          <w:tcPr>
            <w:tcW w:w="978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6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4.</w:t>
              </w:r>
            </w:hyperlink>
          </w:p>
        </w:tc>
        <w:tc>
          <w:tcPr>
            <w:tcW w:w="978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40" w:type="dxa"/>
            <w:vAlign w:val="bottom"/>
            <w:gridSpan w:val="10"/>
            <w:vMerge w:val="restart"/>
          </w:tcPr>
          <w:p>
            <w:pPr>
              <w:jc w:val="center"/>
              <w:ind w:right="4360"/>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w:t>
              </w:r>
            </w:hyperlink>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gridSpan w:val="10"/>
            <w:vMerge w:val="continue"/>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6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w:t>
              </w:r>
            </w:hyperlink>
          </w:p>
        </w:tc>
        <w:tc>
          <w:tcPr>
            <w:tcW w:w="4620" w:type="dxa"/>
            <w:vAlign w:val="bottom"/>
            <w:gridSpan w:val="1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520" w:type="dxa"/>
            <w:vAlign w:val="bottom"/>
            <w:gridSpan w:val="3"/>
          </w:tcPr>
          <w:p>
            <w:pPr>
              <w:spacing w:after="0"/>
              <w:rPr>
                <w:sz w:val="21"/>
                <w:szCs w:val="21"/>
                <w:color w:val="auto"/>
              </w:rPr>
            </w:pPr>
          </w:p>
        </w:tc>
        <w:tc>
          <w:tcPr>
            <w:tcW w:w="464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54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Item 1A.</w:t>
              </w:r>
            </w:hyperlink>
          </w:p>
        </w:tc>
        <w:tc>
          <w:tcPr>
            <w:tcW w:w="280" w:type="dxa"/>
            <w:vAlign w:val="bottom"/>
          </w:tcPr>
          <w:p>
            <w:pPr>
              <w:spacing w:after="0"/>
              <w:rPr>
                <w:sz w:val="21"/>
                <w:szCs w:val="21"/>
                <w:color w:val="auto"/>
              </w:rPr>
            </w:pPr>
          </w:p>
        </w:tc>
        <w:tc>
          <w:tcPr>
            <w:tcW w:w="900" w:type="dxa"/>
            <w:vAlign w:val="bottom"/>
            <w:gridSpan w:val="4"/>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Risk Factors</w:t>
              </w:r>
            </w:hyperlink>
          </w:p>
        </w:tc>
        <w:tc>
          <w:tcPr>
            <w:tcW w:w="8880" w:type="dxa"/>
            <w:vAlign w:val="bottom"/>
            <w:gridSpan w:val="1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54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2.</w:t>
              </w:r>
            </w:hyperlink>
          </w:p>
        </w:tc>
        <w:tc>
          <w:tcPr>
            <w:tcW w:w="280" w:type="dxa"/>
            <w:vAlign w:val="bottom"/>
          </w:tcPr>
          <w:p>
            <w:pPr>
              <w:spacing w:after="0"/>
              <w:rPr>
                <w:sz w:val="21"/>
                <w:szCs w:val="21"/>
                <w:color w:val="auto"/>
              </w:rPr>
            </w:pPr>
          </w:p>
        </w:tc>
        <w:tc>
          <w:tcPr>
            <w:tcW w:w="9780" w:type="dxa"/>
            <w:vAlign w:val="bottom"/>
            <w:gridSpan w:val="2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580" w:type="dxa"/>
            <w:vAlign w:val="bottom"/>
            <w:gridSpan w:val="7"/>
            <w:shd w:val="clear" w:color="auto" w:fill="0000EE"/>
          </w:tcPr>
          <w:p>
            <w:pPr>
              <w:spacing w:after="0" w:line="20" w:lineRule="exact"/>
              <w:rPr>
                <w:sz w:val="1"/>
                <w:szCs w:val="1"/>
                <w:color w:val="auto"/>
              </w:rPr>
            </w:pPr>
          </w:p>
        </w:tc>
        <w:tc>
          <w:tcPr>
            <w:tcW w:w="54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6.</w:t>
              </w:r>
            </w:hyperlink>
          </w:p>
        </w:tc>
        <w:tc>
          <w:tcPr>
            <w:tcW w:w="9780" w:type="dxa"/>
            <w:vAlign w:val="bottom"/>
            <w:gridSpan w:val="2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Exhibits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2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EE"/>
                <w:w w:val="85"/>
              </w:rPr>
            </w:pPr>
            <w:hyperlink w:anchor="page60">
              <w:r>
                <w:rPr>
                  <w:rFonts w:ascii="Arial" w:cs="Arial" w:eastAsia="Arial" w:hAnsi="Arial"/>
                  <w:sz w:val="18"/>
                  <w:szCs w:val="18"/>
                  <w:color w:val="0000EE"/>
                  <w:w w:val="85"/>
                </w:rPr>
                <w:t>Signatures</w:t>
              </w:r>
            </w:hyperlink>
          </w:p>
        </w:tc>
        <w:tc>
          <w:tcPr>
            <w:tcW w:w="9020" w:type="dxa"/>
            <w:vAlign w:val="bottom"/>
            <w:gridSpan w:val="1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rPr>
              <w:t>Part I</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48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4"/>
        </w:trPr>
        <w:tc>
          <w:tcPr>
            <w:tcW w:w="820" w:type="dxa"/>
            <w:vAlign w:val="bottom"/>
          </w:tcPr>
          <w:p>
            <w:pPr>
              <w:spacing w:after="0"/>
              <w:rPr>
                <w:sz w:val="24"/>
                <w:szCs w:val="24"/>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rPr>
              <w:t>FORTINET, INC.</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820" w:type="dxa"/>
            <w:vAlign w:val="bottom"/>
          </w:tcPr>
          <w:p>
            <w:pPr>
              <w:spacing w:after="0"/>
              <w:rPr>
                <w:sz w:val="20"/>
                <w:szCs w:val="20"/>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w w:val="88"/>
              </w:rPr>
              <w:t>(unaudited, in thousands, except per share amounts)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40"/>
        </w:trPr>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24"/>
                <w:szCs w:val="24"/>
                <w:color w:val="auto"/>
              </w:rPr>
            </w:pPr>
          </w:p>
        </w:tc>
        <w:tc>
          <w:tcPr>
            <w:tcW w:w="13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33"/>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568,008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543,277</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384,591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348,074</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0"/>
              </w:rPr>
              <w:t>Accounts receivable—net of reserves for sales returns and doubtful accounts of $6,545 and $6,228 at March</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31, 2016 and December 31, 2015,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220,135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259,563</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78,239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83,868</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35,761</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1,285,701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1,270,543</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241,888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272,959</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131,696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119,216</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115,782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91,067</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INTANGIBLE ASSETS—net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16,457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17,640</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4,692</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15,305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14,393</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1,811,521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1,790,510</w:t>
            </w:r>
          </w:p>
        </w:tc>
      </w:tr>
      <w:tr>
        <w:trPr>
          <w:trHeight w:val="20"/>
        </w:trPr>
        <w:tc>
          <w:tcPr>
            <w:tcW w:w="83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76"/>
        </w:trPr>
        <w:tc>
          <w:tcPr>
            <w:tcW w:w="8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61,500</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33,543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33,028</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Accrued payroll and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61,111</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9,230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8,379</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538,449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514,652</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687,342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678,670</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298,739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276,651</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INCOME TAX LIABILITIES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65,163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60,624</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19,188</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1,069,118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1,035,133</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10)</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4"/>
              </w:rPr>
              <w:t>Common stock, $0.001 par value—300,000 shares authorized; 171,588 and 171,399 shares issued and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outstanding at March 31, 2016 and December 31, 2015,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718,849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687,658</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23,089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68,481</w:t>
            </w:r>
          </w:p>
        </w:tc>
      </w:tr>
      <w:tr>
        <w:trPr>
          <w:trHeight w:val="27"/>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20" w:type="dxa"/>
            <w:vAlign w:val="bottom"/>
            <w:tcBorders>
              <w:bottom w:val="single" w:sz="8" w:color="CCEEFF"/>
            </w:tcBorders>
            <w:shd w:val="clear" w:color="auto" w:fill="CCEEFF"/>
          </w:tcPr>
          <w:p>
            <w:pPr>
              <w:spacing w:after="0"/>
              <w:rPr>
                <w:sz w:val="22"/>
                <w:szCs w:val="22"/>
                <w:color w:val="auto"/>
              </w:rPr>
            </w:pPr>
          </w:p>
        </w:tc>
        <w:tc>
          <w:tcPr>
            <w:tcW w:w="7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742,403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755,377</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1,811,521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1,790,510</w:t>
            </w:r>
          </w:p>
        </w:tc>
      </w:tr>
      <w:tr>
        <w:trPr>
          <w:trHeight w:val="20"/>
        </w:trPr>
        <w:tc>
          <w:tcPr>
            <w:tcW w:w="8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gridSpan w:val="4"/>
          </w:tcPr>
          <w:p>
            <w:pPr>
              <w:jc w:val="right"/>
              <w:ind w:right="103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w:t>
            </w:r>
          </w:p>
        </w:tc>
        <w:tc>
          <w:tcPr>
            <w:tcW w:w="320" w:type="dxa"/>
            <w:vAlign w:val="bottom"/>
          </w:tcPr>
          <w:p>
            <w:pPr>
              <w:spacing w:after="0"/>
              <w:rPr>
                <w:sz w:val="18"/>
                <w:szCs w:val="18"/>
                <w:color w:val="auto"/>
              </w:rPr>
            </w:pPr>
          </w:p>
        </w:tc>
        <w:tc>
          <w:tcPr>
            <w:tcW w:w="1500" w:type="dxa"/>
            <w:vAlign w:val="bottom"/>
          </w:tcPr>
          <w:p>
            <w:pPr>
              <w:jc w:val="right"/>
              <w:ind w:right="491"/>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7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ind w:right="65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ind w:right="65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Product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124,572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97,509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160,004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115,377</w:t>
            </w:r>
          </w:p>
        </w:tc>
        <w:tc>
          <w:tcPr>
            <w:tcW w:w="0" w:type="dxa"/>
            <w:vAlign w:val="bottom"/>
          </w:tcPr>
          <w:p>
            <w:pPr>
              <w:spacing w:after="0"/>
              <w:rPr>
                <w:sz w:val="1"/>
                <w:szCs w:val="1"/>
                <w:color w:val="auto"/>
              </w:rPr>
            </w:pPr>
          </w:p>
        </w:tc>
      </w:tr>
      <w:tr>
        <w:trPr>
          <w:trHeight w:val="237"/>
        </w:trPr>
        <w:tc>
          <w:tcPr>
            <w:tcW w:w="7660" w:type="dxa"/>
            <w:vAlign w:val="bottom"/>
          </w:tcPr>
          <w:p>
            <w:pPr>
              <w:ind w:left="9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284,576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212,886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49,359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41,368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28,390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22,234</w:t>
            </w:r>
          </w:p>
        </w:tc>
        <w:tc>
          <w:tcPr>
            <w:tcW w:w="0" w:type="dxa"/>
            <w:vAlign w:val="bottom"/>
          </w:tcPr>
          <w:p>
            <w:pPr>
              <w:spacing w:after="0"/>
              <w:rPr>
                <w:sz w:val="1"/>
                <w:szCs w:val="1"/>
                <w:color w:val="auto"/>
              </w:rPr>
            </w:pPr>
          </w:p>
        </w:tc>
      </w:tr>
      <w:tr>
        <w:trPr>
          <w:trHeight w:val="237"/>
        </w:trPr>
        <w:tc>
          <w:tcPr>
            <w:tcW w:w="7660" w:type="dxa"/>
            <w:vAlign w:val="bottom"/>
          </w:tcPr>
          <w:p>
            <w:pPr>
              <w:ind w:left="920"/>
              <w:spacing w:after="0"/>
              <w:rPr>
                <w:sz w:val="20"/>
                <w:szCs w:val="20"/>
                <w:color w:val="auto"/>
              </w:rPr>
            </w:pPr>
            <w:r>
              <w:rPr>
                <w:rFonts w:ascii="Arial" w:cs="Arial" w:eastAsia="Arial" w:hAnsi="Arial"/>
                <w:sz w:val="18"/>
                <w:szCs w:val="18"/>
                <w:color w:val="auto"/>
              </w:rPr>
              <w:t>Total cost of revenue</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77,749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63,602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75,213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56,141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131,614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93,143</w:t>
            </w:r>
          </w:p>
        </w:tc>
        <w:tc>
          <w:tcPr>
            <w:tcW w:w="0" w:type="dxa"/>
            <w:vAlign w:val="bottom"/>
          </w:tcPr>
          <w:p>
            <w:pPr>
              <w:spacing w:after="0"/>
              <w:rPr>
                <w:sz w:val="1"/>
                <w:szCs w:val="1"/>
                <w:color w:val="auto"/>
              </w:rPr>
            </w:pPr>
          </w:p>
        </w:tc>
      </w:tr>
      <w:tr>
        <w:trPr>
          <w:trHeight w:val="237"/>
        </w:trPr>
        <w:tc>
          <w:tcPr>
            <w:tcW w:w="7660" w:type="dxa"/>
            <w:vAlign w:val="bottom"/>
          </w:tcPr>
          <w:p>
            <w:pPr>
              <w:ind w:left="920"/>
              <w:spacing w:after="0"/>
              <w:rPr>
                <w:sz w:val="20"/>
                <w:szCs w:val="20"/>
                <w:color w:val="auto"/>
              </w:rPr>
            </w:pPr>
            <w:r>
              <w:rPr>
                <w:rFonts w:ascii="Arial" w:cs="Arial" w:eastAsia="Arial" w:hAnsi="Arial"/>
                <w:sz w:val="18"/>
                <w:szCs w:val="18"/>
                <w:color w:val="auto"/>
              </w:rPr>
              <w:t>Total gross profit</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206,827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149,284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44,966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35,816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147,403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100,609</w:t>
            </w:r>
          </w:p>
        </w:tc>
        <w:tc>
          <w:tcPr>
            <w:tcW w:w="0" w:type="dxa"/>
            <w:vAlign w:val="bottom"/>
          </w:tcPr>
          <w:p>
            <w:pPr>
              <w:spacing w:after="0"/>
              <w:rPr>
                <w:sz w:val="1"/>
                <w:szCs w:val="1"/>
                <w:color w:val="auto"/>
              </w:rPr>
            </w:pP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19,802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11,961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660" w:type="dxa"/>
            <w:vAlign w:val="bottom"/>
          </w:tcPr>
          <w:p>
            <w:pPr>
              <w:ind w:left="9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212,499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148,386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1,746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EXPENSE—net</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97"/>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 (Note 8):</w:t>
            </w:r>
          </w:p>
        </w:tc>
        <w:tc>
          <w:tcPr>
            <w:tcW w:w="3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6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1"/>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171,745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168,077</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660" w:type="dxa"/>
            <w:vAlign w:val="bottom"/>
          </w:tcPr>
          <w:p>
            <w:pPr>
              <w:ind w:left="50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171,745</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173,720</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3220" w:type="dxa"/>
            <w:vAlign w:val="bottom"/>
            <w:gridSpan w:val="4"/>
          </w:tcPr>
          <w:p>
            <w:pPr>
              <w:jc w:val="right"/>
              <w:ind w:right="494"/>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9"/>
        </w:trPr>
        <w:tc>
          <w:tcPr>
            <w:tcW w:w="76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40" w:type="dxa"/>
            <w:vAlign w:val="bottom"/>
          </w:tcPr>
          <w:p>
            <w:pPr>
              <w:spacing w:after="0"/>
              <w:rPr>
                <w:sz w:val="18"/>
                <w:szCs w:val="18"/>
                <w:color w:val="auto"/>
              </w:rPr>
            </w:pPr>
          </w:p>
        </w:tc>
      </w:tr>
      <w:tr>
        <w:trPr>
          <w:trHeight w:val="210"/>
        </w:trPr>
        <w:tc>
          <w:tcPr>
            <w:tcW w:w="7660" w:type="dxa"/>
            <w:vAlign w:val="bottom"/>
          </w:tcPr>
          <w:p>
            <w:pPr>
              <w:spacing w:after="0"/>
              <w:rPr>
                <w:sz w:val="18"/>
                <w:szCs w:val="18"/>
                <w:color w:val="auto"/>
              </w:rPr>
            </w:pPr>
          </w:p>
        </w:tc>
        <w:tc>
          <w:tcPr>
            <w:tcW w:w="1260" w:type="dxa"/>
            <w:vAlign w:val="bottom"/>
          </w:tcPr>
          <w:p>
            <w:pPr>
              <w:jc w:val="right"/>
              <w:ind w:right="95"/>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114"/>
              <w:spacing w:after="0"/>
              <w:rPr>
                <w:sz w:val="20"/>
                <w:szCs w:val="20"/>
                <w:color w:val="auto"/>
              </w:rPr>
            </w:pPr>
            <w:r>
              <w:rPr>
                <w:rFonts w:ascii="Arial" w:cs="Arial" w:eastAsia="Arial" w:hAnsi="Arial"/>
                <w:sz w:val="16"/>
                <w:szCs w:val="16"/>
                <w:b w:val="1"/>
                <w:bCs w:val="1"/>
                <w:color w:val="auto"/>
              </w:rPr>
              <w:t>2015</w:t>
            </w:r>
          </w:p>
        </w:tc>
        <w:tc>
          <w:tcPr>
            <w:tcW w:w="540" w:type="dxa"/>
            <w:vAlign w:val="bottom"/>
          </w:tcPr>
          <w:p>
            <w:pPr>
              <w:spacing w:after="0"/>
              <w:rPr>
                <w:sz w:val="18"/>
                <w:szCs w:val="18"/>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260" w:type="dxa"/>
            <w:vAlign w:val="bottom"/>
            <w:tcBorders>
              <w:bottom w:val="single" w:sz="8" w:color="CCEEFF"/>
            </w:tcBorders>
            <w:shd w:val="clear" w:color="auto" w:fill="CCEEFF"/>
          </w:tcPr>
          <w:p>
            <w:pPr>
              <w:jc w:val="right"/>
              <w:ind w:right="1055"/>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(3,429)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7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1,560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gains on investments</w:t>
            </w:r>
          </w:p>
        </w:tc>
        <w:tc>
          <w:tcPr>
            <w:tcW w:w="1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1,888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Tax provision related to other items of other comprehensive income</w:t>
            </w:r>
          </w:p>
        </w:tc>
        <w:tc>
          <w:tcPr>
            <w:tcW w:w="1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7"/>
        </w:trPr>
        <w:tc>
          <w:tcPr>
            <w:tcW w:w="76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income—net of taxes</w:t>
            </w:r>
          </w:p>
        </w:tc>
        <w:tc>
          <w:tcPr>
            <w:tcW w:w="12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1,227</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1260" w:type="dxa"/>
            <w:vAlign w:val="bottom"/>
            <w:tcBorders>
              <w:top w:val="single" w:sz="8" w:color="auto"/>
              <w:bottom w:val="single" w:sz="8" w:color="auto"/>
            </w:tcBorders>
          </w:tcPr>
          <w:p>
            <w:pPr>
              <w:jc w:val="right"/>
              <w:ind w:right="1055"/>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(2,202)</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ind w:right="1074"/>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2,135</w:t>
            </w:r>
          </w:p>
        </w:tc>
      </w:tr>
      <w:tr>
        <w:trPr>
          <w:trHeight w:val="20"/>
        </w:trPr>
        <w:tc>
          <w:tcPr>
            <w:tcW w:w="7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40" w:type="dxa"/>
            <w:vAlign w:val="bottom"/>
            <w:gridSpan w:val="4"/>
          </w:tcPr>
          <w:p>
            <w:pPr>
              <w:jc w:val="right"/>
              <w:ind w:right="1047"/>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9"/>
        </w:trPr>
        <w:tc>
          <w:tcPr>
            <w:tcW w:w="7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w:t>
            </w:r>
          </w:p>
        </w:tc>
        <w:tc>
          <w:tcPr>
            <w:tcW w:w="300" w:type="dxa"/>
            <w:vAlign w:val="bottom"/>
          </w:tcPr>
          <w:p>
            <w:pPr>
              <w:spacing w:after="0"/>
              <w:rPr>
                <w:sz w:val="18"/>
                <w:szCs w:val="18"/>
                <w:color w:val="auto"/>
              </w:rPr>
            </w:pPr>
          </w:p>
        </w:tc>
        <w:tc>
          <w:tcPr>
            <w:tcW w:w="1500" w:type="dxa"/>
            <w:vAlign w:val="bottom"/>
          </w:tcPr>
          <w:p>
            <w:pPr>
              <w:jc w:val="right"/>
              <w:ind w:right="507"/>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7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jc w:val="right"/>
              <w:ind w:right="687"/>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ind w:right="667"/>
              <w:spacing w:after="0"/>
              <w:rPr>
                <w:sz w:val="20"/>
                <w:szCs w:val="20"/>
                <w:color w:val="auto"/>
              </w:rPr>
            </w:pPr>
            <w:r>
              <w:rPr>
                <w:rFonts w:ascii="Arial" w:cs="Arial" w:eastAsia="Arial" w:hAnsi="Arial"/>
                <w:sz w:val="16"/>
                <w:szCs w:val="16"/>
                <w:b w:val="1"/>
                <w:bCs w:val="1"/>
                <w:color w:val="auto"/>
              </w:rPr>
              <w:t>2015</w:t>
            </w:r>
          </w:p>
        </w:tc>
      </w:tr>
      <w:tr>
        <w:trPr>
          <w:trHeight w:val="33"/>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64"/>
        </w:trPr>
        <w:tc>
          <w:tcPr>
            <w:tcW w:w="7660" w:type="dxa"/>
            <w:vAlign w:val="bottom"/>
          </w:tcPr>
          <w:p>
            <w:pPr>
              <w:ind w:left="500"/>
              <w:spacing w:after="0"/>
              <w:rPr>
                <w:sz w:val="20"/>
                <w:szCs w:val="20"/>
                <w:color w:val="auto"/>
              </w:rPr>
            </w:pPr>
            <w:r>
              <w:rPr>
                <w:rFonts w:ascii="Arial" w:cs="Arial" w:eastAsia="Arial" w:hAnsi="Arial"/>
                <w:sz w:val="14"/>
                <w:szCs w:val="14"/>
                <w:color w:val="auto"/>
              </w:rPr>
              <w:t>Net income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(3,429)</w:t>
            </w:r>
          </w:p>
        </w:tc>
        <w:tc>
          <w:tcPr>
            <w:tcW w:w="120" w:type="dxa"/>
            <w:vAlign w:val="bottom"/>
          </w:tcPr>
          <w:p>
            <w:pPr>
              <w:spacing w:after="0"/>
              <w:rPr>
                <w:sz w:val="22"/>
                <w:szCs w:val="22"/>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ind w:right="27"/>
              <w:spacing w:after="0"/>
              <w:rPr>
                <w:sz w:val="20"/>
                <w:szCs w:val="20"/>
                <w:color w:val="auto"/>
              </w:rPr>
            </w:pPr>
            <w:r>
              <w:rPr>
                <w:rFonts w:ascii="Arial" w:cs="Arial" w:eastAsia="Arial" w:hAnsi="Arial"/>
                <w:sz w:val="14"/>
                <w:szCs w:val="14"/>
                <w:color w:val="auto"/>
              </w:rPr>
              <w:t>1,560</w:t>
            </w:r>
          </w:p>
        </w:tc>
      </w:tr>
      <w:tr>
        <w:trPr>
          <w:trHeight w:val="276"/>
        </w:trPr>
        <w:tc>
          <w:tcPr>
            <w:tcW w:w="7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4"/>
        </w:trPr>
        <w:tc>
          <w:tcPr>
            <w:tcW w:w="7660" w:type="dxa"/>
            <w:vAlign w:val="bottom"/>
          </w:tcPr>
          <w:p>
            <w:pPr>
              <w:ind w:left="9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22"/>
                <w:szCs w:val="22"/>
                <w:color w:val="auto"/>
              </w:rPr>
            </w:pPr>
          </w:p>
        </w:tc>
        <w:tc>
          <w:tcPr>
            <w:tcW w:w="1520" w:type="dxa"/>
            <w:vAlign w:val="bottom"/>
          </w:tcPr>
          <w:p>
            <w:pPr>
              <w:jc w:val="right"/>
              <w:ind w:right="27"/>
              <w:spacing w:after="0"/>
              <w:rPr>
                <w:sz w:val="20"/>
                <w:szCs w:val="20"/>
                <w:color w:val="auto"/>
              </w:rPr>
            </w:pPr>
            <w:r>
              <w:rPr>
                <w:rFonts w:ascii="Arial" w:cs="Arial" w:eastAsia="Arial" w:hAnsi="Arial"/>
                <w:sz w:val="14"/>
                <w:szCs w:val="14"/>
                <w:color w:val="auto"/>
              </w:rPr>
              <w:t>10,550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jc w:val="right"/>
              <w:ind w:right="27"/>
              <w:spacing w:after="0"/>
              <w:rPr>
                <w:sz w:val="20"/>
                <w:szCs w:val="20"/>
                <w:color w:val="auto"/>
              </w:rPr>
            </w:pPr>
            <w:r>
              <w:rPr>
                <w:rFonts w:ascii="Arial" w:cs="Arial" w:eastAsia="Arial" w:hAnsi="Arial"/>
                <w:sz w:val="14"/>
                <w:szCs w:val="14"/>
                <w:color w:val="auto"/>
              </w:rPr>
              <w:t>6,353</w:t>
            </w:r>
          </w:p>
        </w:tc>
      </w:tr>
      <w:tr>
        <w:trPr>
          <w:trHeight w:val="276"/>
        </w:trPr>
        <w:tc>
          <w:tcPr>
            <w:tcW w:w="766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investment premiums</w:t>
            </w: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1,497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1,938</w:t>
            </w:r>
          </w:p>
        </w:tc>
      </w:tr>
      <w:tr>
        <w:trPr>
          <w:trHeight w:val="264"/>
        </w:trPr>
        <w:tc>
          <w:tcPr>
            <w:tcW w:w="7660" w:type="dxa"/>
            <w:vAlign w:val="bottom"/>
          </w:tcPr>
          <w:p>
            <w:pPr>
              <w:ind w:left="920"/>
              <w:spacing w:after="0"/>
              <w:rPr>
                <w:sz w:val="20"/>
                <w:szCs w:val="20"/>
                <w:color w:val="auto"/>
              </w:rPr>
            </w:pPr>
            <w:r>
              <w:rPr>
                <w:rFonts w:ascii="Arial" w:cs="Arial" w:eastAsia="Arial" w:hAnsi="Arial"/>
                <w:sz w:val="14"/>
                <w:szCs w:val="14"/>
                <w:color w:val="auto"/>
              </w:rPr>
              <w:t>Stock-based compensation</w:t>
            </w:r>
          </w:p>
        </w:tc>
        <w:tc>
          <w:tcPr>
            <w:tcW w:w="320" w:type="dxa"/>
            <w:vAlign w:val="bottom"/>
          </w:tcPr>
          <w:p>
            <w:pPr>
              <w:spacing w:after="0"/>
              <w:rPr>
                <w:sz w:val="22"/>
                <w:szCs w:val="22"/>
                <w:color w:val="auto"/>
              </w:rPr>
            </w:pPr>
          </w:p>
        </w:tc>
        <w:tc>
          <w:tcPr>
            <w:tcW w:w="1520" w:type="dxa"/>
            <w:vAlign w:val="bottom"/>
          </w:tcPr>
          <w:p>
            <w:pPr>
              <w:jc w:val="right"/>
              <w:ind w:right="27"/>
              <w:spacing w:after="0"/>
              <w:rPr>
                <w:sz w:val="20"/>
                <w:szCs w:val="20"/>
                <w:color w:val="auto"/>
              </w:rPr>
            </w:pPr>
            <w:r>
              <w:rPr>
                <w:rFonts w:ascii="Arial" w:cs="Arial" w:eastAsia="Arial" w:hAnsi="Arial"/>
                <w:sz w:val="14"/>
                <w:szCs w:val="14"/>
                <w:color w:val="auto"/>
              </w:rPr>
              <w:t>30,881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jc w:val="right"/>
              <w:ind w:right="27"/>
              <w:spacing w:after="0"/>
              <w:rPr>
                <w:sz w:val="20"/>
                <w:szCs w:val="20"/>
                <w:color w:val="auto"/>
              </w:rPr>
            </w:pPr>
            <w:r>
              <w:rPr>
                <w:rFonts w:ascii="Arial" w:cs="Arial" w:eastAsia="Arial" w:hAnsi="Arial"/>
                <w:sz w:val="14"/>
                <w:szCs w:val="14"/>
                <w:color w:val="auto"/>
              </w:rPr>
              <w:t>18,880</w:t>
            </w:r>
          </w:p>
        </w:tc>
      </w:tr>
      <w:tr>
        <w:trPr>
          <w:trHeight w:val="276"/>
        </w:trPr>
        <w:tc>
          <w:tcPr>
            <w:tcW w:w="7660" w:type="dxa"/>
            <w:vAlign w:val="bottom"/>
            <w:shd w:val="clear" w:color="auto" w:fill="CCEEFF"/>
          </w:tcPr>
          <w:p>
            <w:pPr>
              <w:ind w:left="920"/>
              <w:spacing w:after="0"/>
              <w:rPr>
                <w:sz w:val="20"/>
                <w:szCs w:val="20"/>
                <w:color w:val="auto"/>
              </w:rPr>
            </w:pPr>
            <w:r>
              <w:rPr>
                <w:rFonts w:ascii="Arial" w:cs="Arial" w:eastAsia="Arial" w:hAnsi="Arial"/>
                <w:sz w:val="14"/>
                <w:szCs w:val="14"/>
                <w:color w:val="auto"/>
              </w:rPr>
              <w:t>Other non-cash items—net</w:t>
            </w: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159</w:t>
            </w:r>
          </w:p>
        </w:tc>
      </w:tr>
      <w:tr>
        <w:trPr>
          <w:trHeight w:val="264"/>
        </w:trPr>
        <w:tc>
          <w:tcPr>
            <w:tcW w:w="7660" w:type="dxa"/>
            <w:vAlign w:val="bottom"/>
          </w:tcPr>
          <w:p>
            <w:pPr>
              <w:ind w:left="92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6"/>
        </w:trPr>
        <w:tc>
          <w:tcPr>
            <w:tcW w:w="766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Accounts receivable—net</w:t>
            </w: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38,920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23,621</w:t>
            </w:r>
          </w:p>
        </w:tc>
      </w:tr>
      <w:tr>
        <w:trPr>
          <w:trHeight w:val="264"/>
        </w:trPr>
        <w:tc>
          <w:tcPr>
            <w:tcW w:w="7660" w:type="dxa"/>
            <w:vAlign w:val="bottom"/>
          </w:tcPr>
          <w:p>
            <w:pPr>
              <w:ind w:left="1460"/>
              <w:spacing w:after="0"/>
              <w:rPr>
                <w:sz w:val="20"/>
                <w:szCs w:val="20"/>
                <w:color w:val="auto"/>
              </w:rPr>
            </w:pPr>
            <w:r>
              <w:rPr>
                <w:rFonts w:ascii="Arial" w:cs="Arial" w:eastAsia="Arial" w:hAnsi="Arial"/>
                <w:sz w:val="14"/>
                <w:szCs w:val="14"/>
                <w:color w:val="auto"/>
              </w:rPr>
              <w:t>Inventory</w:t>
            </w:r>
          </w:p>
        </w:tc>
        <w:tc>
          <w:tcPr>
            <w:tcW w:w="3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(6,296)</w:t>
            </w:r>
          </w:p>
        </w:tc>
      </w:tr>
      <w:tr>
        <w:trPr>
          <w:trHeight w:val="276"/>
        </w:trPr>
        <w:tc>
          <w:tcPr>
            <w:tcW w:w="766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Deferred tax assets</w:t>
            </w: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(13,141)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(7,918)</w:t>
            </w:r>
          </w:p>
        </w:tc>
      </w:tr>
      <w:tr>
        <w:trPr>
          <w:trHeight w:val="264"/>
        </w:trPr>
        <w:tc>
          <w:tcPr>
            <w:tcW w:w="7660" w:type="dxa"/>
            <w:vAlign w:val="bottom"/>
          </w:tcPr>
          <w:p>
            <w:pPr>
              <w:ind w:left="1460"/>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tcPr>
          <w:p>
            <w:pPr>
              <w:spacing w:after="0"/>
              <w:rPr>
                <w:sz w:val="22"/>
                <w:szCs w:val="22"/>
                <w:color w:val="auto"/>
              </w:rPr>
            </w:pPr>
          </w:p>
        </w:tc>
        <w:tc>
          <w:tcPr>
            <w:tcW w:w="1520" w:type="dxa"/>
            <w:vAlign w:val="bottom"/>
          </w:tcPr>
          <w:p>
            <w:pPr>
              <w:jc w:val="right"/>
              <w:ind w:right="27"/>
              <w:spacing w:after="0"/>
              <w:rPr>
                <w:sz w:val="20"/>
                <w:szCs w:val="20"/>
                <w:color w:val="auto"/>
              </w:rPr>
            </w:pPr>
            <w:r>
              <w:rPr>
                <w:rFonts w:ascii="Arial" w:cs="Arial" w:eastAsia="Arial" w:hAnsi="Arial"/>
                <w:sz w:val="14"/>
                <w:szCs w:val="14"/>
                <w:color w:val="auto"/>
              </w:rPr>
              <w:t>1,029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(1,203)</w:t>
            </w:r>
          </w:p>
        </w:tc>
      </w:tr>
      <w:tr>
        <w:trPr>
          <w:trHeight w:val="276"/>
        </w:trPr>
        <w:tc>
          <w:tcPr>
            <w:tcW w:w="766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assets</w:t>
            </w: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507</w:t>
            </w:r>
          </w:p>
        </w:tc>
      </w:tr>
      <w:tr>
        <w:trPr>
          <w:trHeight w:val="264"/>
        </w:trPr>
        <w:tc>
          <w:tcPr>
            <w:tcW w:w="7660" w:type="dxa"/>
            <w:vAlign w:val="bottom"/>
          </w:tcPr>
          <w:p>
            <w:pPr>
              <w:ind w:left="146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(11,426)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(11,305)</w:t>
            </w:r>
          </w:p>
        </w:tc>
      </w:tr>
      <w:tr>
        <w:trPr>
          <w:trHeight w:val="276"/>
        </w:trPr>
        <w:tc>
          <w:tcPr>
            <w:tcW w:w="766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Accrued liabilities</w:t>
            </w: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(3,450)</w:t>
            </w:r>
          </w:p>
        </w:tc>
      </w:tr>
      <w:tr>
        <w:trPr>
          <w:trHeight w:val="264"/>
        </w:trPr>
        <w:tc>
          <w:tcPr>
            <w:tcW w:w="7660" w:type="dxa"/>
            <w:vAlign w:val="bottom"/>
          </w:tcPr>
          <w:p>
            <w:pPr>
              <w:ind w:left="1460"/>
              <w:spacing w:after="0"/>
              <w:rPr>
                <w:sz w:val="20"/>
                <w:szCs w:val="20"/>
                <w:color w:val="auto"/>
              </w:rPr>
            </w:pPr>
            <w:r>
              <w:rPr>
                <w:rFonts w:ascii="Arial" w:cs="Arial" w:eastAsia="Arial" w:hAnsi="Arial"/>
                <w:sz w:val="14"/>
                <w:szCs w:val="14"/>
                <w:color w:val="auto"/>
              </w:rPr>
              <w:t>Accrued payroll and compensation</w:t>
            </w:r>
          </w:p>
        </w:tc>
        <w:tc>
          <w:tcPr>
            <w:tcW w:w="3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(2,945)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(3,149)</w:t>
            </w:r>
          </w:p>
        </w:tc>
      </w:tr>
      <w:tr>
        <w:trPr>
          <w:trHeight w:val="276"/>
        </w:trPr>
        <w:tc>
          <w:tcPr>
            <w:tcW w:w="766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liabilities</w:t>
            </w: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(1,569)</w:t>
            </w:r>
          </w:p>
        </w:tc>
      </w:tr>
      <w:tr>
        <w:trPr>
          <w:trHeight w:val="264"/>
        </w:trPr>
        <w:tc>
          <w:tcPr>
            <w:tcW w:w="7660" w:type="dxa"/>
            <w:vAlign w:val="bottom"/>
          </w:tcPr>
          <w:p>
            <w:pPr>
              <w:ind w:left="1460"/>
              <w:spacing w:after="0"/>
              <w:rPr>
                <w:sz w:val="20"/>
                <w:szCs w:val="20"/>
                <w:color w:val="auto"/>
              </w:rPr>
            </w:pPr>
            <w:r>
              <w:rPr>
                <w:rFonts w:ascii="Arial" w:cs="Arial" w:eastAsia="Arial" w:hAnsi="Arial"/>
                <w:sz w:val="14"/>
                <w:szCs w:val="14"/>
                <w:color w:val="auto"/>
              </w:rPr>
              <w:t>Deferred revenue</w:t>
            </w:r>
          </w:p>
        </w:tc>
        <w:tc>
          <w:tcPr>
            <w:tcW w:w="320" w:type="dxa"/>
            <w:vAlign w:val="bottom"/>
          </w:tcPr>
          <w:p>
            <w:pPr>
              <w:spacing w:after="0"/>
              <w:rPr>
                <w:sz w:val="22"/>
                <w:szCs w:val="22"/>
                <w:color w:val="auto"/>
              </w:rPr>
            </w:pPr>
          </w:p>
        </w:tc>
        <w:tc>
          <w:tcPr>
            <w:tcW w:w="1520" w:type="dxa"/>
            <w:vAlign w:val="bottom"/>
          </w:tcPr>
          <w:p>
            <w:pPr>
              <w:jc w:val="right"/>
              <w:ind w:right="27"/>
              <w:spacing w:after="0"/>
              <w:rPr>
                <w:sz w:val="20"/>
                <w:szCs w:val="20"/>
                <w:color w:val="auto"/>
              </w:rPr>
            </w:pPr>
            <w:r>
              <w:rPr>
                <w:rFonts w:ascii="Arial" w:cs="Arial" w:eastAsia="Arial" w:hAnsi="Arial"/>
                <w:sz w:val="14"/>
                <w:szCs w:val="14"/>
                <w:color w:val="auto"/>
              </w:rPr>
              <w:t>46,106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jc w:val="right"/>
              <w:ind w:right="27"/>
              <w:spacing w:after="0"/>
              <w:rPr>
                <w:sz w:val="20"/>
                <w:szCs w:val="20"/>
                <w:color w:val="auto"/>
              </w:rPr>
            </w:pPr>
            <w:r>
              <w:rPr>
                <w:rFonts w:ascii="Arial" w:cs="Arial" w:eastAsia="Arial" w:hAnsi="Arial"/>
                <w:sz w:val="14"/>
                <w:szCs w:val="14"/>
                <w:color w:val="auto"/>
              </w:rPr>
              <w:t>40,696</w:t>
            </w:r>
          </w:p>
        </w:tc>
      </w:tr>
      <w:tr>
        <w:trPr>
          <w:trHeight w:val="270"/>
        </w:trPr>
        <w:tc>
          <w:tcPr>
            <w:tcW w:w="766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Income taxes payable</w:t>
            </w:r>
          </w:p>
        </w:tc>
        <w:tc>
          <w:tcPr>
            <w:tcW w:w="3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5,391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5,795</w:t>
            </w:r>
          </w:p>
        </w:tc>
      </w:tr>
      <w:tr>
        <w:trPr>
          <w:trHeight w:val="250"/>
        </w:trPr>
        <w:tc>
          <w:tcPr>
            <w:tcW w:w="766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100,591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64,619</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4"/>
        </w:trPr>
        <w:tc>
          <w:tcPr>
            <w:tcW w:w="7660" w:type="dxa"/>
            <w:vAlign w:val="bottom"/>
          </w:tcPr>
          <w:p>
            <w:pPr>
              <w:ind w:left="500"/>
              <w:spacing w:after="0"/>
              <w:rPr>
                <w:sz w:val="20"/>
                <w:szCs w:val="20"/>
                <w:color w:val="auto"/>
              </w:rPr>
            </w:pPr>
            <w:r>
              <w:rPr>
                <w:rFonts w:ascii="Arial" w:cs="Arial" w:eastAsia="Arial" w:hAnsi="Arial"/>
                <w:sz w:val="14"/>
                <w:szCs w:val="14"/>
                <w:color w:val="auto"/>
              </w:rPr>
              <w:t>Purchases of investments</w:t>
            </w:r>
          </w:p>
        </w:tc>
        <w:tc>
          <w:tcPr>
            <w:tcW w:w="3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(115,672)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(120,991)</w:t>
            </w:r>
          </w:p>
        </w:tc>
      </w:tr>
      <w:tr>
        <w:trPr>
          <w:trHeight w:val="276"/>
        </w:trPr>
        <w:tc>
          <w:tcPr>
            <w:tcW w:w="7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Sales of investments</w:t>
            </w: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2,867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6,679</w:t>
            </w:r>
          </w:p>
        </w:tc>
      </w:tr>
      <w:tr>
        <w:trPr>
          <w:trHeight w:val="264"/>
        </w:trPr>
        <w:tc>
          <w:tcPr>
            <w:tcW w:w="7660" w:type="dxa"/>
            <w:vAlign w:val="bottom"/>
          </w:tcPr>
          <w:p>
            <w:pPr>
              <w:ind w:left="500"/>
              <w:spacing w:after="0"/>
              <w:rPr>
                <w:sz w:val="20"/>
                <w:szCs w:val="20"/>
                <w:color w:val="auto"/>
              </w:rPr>
            </w:pPr>
            <w:r>
              <w:rPr>
                <w:rFonts w:ascii="Arial" w:cs="Arial" w:eastAsia="Arial" w:hAnsi="Arial"/>
                <w:sz w:val="14"/>
                <w:szCs w:val="14"/>
                <w:color w:val="auto"/>
              </w:rPr>
              <w:t>Maturities of investments</w:t>
            </w:r>
          </w:p>
        </w:tc>
        <w:tc>
          <w:tcPr>
            <w:tcW w:w="320" w:type="dxa"/>
            <w:vAlign w:val="bottom"/>
          </w:tcPr>
          <w:p>
            <w:pPr>
              <w:spacing w:after="0"/>
              <w:rPr>
                <w:sz w:val="22"/>
                <w:szCs w:val="22"/>
                <w:color w:val="auto"/>
              </w:rPr>
            </w:pPr>
          </w:p>
        </w:tc>
        <w:tc>
          <w:tcPr>
            <w:tcW w:w="1520" w:type="dxa"/>
            <w:vAlign w:val="bottom"/>
          </w:tcPr>
          <w:p>
            <w:pPr>
              <w:jc w:val="right"/>
              <w:ind w:right="27"/>
              <w:spacing w:after="0"/>
              <w:rPr>
                <w:sz w:val="20"/>
                <w:szCs w:val="20"/>
                <w:color w:val="auto"/>
              </w:rPr>
            </w:pPr>
            <w:r>
              <w:rPr>
                <w:rFonts w:ascii="Arial" w:cs="Arial" w:eastAsia="Arial" w:hAnsi="Arial"/>
                <w:sz w:val="14"/>
                <w:szCs w:val="14"/>
                <w:color w:val="auto"/>
              </w:rPr>
              <w:t>108,557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jc w:val="right"/>
              <w:ind w:right="27"/>
              <w:spacing w:after="0"/>
              <w:rPr>
                <w:sz w:val="20"/>
                <w:szCs w:val="20"/>
                <w:color w:val="auto"/>
              </w:rPr>
            </w:pPr>
            <w:r>
              <w:rPr>
                <w:rFonts w:ascii="Arial" w:cs="Arial" w:eastAsia="Arial" w:hAnsi="Arial"/>
                <w:sz w:val="14"/>
                <w:szCs w:val="14"/>
                <w:color w:val="auto"/>
              </w:rPr>
              <w:t>135,363</w:t>
            </w:r>
          </w:p>
        </w:tc>
      </w:tr>
      <w:tr>
        <w:trPr>
          <w:trHeight w:val="270"/>
        </w:trPr>
        <w:tc>
          <w:tcPr>
            <w:tcW w:w="7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Purchases of property and equipment</w:t>
            </w:r>
          </w:p>
        </w:tc>
        <w:tc>
          <w:tcPr>
            <w:tcW w:w="3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(29,956)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(4,927)</w:t>
            </w:r>
          </w:p>
        </w:tc>
      </w:tr>
      <w:tr>
        <w:trPr>
          <w:trHeight w:val="250"/>
        </w:trPr>
        <w:tc>
          <w:tcPr>
            <w:tcW w:w="766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provided by (used in) investing activities</w:t>
            </w:r>
          </w:p>
        </w:tc>
        <w:tc>
          <w:tcPr>
            <w:tcW w:w="3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(34,204)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16,124</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4"/>
        </w:trPr>
        <w:tc>
          <w:tcPr>
            <w:tcW w:w="7660" w:type="dxa"/>
            <w:vAlign w:val="bottom"/>
          </w:tcPr>
          <w:p>
            <w:pPr>
              <w:ind w:left="500"/>
              <w:spacing w:after="0"/>
              <w:rPr>
                <w:sz w:val="20"/>
                <w:szCs w:val="20"/>
                <w:color w:val="auto"/>
              </w:rPr>
            </w:pPr>
            <w:r>
              <w:rPr>
                <w:rFonts w:ascii="Arial" w:cs="Arial" w:eastAsia="Arial" w:hAnsi="Arial"/>
                <w:sz w:val="14"/>
                <w:szCs w:val="14"/>
                <w:color w:val="auto"/>
              </w:rPr>
              <w:t>Proceeds from issuance of common stock</w:t>
            </w:r>
          </w:p>
        </w:tc>
        <w:tc>
          <w:tcPr>
            <w:tcW w:w="320" w:type="dxa"/>
            <w:vAlign w:val="bottom"/>
          </w:tcPr>
          <w:p>
            <w:pPr>
              <w:spacing w:after="0"/>
              <w:rPr>
                <w:sz w:val="22"/>
                <w:szCs w:val="22"/>
                <w:color w:val="auto"/>
              </w:rPr>
            </w:pPr>
          </w:p>
        </w:tc>
        <w:tc>
          <w:tcPr>
            <w:tcW w:w="1520" w:type="dxa"/>
            <w:vAlign w:val="bottom"/>
          </w:tcPr>
          <w:p>
            <w:pPr>
              <w:jc w:val="right"/>
              <w:ind w:right="27"/>
              <w:spacing w:after="0"/>
              <w:rPr>
                <w:sz w:val="20"/>
                <w:szCs w:val="20"/>
                <w:color w:val="auto"/>
              </w:rPr>
            </w:pPr>
            <w:r>
              <w:rPr>
                <w:rFonts w:ascii="Arial" w:cs="Arial" w:eastAsia="Arial" w:hAnsi="Arial"/>
                <w:sz w:val="14"/>
                <w:szCs w:val="14"/>
                <w:color w:val="auto"/>
              </w:rPr>
              <w:t>17,785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jc w:val="right"/>
              <w:ind w:right="27"/>
              <w:spacing w:after="0"/>
              <w:rPr>
                <w:sz w:val="20"/>
                <w:szCs w:val="20"/>
                <w:color w:val="auto"/>
              </w:rPr>
            </w:pPr>
            <w:r>
              <w:rPr>
                <w:rFonts w:ascii="Arial" w:cs="Arial" w:eastAsia="Arial" w:hAnsi="Arial"/>
                <w:sz w:val="14"/>
                <w:szCs w:val="14"/>
                <w:color w:val="auto"/>
              </w:rPr>
              <w:t>28,955</w:t>
            </w:r>
          </w:p>
        </w:tc>
      </w:tr>
      <w:tr>
        <w:trPr>
          <w:trHeight w:val="276"/>
        </w:trPr>
        <w:tc>
          <w:tcPr>
            <w:tcW w:w="7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Taxes paid related to net share settlement of equity awards</w:t>
            </w: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(6,600)</w:t>
            </w:r>
          </w:p>
        </w:tc>
      </w:tr>
      <w:tr>
        <w:trPr>
          <w:trHeight w:val="264"/>
        </w:trPr>
        <w:tc>
          <w:tcPr>
            <w:tcW w:w="76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Repurchase and retirement of common stock</w:t>
            </w:r>
          </w:p>
        </w:tc>
        <w:tc>
          <w:tcPr>
            <w:tcW w:w="3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w:t>
            </w:r>
          </w:p>
        </w:tc>
      </w:tr>
      <w:tr>
        <w:trPr>
          <w:trHeight w:val="250"/>
        </w:trPr>
        <w:tc>
          <w:tcPr>
            <w:tcW w:w="766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Net cash provided by (used in) financing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(41,656)</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22,355</w:t>
            </w:r>
          </w:p>
        </w:tc>
      </w:tr>
      <w:tr>
        <w:trPr>
          <w:trHeight w:val="250"/>
        </w:trPr>
        <w:tc>
          <w:tcPr>
            <w:tcW w:w="766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320" w:type="dxa"/>
            <w:vAlign w:val="bottom"/>
          </w:tcPr>
          <w:p>
            <w:pPr>
              <w:spacing w:after="0"/>
              <w:rPr>
                <w:sz w:val="21"/>
                <w:szCs w:val="21"/>
                <w:color w:val="auto"/>
              </w:rPr>
            </w:pPr>
          </w:p>
        </w:tc>
        <w:tc>
          <w:tcPr>
            <w:tcW w:w="1520" w:type="dxa"/>
            <w:vAlign w:val="bottom"/>
          </w:tcPr>
          <w:p>
            <w:pPr>
              <w:jc w:val="right"/>
              <w:ind w:right="27"/>
              <w:spacing w:after="0"/>
              <w:rPr>
                <w:sz w:val="20"/>
                <w:szCs w:val="20"/>
                <w:color w:val="auto"/>
              </w:rPr>
            </w:pPr>
            <w:r>
              <w:rPr>
                <w:rFonts w:ascii="Arial" w:cs="Arial" w:eastAsia="Arial" w:hAnsi="Arial"/>
                <w:sz w:val="14"/>
                <w:szCs w:val="14"/>
                <w:color w:val="auto"/>
              </w:rPr>
              <w:t>24,731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27"/>
              <w:spacing w:after="0"/>
              <w:rPr>
                <w:sz w:val="20"/>
                <w:szCs w:val="20"/>
                <w:color w:val="auto"/>
              </w:rPr>
            </w:pPr>
            <w:r>
              <w:rPr>
                <w:rFonts w:ascii="Arial" w:cs="Arial" w:eastAsia="Arial" w:hAnsi="Arial"/>
                <w:sz w:val="14"/>
                <w:szCs w:val="14"/>
                <w:color w:val="auto"/>
              </w:rPr>
              <w:t>103,098</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543,277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283,254</w:t>
            </w:r>
          </w:p>
        </w:tc>
      </w:tr>
      <w:tr>
        <w:trPr>
          <w:trHeight w:val="283"/>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EQUIVALENTS—End of period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568,008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386,352</w:t>
            </w:r>
          </w:p>
        </w:tc>
      </w:tr>
      <w:tr>
        <w:trPr>
          <w:trHeight w:val="251"/>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3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97"/>
        </w:trPr>
        <w:tc>
          <w:tcPr>
            <w:tcW w:w="76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Cash paid for income taxes—net</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5,574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6,498</w:t>
            </w:r>
          </w:p>
        </w:tc>
      </w:tr>
      <w:tr>
        <w:trPr>
          <w:trHeight w:val="251"/>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3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97"/>
        </w:trPr>
        <w:tc>
          <w:tcPr>
            <w:tcW w:w="76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Transfers of evaluation units from inventory to property and equipment</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6,671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3,869</w:t>
            </w:r>
          </w:p>
        </w:tc>
      </w:tr>
      <w:tr>
        <w:trPr>
          <w:trHeight w:val="21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Liability for purchase of property and equipment and asset retirement obligations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7,843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2,140</w:t>
            </w: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b w:val="1"/>
          <w:bCs w:val="1"/>
          <w:color w:val="auto"/>
        </w:rPr>
        <w:t>Basis of Presentation and Preparation</w:t>
      </w:r>
      <w:r>
        <w:rPr>
          <w:rFonts w:ascii="Arial" w:cs="Arial" w:eastAsia="Arial" w:hAnsi="Arial"/>
          <w:sz w:val="17"/>
          <w:szCs w:val="17"/>
          <w:color w:val="auto"/>
        </w:rPr>
        <w:t>—The unaudited condensed consolidated financial statements of Fortinet, Inc. and its wholly-owned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(“SEC”). Accordingly, they do not include all of the information and footnotes required by GAAP for complete financial statements, and should be read in conjunction with our audited consolidated financial statements as of and for the year ended December 31, 2015, contained in our Annual Report on Form 10-K (the “Form 10-K”) filed with the SEC on February 26, 2016. In the opinion of management, all adjustments, which includes normal recurring adjustments, considered necessary for a fair presentation have been included. All intercompany balances, transactions and cash flows have been eliminated. The results of operations for the three months ended March 31, 2016 are not necessarily indicative of the results for the full year or for any future periods. The condensed consolidated balance sheet as of December 31, 2015 is derived from the audited consolidated financial statements for the year ended December 31, 2015.</w:t>
      </w:r>
    </w:p>
    <w:p>
      <w:pPr>
        <w:spacing w:after="0" w:line="182"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to our significant accounting policies as of and for the three months ended March 31, 2016.</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September 2015, the Financial Accounting Standards Board (“FASB”) issued Accounting Standards Update (“ASU”) 2015-16—Business Combinations—Simplifying the Accounting for Measurement-Period Adjustments, which eliminates the requirement for an acquirer in a business combination to account for measurement-period adjustments retrospectively. Instead, acquirers must recognize measurement-period adjustments during the period in which they determine the amounts, including the effect on earnings of any amounts they would have recorded in previous periods if the accounting had been completed at the acquisition date. We adopted ASU 2015-16 on January 1, 2016. The adoption of ASU 2015-16 did not have any impact on our consolidated financial statements.</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April 2015, the FASB issued ASU 2015-05—Intangibles—Goodwill and Other—Internal—Use Software— Customer’s Accounting for Fees Paid in a Cloud Computing Arrangement, which provides guidance on determining whether a cloud computing arrangement contains a software license.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We adopted ASU 2015-05 on a prospective basis beginning on January 1, 2016. The impact of ASU 2015-05 did not have a significant impact on our consolidated financial statements.</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February 2015, the FASB issued ASU 2015-02—Consolidation—Amendments to the Consolidation Analysis, which updates the accounting guidance on consolidation requirements. This update changes the guidance with respect to the analysis that a reporting entity must perform to determine whether it should consolidate certain types of legal entities. ASU 2015-02 also makes several modifications to the consolidation guidance for variable interest entities (“VIEs”). We adopted ASU 2015-02 on January 1, 2016. The adoption of ASU 2015-02 did not have any impact on our consolidated financial statements.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Standards Not Yet Effective</w:t>
      </w:r>
    </w:p>
    <w:p>
      <w:pPr>
        <w:spacing w:after="0" w:line="22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In March 2016, the FASB issued ASU 2016-09—Compensation—Stock Compensation—Improvements to Employee Share-Based Payment Accounting, which changes certain aspects of accounting for shared-based payments to employees. The new guidance will require all income tax effects of awards to be recognized in the income statement for the period in which the awards vest or are settled. It also allows an employer to repurchase more of an employee’s shares for tax withholding purposes without triggering liability accounting and to make a policy election to account for forfeitures as they occur. This new guidance will be effective for us beginning on January 1, 2017, and interim periods within those fiscal years. Early adoption is permitted in any annual or interim period for which financial statements have not been issued or made available for issuance, but all of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the guidance must be adopted in the same period. We are currently evaluating the impact ASU 2016-09 will have on our consolidated financial statements.</w:t>
      </w:r>
    </w:p>
    <w:p>
      <w:pPr>
        <w:spacing w:after="0" w:line="24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February 2016, the FASB issued ASU 2016-02—Leases, which amends lease accounting requirements to begin recording assets and liabilities arising from leases on the balance sheet. The new guidance will also require significant additional disclosures about the amount, timing and uncertainty of cash flows from leases. This new guidance will be effective for us beginning on January 1, 2019 using a modified retrospective approach. The modified retrospective approach includes a number of optional practical expedients that entities may elect to apply. We are currently evaluating the impact ASU 2016-02 will have on our consolidated financial statements.</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January 2016, the FASB issued ASU 2016-01—Financial Instruments—Overall—Recognition and Measurement of Financial Assets and Financial Liabilities, which modifies how entities measure equity investments and present changes in the fair value of financial liabilities. Under the new guidance, entities will have to measure equity investments that do not result in consolidation and are not accounted under the equity method at fair value and recognize any changes in fair value in net income unless the investments qualify for the new practicality exception. The practicality exception will apply to those equity investments that do not have a readily determinable fair value and do not qualify for the practical expedient to estimate fair value, and as such these investments may be measured at cost. ASU 2016-01 will be effective for us beginning on January 1, 2018. We do not expect the impact of ASU 2016-01 on our consolidated financial statements to be significant.</w:t>
      </w:r>
    </w:p>
    <w:p>
      <w:pPr>
        <w:spacing w:after="0" w:line="18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July 2015, the FASB issued ASU 2015-11—Inventory—Simplifying the Measurement of Inventory, which changes the measurement principle for inventory from the lower of cost or market to lower of cost and net realizable value. ASU 2015-11 applies to entities that measure inventory using a method other than last-in, first-out or the retail inventory method (e.g., first-in, first-out or average cost). ASU 2015-11 will be effective for us beginning on January 1, 2017. We do not expect the impact of ASU 2015-11 on our consolidated financial statements to be significant.</w:t>
      </w:r>
    </w:p>
    <w:p>
      <w:pPr>
        <w:spacing w:after="0" w:line="17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May 2014, the FASB issued ASU 2014-09—Revenue from Contracts with Customers, which creates a single, joint revenue standard that is consistent across all industries and markets for companies that prepare their financial statements in accordance with GAAP. Under ASU 2014-09, an entity is required to recognize revenue upon the transfer of promised goods or services to customers in an amount that reflects the consideration the entity expects to be entitled to receive in exchange for those goods or services. In July 2015, the FASB decided to delay the effective date of the new revenue standard by one year. In March 2016, the FASB issued ASU 2016-08, which clarifies the implementation guidance on principal versus agent considerations. In April 2016, the FASB issued ASU 2016-10, which clarifies the implementation guidance on identifying performance obligations and licensing. These standards will be effective for us beginning on January 1, 2018, with the option to adopt earlier on January 1, 2017. We are currently evaluating the impact of these new standards on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INSTRUMENTS AND FAIR VALUE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investments as of March 31, 2016 and December 31, 2015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ind w:left="740"/>
              <w:spacing w:after="0"/>
              <w:rPr>
                <w:sz w:val="20"/>
                <w:szCs w:val="20"/>
                <w:color w:val="auto"/>
              </w:rPr>
            </w:pPr>
            <w:r>
              <w:rPr>
                <w:rFonts w:ascii="Arial" w:cs="Arial" w:eastAsia="Arial" w:hAnsi="Arial"/>
                <w:sz w:val="16"/>
                <w:szCs w:val="16"/>
                <w:b w:val="1"/>
                <w:bCs w:val="1"/>
                <w:color w:val="auto"/>
              </w:rPr>
              <w:t>March 31, 2016</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right"/>
              <w:ind w:right="452"/>
              <w:spacing w:after="0"/>
              <w:rPr>
                <w:sz w:val="20"/>
                <w:szCs w:val="20"/>
                <w:color w:val="auto"/>
              </w:rPr>
            </w:pPr>
            <w:r>
              <w:rPr>
                <w:rFonts w:ascii="Arial" w:cs="Arial" w:eastAsia="Arial" w:hAnsi="Arial"/>
                <w:sz w:val="16"/>
                <w:szCs w:val="16"/>
                <w:b w:val="1"/>
                <w:bCs w:val="1"/>
                <w:color w:val="auto"/>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410,265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410,589</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75,465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75,464</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54,198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54,244</w:t>
            </w:r>
          </w:p>
        </w:tc>
      </w:tr>
      <w:tr>
        <w:trPr>
          <w:trHeight w:val="262"/>
        </w:trPr>
        <w:tc>
          <w:tcPr>
            <w:tcW w:w="5160" w:type="dxa"/>
            <w:vAlign w:val="bottom"/>
          </w:tcPr>
          <w:p>
            <w:pPr>
              <w:ind w:left="500"/>
              <w:spacing w:after="0"/>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18"/>
                <w:szCs w:val="18"/>
                <w:color w:val="auto"/>
                <w:vertAlign w:val="superscript"/>
              </w:rPr>
              <w:t>(1)</w:t>
            </w:r>
          </w:p>
        </w:tc>
        <w:tc>
          <w:tcPr>
            <w:tcW w:w="24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19,847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19,847</w:t>
            </w:r>
          </w:p>
        </w:tc>
      </w:tr>
      <w:tr>
        <w:trPr>
          <w:trHeight w:val="278"/>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66,253</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66,335</w:t>
            </w:r>
          </w:p>
        </w:tc>
      </w:tr>
      <w:tr>
        <w:trPr>
          <w:trHeight w:val="257"/>
        </w:trPr>
        <w:tc>
          <w:tcPr>
            <w:tcW w:w="516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626,028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626,479</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8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ind w:left="620"/>
              <w:spacing w:after="0"/>
              <w:rPr>
                <w:sz w:val="20"/>
                <w:szCs w:val="20"/>
                <w:color w:val="auto"/>
              </w:rPr>
            </w:pPr>
            <w:r>
              <w:rPr>
                <w:rFonts w:ascii="Arial" w:cs="Arial" w:eastAsia="Arial" w:hAnsi="Arial"/>
                <w:sz w:val="16"/>
                <w:szCs w:val="16"/>
                <w:b w:val="1"/>
                <w:bCs w:val="1"/>
                <w:color w:val="auto"/>
              </w:rPr>
              <w:t>December 31, 2015</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right"/>
              <w:ind w:right="452"/>
              <w:spacing w:after="0"/>
              <w:rPr>
                <w:sz w:val="20"/>
                <w:szCs w:val="20"/>
                <w:color w:val="auto"/>
              </w:rPr>
            </w:pPr>
            <w:r>
              <w:rPr>
                <w:rFonts w:ascii="Arial" w:cs="Arial" w:eastAsia="Arial" w:hAnsi="Arial"/>
                <w:sz w:val="16"/>
                <w:szCs w:val="16"/>
                <w:b w:val="1"/>
                <w:bCs w:val="1"/>
                <w:color w:val="auto"/>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438,533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437,194</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66,263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66,232</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61,050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61,022</w:t>
            </w:r>
          </w:p>
        </w:tc>
      </w:tr>
      <w:tr>
        <w:trPr>
          <w:trHeight w:val="262"/>
        </w:trPr>
        <w:tc>
          <w:tcPr>
            <w:tcW w:w="5160" w:type="dxa"/>
            <w:vAlign w:val="bottom"/>
          </w:tcPr>
          <w:p>
            <w:pPr>
              <w:ind w:left="500"/>
              <w:spacing w:after="0"/>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18"/>
                <w:szCs w:val="18"/>
                <w:color w:val="auto"/>
                <w:vertAlign w:val="superscript"/>
              </w:rPr>
              <w:t>(1)</w:t>
            </w:r>
          </w:p>
        </w:tc>
        <w:tc>
          <w:tcPr>
            <w:tcW w:w="24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14,897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14,897</w:t>
            </w:r>
          </w:p>
        </w:tc>
      </w:tr>
      <w:tr>
        <w:trPr>
          <w:trHeight w:val="278"/>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41,727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41,688</w:t>
            </w:r>
          </w:p>
        </w:tc>
      </w:tr>
      <w:tr>
        <w:trPr>
          <w:trHeight w:val="257"/>
        </w:trPr>
        <w:tc>
          <w:tcPr>
            <w:tcW w:w="516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622,470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621,033</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200" w:hanging="192"/>
        <w:spacing w:after="0"/>
        <w:tabs>
          <w:tab w:leader="none" w:pos="200"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The majority of our certificates of deposit and term deposits are foreign deposits.</w:t>
      </w:r>
    </w:p>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shows the gross unrealized losses and the related fair values of our investments that have been in a continuous unrealized loss position as of March 31, 2016 and December 31, 2015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4"/>
              </w:rPr>
              <w:t>March 31, 2016</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Arial" w:cs="Arial" w:eastAsia="Arial" w:hAnsi="Arial"/>
                <w:sz w:val="16"/>
                <w:szCs w:val="16"/>
                <w:b w:val="1"/>
                <w:bCs w:val="1"/>
                <w:color w:val="auto"/>
                <w:w w:val="88"/>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83"/>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141,018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50,269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191,287</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16,754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400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170,482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51,275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221,757</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791"/>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December 31, 2015</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Arial" w:cs="Arial" w:eastAsia="Arial" w:hAnsi="Arial"/>
                <w:sz w:val="16"/>
                <w:szCs w:val="16"/>
                <w:b w:val="1"/>
                <w:bCs w:val="1"/>
                <w:color w:val="auto"/>
                <w:w w:val="88"/>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83"/>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348,534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42,033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390,567</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31,977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31,977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41,677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34,703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456,891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43,041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499,932</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maturities of our investments as of March 31, 2016 and December 31, 2015 were as follows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7"/>
                <w:szCs w:val="17"/>
                <w:color w:val="auto"/>
              </w:rPr>
            </w:pPr>
          </w:p>
        </w:tc>
        <w:tc>
          <w:tcPr>
            <w:tcW w:w="1560" w:type="dxa"/>
            <w:vAlign w:val="bottom"/>
          </w:tcPr>
          <w:p>
            <w:pPr>
              <w:jc w:val="right"/>
              <w:ind w:right="37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right"/>
              <w:ind w:right="71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654"/>
              <w:spacing w:after="0"/>
              <w:rPr>
                <w:sz w:val="20"/>
                <w:szCs w:val="20"/>
                <w:color w:val="auto"/>
              </w:rPr>
            </w:pPr>
            <w:r>
              <w:rPr>
                <w:rFonts w:ascii="Arial" w:cs="Arial" w:eastAsia="Arial" w:hAnsi="Arial"/>
                <w:sz w:val="16"/>
                <w:szCs w:val="16"/>
                <w:b w:val="1"/>
                <w:bCs w:val="1"/>
                <w:color w:val="auto"/>
              </w:rPr>
              <w:t>2015</w:t>
            </w:r>
          </w:p>
        </w:tc>
      </w:tr>
      <w:tr>
        <w:trPr>
          <w:trHeight w:val="33"/>
        </w:trPr>
        <w:tc>
          <w:tcPr>
            <w:tcW w:w="7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384,591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348,074</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Due within one to three years</w:t>
            </w:r>
          </w:p>
        </w:tc>
        <w:tc>
          <w:tcPr>
            <w:tcW w:w="36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241,888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272,959</w:t>
            </w:r>
          </w:p>
        </w:tc>
      </w:tr>
      <w:tr>
        <w:trPr>
          <w:trHeight w:val="27"/>
        </w:trPr>
        <w:tc>
          <w:tcPr>
            <w:tcW w:w="7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626,479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621,033</w:t>
            </w:r>
          </w:p>
        </w:tc>
      </w:tr>
      <w:tr>
        <w:trPr>
          <w:trHeight w:val="20"/>
        </w:trPr>
        <w:tc>
          <w:tcPr>
            <w:tcW w:w="7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Available-for-sale securities are reported at fair value, with unrealized gains and losses, net of tax, included as a separate component of stockholders’ equity and in total comprehensive income. Realized gains and losses on available-for-sale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securities are insignificant in the periods presented and are included in Other expense—net in our condensed consolidated statements of operations. We use the specific identification method to determine the cost basis of investments sold.</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unrealized losses on our available-for-sale securities were caused by fluctuations in market value and interest rates as a result of the economic environment. As the decline in market value are attributable to changes in market conditions and not credit quality, and because we have concluded currently that we neither intend to sell nor is it more likely than not that we will be required to sell these investments prior to a recovery of par value, we do not consider these investments to be other-than temporarily impaired as of March 31, 2016.</w:t>
      </w:r>
    </w:p>
    <w:p>
      <w:pPr>
        <w:spacing w:after="0" w:line="16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25" w:lineRule="exact"/>
        <w:rPr>
          <w:sz w:val="20"/>
          <w:szCs w:val="20"/>
          <w:color w:val="auto"/>
        </w:rPr>
      </w:pPr>
    </w:p>
    <w:p>
      <w:pPr>
        <w:ind w:left="1300" w:right="18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70" w:lineRule="exact"/>
        <w:rPr>
          <w:sz w:val="20"/>
          <w:szCs w:val="20"/>
          <w:color w:val="auto"/>
        </w:rPr>
      </w:pPr>
    </w:p>
    <w:p>
      <w:pPr>
        <w:ind w:left="1300" w:right="40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measure the fair value of money market funds and certain U.S. government and agency securities using quoted prices in active markets for identical assets. The fair value of all other financial instruments was based on quoted prices for similar assets in active markets, or model driven valuations using significant inputs derived from or corroborated by observable market data.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We classify items within Level 2 if the investments are valued using model 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Recurring Basis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presents the fair value of our financial assets measured at fair value on a recurring basis as of March 31, 2016 and December 31, 2015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March 31, 2016</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December 31, 2015</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37"/>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center"/>
              <w:ind w:right="28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Prices in</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Significant</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Prices in</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11"/>
                <w:szCs w:val="11"/>
                <w:color w:val="auto"/>
              </w:rPr>
            </w:pPr>
          </w:p>
        </w:tc>
        <w:tc>
          <w:tcPr>
            <w:tcW w:w="900" w:type="dxa"/>
            <w:vAlign w:val="bottom"/>
          </w:tcPr>
          <w:p>
            <w:pPr>
              <w:jc w:val="center"/>
              <w:ind w:right="42"/>
              <w:spacing w:after="0" w:line="135" w:lineRule="exact"/>
              <w:rPr>
                <w:sz w:val="20"/>
                <w:szCs w:val="20"/>
                <w:color w:val="auto"/>
              </w:rPr>
            </w:pPr>
            <w:r>
              <w:rPr>
                <w:rFonts w:ascii="Arial" w:cs="Arial" w:eastAsia="Arial" w:hAnsi="Arial"/>
                <w:sz w:val="13"/>
                <w:szCs w:val="13"/>
                <w:b w:val="1"/>
                <w:bCs w:val="1"/>
                <w:color w:val="auto"/>
                <w:w w:val="87"/>
              </w:rPr>
              <w:t>Significant</w:t>
            </w: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90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2"/>
              </w:rPr>
              <w:t>Other</w:t>
            </w: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w w:val="83"/>
              </w:rPr>
              <w:t>Aggregate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Observable</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Unobservable</w:t>
            </w:r>
          </w:p>
        </w:tc>
        <w:tc>
          <w:tcPr>
            <w:tcW w:w="1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20" w:type="dxa"/>
            <w:vAlign w:val="bottom"/>
          </w:tcPr>
          <w:p>
            <w:pPr>
              <w:spacing w:after="0"/>
              <w:rPr>
                <w:sz w:val="11"/>
                <w:szCs w:val="11"/>
                <w:color w:val="auto"/>
              </w:rPr>
            </w:pPr>
          </w:p>
        </w:tc>
        <w:tc>
          <w:tcPr>
            <w:tcW w:w="900" w:type="dxa"/>
            <w:vAlign w:val="bottom"/>
          </w:tcPr>
          <w:p>
            <w:pPr>
              <w:jc w:val="center"/>
              <w:ind w:right="42"/>
              <w:spacing w:after="0" w:line="135" w:lineRule="exact"/>
              <w:rPr>
                <w:sz w:val="20"/>
                <w:szCs w:val="20"/>
                <w:color w:val="auto"/>
              </w:rPr>
            </w:pPr>
            <w:r>
              <w:rPr>
                <w:rFonts w:ascii="Arial" w:cs="Arial" w:eastAsia="Arial" w:hAnsi="Arial"/>
                <w:sz w:val="13"/>
                <w:szCs w:val="13"/>
                <w:b w:val="1"/>
                <w:bCs w:val="1"/>
                <w:color w:val="auto"/>
                <w:w w:val="86"/>
              </w:rPr>
              <w:t>Unobservable</w:t>
            </w: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w w:val="92"/>
              </w:rPr>
              <w:t>Fair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Remaining</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Remaining</w:t>
            </w:r>
          </w:p>
        </w:tc>
        <w:tc>
          <w:tcPr>
            <w:tcW w:w="120" w:type="dxa"/>
            <w:vAlign w:val="bottom"/>
          </w:tcPr>
          <w:p>
            <w:pPr>
              <w:spacing w:after="0"/>
              <w:rPr>
                <w:sz w:val="11"/>
                <w:szCs w:val="11"/>
                <w:color w:val="auto"/>
              </w:rPr>
            </w:pPr>
          </w:p>
        </w:tc>
        <w:tc>
          <w:tcPr>
            <w:tcW w:w="900" w:type="dxa"/>
            <w:vAlign w:val="bottom"/>
          </w:tcPr>
          <w:p>
            <w:pPr>
              <w:jc w:val="center"/>
              <w:ind w:right="42"/>
              <w:spacing w:after="0" w:line="135" w:lineRule="exact"/>
              <w:rPr>
                <w:sz w:val="20"/>
                <w:szCs w:val="20"/>
                <w:color w:val="auto"/>
              </w:rPr>
            </w:pPr>
            <w:r>
              <w:rPr>
                <w:rFonts w:ascii="Arial" w:cs="Arial" w:eastAsia="Arial" w:hAnsi="Arial"/>
                <w:sz w:val="13"/>
                <w:szCs w:val="13"/>
                <w:b w:val="1"/>
                <w:bCs w:val="1"/>
                <w:color w:val="auto"/>
                <w:w w:val="87"/>
              </w:rPr>
              <w:t>Remaining</w:t>
            </w:r>
          </w:p>
        </w:tc>
      </w:tr>
      <w:tr>
        <w:trPr>
          <w:trHeight w:val="174"/>
        </w:trPr>
        <w:tc>
          <w:tcPr>
            <w:tcW w:w="3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92"/>
              </w:rPr>
              <w:t>Inputs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02"/>
              <w:spacing w:after="0"/>
              <w:rPr>
                <w:sz w:val="20"/>
                <w:szCs w:val="20"/>
                <w:color w:val="auto"/>
              </w:rPr>
            </w:pPr>
            <w:r>
              <w:rPr>
                <w:rFonts w:ascii="Arial" w:cs="Arial" w:eastAsia="Arial" w:hAnsi="Arial"/>
                <w:sz w:val="13"/>
                <w:szCs w:val="13"/>
                <w:b w:val="1"/>
                <w:bCs w:val="1"/>
                <w:color w:val="auto"/>
                <w:w w:val="74"/>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87"/>
              </w:rPr>
              <w:t>Inputs</w:t>
            </w:r>
          </w:p>
        </w:tc>
      </w:tr>
      <w:tr>
        <w:trPr>
          <w:trHeight w:val="250"/>
        </w:trPr>
        <w:tc>
          <w:tcPr>
            <w:tcW w:w="3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(Level 1)</w:t>
            </w:r>
          </w:p>
        </w:tc>
        <w:tc>
          <w:tcPr>
            <w:tcW w:w="140" w:type="dxa"/>
            <w:vAlign w:val="bottom"/>
          </w:tcPr>
          <w:p>
            <w:pPr>
              <w:spacing w:after="0"/>
              <w:rPr>
                <w:sz w:val="21"/>
                <w:szCs w:val="21"/>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(Level 2)</w:t>
            </w:r>
          </w:p>
        </w:tc>
        <w:tc>
          <w:tcPr>
            <w:tcW w:w="140" w:type="dxa"/>
            <w:vAlign w:val="bottom"/>
          </w:tcPr>
          <w:p>
            <w:pPr>
              <w:spacing w:after="0"/>
              <w:rPr>
                <w:sz w:val="21"/>
                <w:szCs w:val="21"/>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(Level 3)</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(Level 1)</w:t>
            </w:r>
          </w:p>
        </w:tc>
        <w:tc>
          <w:tcPr>
            <w:tcW w:w="140" w:type="dxa"/>
            <w:vAlign w:val="bottom"/>
          </w:tcPr>
          <w:p>
            <w:pPr>
              <w:spacing w:after="0"/>
              <w:rPr>
                <w:sz w:val="21"/>
                <w:szCs w:val="21"/>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(Level 2)</w:t>
            </w:r>
          </w:p>
        </w:tc>
        <w:tc>
          <w:tcPr>
            <w:tcW w:w="120" w:type="dxa"/>
            <w:vAlign w:val="bottom"/>
          </w:tcPr>
          <w:p>
            <w:pPr>
              <w:spacing w:after="0"/>
              <w:rPr>
                <w:sz w:val="21"/>
                <w:szCs w:val="21"/>
                <w:color w:val="auto"/>
              </w:rPr>
            </w:pPr>
          </w:p>
        </w:tc>
        <w:tc>
          <w:tcPr>
            <w:tcW w:w="900" w:type="dxa"/>
            <w:vAlign w:val="bottom"/>
          </w:tcPr>
          <w:p>
            <w:pPr>
              <w:jc w:val="center"/>
              <w:ind w:right="42"/>
              <w:spacing w:after="0"/>
              <w:rPr>
                <w:sz w:val="20"/>
                <w:szCs w:val="20"/>
                <w:color w:val="auto"/>
              </w:rPr>
            </w:pPr>
            <w:r>
              <w:rPr>
                <w:rFonts w:ascii="Arial" w:cs="Arial" w:eastAsia="Arial" w:hAnsi="Arial"/>
                <w:sz w:val="13"/>
                <w:szCs w:val="13"/>
                <w:b w:val="1"/>
                <w:bCs w:val="1"/>
                <w:color w:val="auto"/>
                <w:w w:val="87"/>
              </w:rPr>
              <w:t>(Level 3)</w:t>
            </w:r>
          </w:p>
        </w:tc>
      </w:tr>
      <w:tr>
        <w:trPr>
          <w:trHeight w:val="250"/>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w w:val="98"/>
              </w:rPr>
              <w:t>410,589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42"/>
              <w:spacing w:after="0"/>
              <w:rPr>
                <w:sz w:val="20"/>
                <w:szCs w:val="20"/>
                <w:color w:val="auto"/>
              </w:rPr>
            </w:pPr>
            <w:r>
              <w:rPr>
                <w:rFonts w:ascii="Arial" w:cs="Arial" w:eastAsia="Arial" w:hAnsi="Arial"/>
                <w:sz w:val="18"/>
                <w:szCs w:val="18"/>
                <w:color w:val="auto"/>
                <w:w w:val="98"/>
              </w:rPr>
              <w:t>410,589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437,194</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2"/>
              <w:spacing w:after="0"/>
              <w:rPr>
                <w:sz w:val="20"/>
                <w:szCs w:val="20"/>
                <w:color w:val="auto"/>
              </w:rPr>
            </w:pPr>
            <w:r>
              <w:rPr>
                <w:rFonts w:ascii="Arial" w:cs="Arial" w:eastAsia="Arial" w:hAnsi="Arial"/>
                <w:sz w:val="18"/>
                <w:szCs w:val="18"/>
                <w:color w:val="auto"/>
                <w:w w:val="98"/>
              </w:rPr>
              <w:t>437,194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82,962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82,962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69,231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54,244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42"/>
              <w:spacing w:after="0"/>
              <w:rPr>
                <w:sz w:val="20"/>
                <w:szCs w:val="20"/>
                <w:color w:val="auto"/>
              </w:rPr>
            </w:pPr>
            <w:r>
              <w:rPr>
                <w:rFonts w:ascii="Arial" w:cs="Arial" w:eastAsia="Arial" w:hAnsi="Arial"/>
                <w:sz w:val="18"/>
                <w:szCs w:val="18"/>
                <w:color w:val="auto"/>
              </w:rPr>
              <w:t>54,244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61,022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61,022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Certificates of deposit and term</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deposits</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19,847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19,847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14,897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48,599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3"/>
              <w:spacing w:after="0"/>
              <w:rPr>
                <w:sz w:val="20"/>
                <w:szCs w:val="20"/>
                <w:color w:val="auto"/>
              </w:rPr>
            </w:pPr>
            <w:r>
              <w:rPr>
                <w:rFonts w:ascii="Arial" w:cs="Arial" w:eastAsia="Arial" w:hAnsi="Arial"/>
                <w:sz w:val="18"/>
                <w:szCs w:val="18"/>
                <w:color w:val="auto"/>
              </w:rPr>
              <w:t>48,599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42"/>
              <w:spacing w:after="0"/>
              <w:rPr>
                <w:sz w:val="20"/>
                <w:szCs w:val="20"/>
                <w:color w:val="auto"/>
              </w:rPr>
            </w:pPr>
            <w:r>
              <w:rPr>
                <w:rFonts w:ascii="Arial" w:cs="Arial" w:eastAsia="Arial" w:hAnsi="Arial"/>
                <w:sz w:val="18"/>
                <w:szCs w:val="18"/>
                <w:color w:val="auto"/>
              </w:rPr>
              <w:t>50,030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U.S. government and agency</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7"/>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securities</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66,335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50,326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16,009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41,688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25,693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15,995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57"/>
        </w:trPr>
        <w:tc>
          <w:tcPr>
            <w:tcW w:w="310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8"/>
              </w:rPr>
              <w:t>682,576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8"/>
                <w:szCs w:val="18"/>
                <w:color w:val="auto"/>
              </w:rPr>
              <w:t>98,925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8"/>
                <w:szCs w:val="18"/>
                <w:color w:val="auto"/>
                <w:w w:val="98"/>
              </w:rPr>
              <w:t>583,651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674,062</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8"/>
                <w:szCs w:val="18"/>
                <w:color w:val="auto"/>
              </w:rPr>
              <w:t>75,723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w w:val="98"/>
              </w:rPr>
              <w:t>598,339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4"/>
        </w:trPr>
        <w:tc>
          <w:tcPr>
            <w:tcW w:w="3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as: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56,097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53,029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8"/>
              </w:rPr>
              <w:t>384,591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348,074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w w:val="98"/>
              </w:rPr>
              <w:t>241,888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272,959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8"/>
              </w:rPr>
              <w:t>682,576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674,062</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 1 and Level 2 of the fair value hierarchy during the three months ended March 31,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as of March 31, 2016 and December 31, 2015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ind w:right="43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440" w:type="dxa"/>
            <w:vAlign w:val="bottom"/>
          </w:tcPr>
          <w:p>
            <w:pPr>
              <w:spacing w:after="0"/>
              <w:rPr>
                <w:sz w:val="18"/>
                <w:szCs w:val="18"/>
                <w:color w:val="auto"/>
              </w:rPr>
            </w:pPr>
          </w:p>
        </w:tc>
        <w:tc>
          <w:tcPr>
            <w:tcW w:w="1320" w:type="dxa"/>
            <w:vAlign w:val="bottom"/>
          </w:tcPr>
          <w:p>
            <w:pPr>
              <w:jc w:val="right"/>
              <w:ind w:right="94"/>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4"/>
              <w:spacing w:after="0"/>
              <w:rPr>
                <w:sz w:val="20"/>
                <w:szCs w:val="20"/>
                <w:color w:val="auto"/>
              </w:rPr>
            </w:pPr>
            <w:r>
              <w:rPr>
                <w:rFonts w:ascii="Arial" w:cs="Arial" w:eastAsia="Arial" w:hAnsi="Arial"/>
                <w:sz w:val="16"/>
                <w:szCs w:val="16"/>
                <w:b w:val="1"/>
                <w:bCs w:val="1"/>
                <w:color w:val="auto"/>
              </w:rPr>
              <w:t>2015</w:t>
            </w:r>
          </w:p>
        </w:tc>
      </w:tr>
      <w:tr>
        <w:trPr>
          <w:trHeight w:val="33"/>
        </w:trPr>
        <w:tc>
          <w:tcPr>
            <w:tcW w:w="7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320" w:type="dxa"/>
            <w:vAlign w:val="bottom"/>
            <w:tcBorders>
              <w:bottom w:val="single" w:sz="8" w:color="CCEEFF"/>
            </w:tcBorders>
            <w:shd w:val="clear" w:color="auto" w:fill="CCEEFF"/>
          </w:tcPr>
          <w:p>
            <w:pPr>
              <w:jc w:val="right"/>
              <w:ind w:right="111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15,270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15,425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13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62,969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68,443</w:t>
            </w:r>
          </w:p>
        </w:tc>
      </w:tr>
      <w:tr>
        <w:trPr>
          <w:trHeight w:val="27"/>
        </w:trPr>
        <w:tc>
          <w:tcPr>
            <w:tcW w:w="7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320" w:type="dxa"/>
            <w:vAlign w:val="bottom"/>
            <w:tcBorders>
              <w:bottom w:val="single" w:sz="8" w:color="auto"/>
            </w:tcBorders>
            <w:shd w:val="clear" w:color="auto" w:fill="CCEEFF"/>
          </w:tcPr>
          <w:p>
            <w:pPr>
              <w:jc w:val="right"/>
              <w:ind w:right="111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78,239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83,868</w:t>
            </w:r>
          </w:p>
        </w:tc>
      </w:tr>
      <w:tr>
        <w:trPr>
          <w:trHeight w:val="20"/>
        </w:trPr>
        <w:tc>
          <w:tcPr>
            <w:tcW w:w="7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Inventory includes finished goods held by distributors where revenue is recognized on a sell-through basis of $0.9 million and $1.1 million as of March 31, 2016 and December 31, 2015, respectively. Inventory also includes materials at contract manufacturers of $4.9 million both as of March 31, 2016 and December 31, 2015.</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EQUIPMENT—net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equipment—net as of March 31, 2016 and December 31, 2015 consisted of the following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w:t>
            </w:r>
          </w:p>
        </w:tc>
        <w:tc>
          <w:tcPr>
            <w:tcW w:w="300" w:type="dxa"/>
            <w:vAlign w:val="bottom"/>
          </w:tcPr>
          <w:p>
            <w:pPr>
              <w:spacing w:after="0"/>
              <w:rPr>
                <w:sz w:val="17"/>
                <w:szCs w:val="17"/>
                <w:color w:val="auto"/>
              </w:rPr>
            </w:pPr>
          </w:p>
        </w:tc>
        <w:tc>
          <w:tcPr>
            <w:tcW w:w="1640" w:type="dxa"/>
            <w:vAlign w:val="bottom"/>
          </w:tcPr>
          <w:p>
            <w:pPr>
              <w:jc w:val="right"/>
              <w:ind w:right="431"/>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right"/>
              <w:ind w:right="71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1"/>
              <w:spacing w:after="0"/>
              <w:rPr>
                <w:sz w:val="20"/>
                <w:szCs w:val="20"/>
                <w:color w:val="auto"/>
              </w:rPr>
            </w:pPr>
            <w:r>
              <w:rPr>
                <w:rFonts w:ascii="Arial" w:cs="Arial" w:eastAsia="Arial" w:hAnsi="Arial"/>
                <w:sz w:val="16"/>
                <w:szCs w:val="16"/>
                <w:b w:val="1"/>
                <w:bCs w:val="1"/>
                <w:color w:val="auto"/>
              </w:rPr>
              <w:t>2015</w:t>
            </w:r>
          </w:p>
        </w:tc>
      </w:tr>
      <w:tr>
        <w:trPr>
          <w:trHeight w:val="33"/>
        </w:trPr>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21,683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36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39,454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28,841</w:t>
            </w: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Evaluation units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15,784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36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49,701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45,632</w:t>
            </w: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Construction-in-progress</w:t>
            </w:r>
          </w:p>
        </w:tc>
        <w:tc>
          <w:tcPr>
            <w:tcW w:w="36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8,796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8,106</w:t>
            </w: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11,179</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Total property and equipment</w:t>
            </w:r>
          </w:p>
        </w:tc>
        <w:tc>
          <w:tcPr>
            <w:tcW w:w="3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170,403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140,126</w:t>
            </w: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(49,059)</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115,782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91,067</w:t>
            </w:r>
          </w:p>
        </w:tc>
      </w:tr>
      <w:tr>
        <w:trPr>
          <w:trHeight w:val="20"/>
        </w:trPr>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color w:val="auto"/>
        </w:rPr>
        <w:t>During the first quarter of 2016, we purchased certain real property in Union City, California, for cash of $18.5 million to support the growth in our business operations. Of the total cost, we allocated $8.7 million to land and $9.8 million to building.</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Depreciation expense was $9.4 million and $6.0 million during the three months ended March 31, 2016 and March 31, 2015,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IN PRIVATELY-HELD COMPANIES</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Our investments in the equity securities of three privately-held companies totaled $10.3 million as of March 31, 2016 and December 31, 2015. Each of these investments are accounted for as cost-basis investments, as we own less than 20% of the voting securities and do not have the ability to exercise significant influence over operating and financial policies of the respective entities. These investments are carried at historical cost and are recorded as Other assets on our condensed consolidated balance sheet and would be measured at fair value if indicators of impairment exist. As of March 31, 2016, no events have occurred that would adversely affect the carrying value of these investments.</w:t>
      </w:r>
    </w:p>
    <w:p>
      <w:pPr>
        <w:spacing w:after="0" w:line="173"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determined that we had a variable interest in these privately-held companies. However, we determined that we were not the primary beneficiary as we did not have the power to direct their activities that most significantly affect their economic performance. The variable interest entities were not required to be consolidated in our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COMBINATIONS</w:t>
      </w:r>
    </w:p>
    <w:p>
      <w:pPr>
        <w:spacing w:after="0" w:line="22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On July 8, 2015, we completed our acquisition of all of the outstanding shares of Meru Networks, Inc. (“Meru”), a provider of Wi-Fi networking products and services. With this acquisition, we expect to expand on our secure wireless vision and enterprise growth focus, broaden our solutions portfolio, and enhance our opportunity to address the global enterprise Wi-Fi market with integrated and intelligent secure wireless solutions.</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connection with the acquisition, we paid total cash consideration of $40.9 million and incurred $0.4 million of withholding tax liability. In addition, all of the outstanding restricted stock units (“RSUs”) of Meru were converted into RSUs for 53,401 shares of our common stock. The cash payment, along with the estimated fair value of the earned RSUs assumed, resulted in a purchase price of $41.8 million. The total purchase price was as follows (in thousands):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ind w:left="40"/>
              <w:spacing w:after="0"/>
              <w:rPr>
                <w:sz w:val="20"/>
                <w:szCs w:val="20"/>
                <w:color w:val="auto"/>
              </w:rPr>
            </w:pPr>
            <w:r>
              <w:rPr>
                <w:rFonts w:ascii="Arial" w:cs="Arial" w:eastAsia="Arial" w:hAnsi="Arial"/>
                <w:sz w:val="18"/>
                <w:szCs w:val="18"/>
                <w:b w:val="1"/>
                <w:bCs w:val="1"/>
                <w:color w:val="auto"/>
              </w:rPr>
              <w:t>Purchase Price:</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9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740" w:type="dxa"/>
            <w:vAlign w:val="bottom"/>
            <w:vMerge w:val="restart"/>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40,914</w:t>
            </w:r>
          </w:p>
        </w:tc>
        <w:tc>
          <w:tcPr>
            <w:tcW w:w="0" w:type="dxa"/>
            <w:vAlign w:val="bottom"/>
          </w:tcPr>
          <w:p>
            <w:pPr>
              <w:spacing w:after="0"/>
              <w:rPr>
                <w:sz w:val="1"/>
                <w:szCs w:val="1"/>
                <w:color w:val="auto"/>
              </w:rPr>
            </w:pPr>
          </w:p>
        </w:tc>
      </w:tr>
      <w:tr>
        <w:trPr>
          <w:trHeight w:val="88"/>
        </w:trPr>
        <w:tc>
          <w:tcPr>
            <w:tcW w:w="9480" w:type="dxa"/>
            <w:vAlign w:val="bottom"/>
            <w:tcBorders>
              <w:bottom w:val="single" w:sz="8" w:color="CCEEFF"/>
            </w:tcBorders>
            <w:shd w:val="clear" w:color="auto" w:fill="CCEEFF"/>
          </w:tcPr>
          <w:p>
            <w:pPr>
              <w:spacing w:after="0"/>
              <w:rPr>
                <w:sz w:val="7"/>
                <w:szCs w:val="7"/>
                <w:color w:val="auto"/>
              </w:rPr>
            </w:pPr>
          </w:p>
        </w:tc>
        <w:tc>
          <w:tcPr>
            <w:tcW w:w="740" w:type="dxa"/>
            <w:vAlign w:val="bottom"/>
            <w:tcBorders>
              <w:bottom w:val="single" w:sz="8" w:color="CCEEFF"/>
            </w:tcBorders>
            <w:vMerge w:val="continue"/>
            <w:shd w:val="clear" w:color="auto" w:fill="CCEEFF"/>
          </w:tcPr>
          <w:p>
            <w:pPr>
              <w:spacing w:after="0"/>
              <w:rPr>
                <w:sz w:val="7"/>
                <w:szCs w:val="7"/>
                <w:color w:val="auto"/>
              </w:rPr>
            </w:pPr>
          </w:p>
        </w:tc>
        <w:tc>
          <w:tcPr>
            <w:tcW w:w="12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9480" w:type="dxa"/>
            <w:vAlign w:val="bottom"/>
          </w:tcPr>
          <w:p>
            <w:pPr>
              <w:ind w:left="40"/>
              <w:spacing w:after="0"/>
              <w:rPr>
                <w:sz w:val="20"/>
                <w:szCs w:val="20"/>
                <w:color w:val="auto"/>
              </w:rPr>
            </w:pPr>
            <w:r>
              <w:rPr>
                <w:rFonts w:ascii="Arial" w:cs="Arial" w:eastAsia="Arial" w:hAnsi="Arial"/>
                <w:sz w:val="18"/>
                <w:szCs w:val="18"/>
                <w:color w:val="auto"/>
              </w:rPr>
              <w:t>Estimated fair value of shares withheld for taxes</w:t>
            </w:r>
          </w:p>
        </w:tc>
        <w:tc>
          <w:tcPr>
            <w:tcW w:w="740" w:type="dxa"/>
            <w:vAlign w:val="bottom"/>
          </w:tcPr>
          <w:p>
            <w:pPr>
              <w:spacing w:after="0"/>
              <w:rPr>
                <w:sz w:val="24"/>
                <w:szCs w:val="24"/>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81"/>
        </w:trPr>
        <w:tc>
          <w:tcPr>
            <w:tcW w:w="9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Estimated fair value of earned equity awards assumed by Fortinet</w:t>
            </w:r>
          </w:p>
        </w:tc>
        <w:tc>
          <w:tcPr>
            <w:tcW w:w="74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108"/>
        </w:trPr>
        <w:tc>
          <w:tcPr>
            <w:tcW w:w="948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c>
          <w:tcPr>
            <w:tcW w:w="120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9480" w:type="dxa"/>
            <w:vAlign w:val="bottom"/>
          </w:tcPr>
          <w:p>
            <w:pPr>
              <w:ind w:left="500"/>
              <w:spacing w:after="0"/>
              <w:rPr>
                <w:sz w:val="20"/>
                <w:szCs w:val="20"/>
                <w:color w:val="auto"/>
              </w:rPr>
            </w:pPr>
            <w:r>
              <w:rPr>
                <w:rFonts w:ascii="Arial" w:cs="Arial" w:eastAsia="Arial" w:hAnsi="Arial"/>
                <w:sz w:val="18"/>
                <w:szCs w:val="18"/>
                <w:color w:val="auto"/>
              </w:rPr>
              <w:t>Total purchase price</w:t>
            </w: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41,764</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accounted for this transaction as a business combination. In 2015, we expensed acquisition-related costs of $1.7 million in general and administrative expenses. The total purchase price was allocated to Meru’s identifiable tangible and intangible assets acquired and liabilities assumed based on their estimated fair values as of the acquisition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allocation of the purchase price was as follows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8,191</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2,409</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18,585</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Identifiable intangible assets</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19,600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Goodwill</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1,868</w:t>
            </w:r>
          </w:p>
        </w:tc>
      </w:tr>
      <w:tr>
        <w:trPr>
          <w:trHeight w:val="27"/>
        </w:trPr>
        <w:tc>
          <w:tcPr>
            <w:tcW w:w="94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 acquired</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66,451</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9,800</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14,887</w:t>
            </w:r>
          </w:p>
        </w:tc>
      </w:tr>
      <w:tr>
        <w:trPr>
          <w:trHeight w:val="237"/>
        </w:trPr>
        <w:tc>
          <w:tcPr>
            <w:tcW w:w="9480" w:type="dxa"/>
            <w:vAlign w:val="bottom"/>
          </w:tcPr>
          <w:p>
            <w:pPr>
              <w:ind w:left="280"/>
              <w:spacing w:after="0"/>
              <w:rPr>
                <w:sz w:val="20"/>
                <w:szCs w:val="20"/>
                <w:color w:val="auto"/>
              </w:rPr>
            </w:pPr>
            <w:r>
              <w:rPr>
                <w:rFonts w:ascii="Arial" w:cs="Arial" w:eastAsia="Arial" w:hAnsi="Arial"/>
                <w:sz w:val="18"/>
                <w:szCs w:val="18"/>
                <w:color w:val="auto"/>
              </w:rPr>
              <w:t>Total liabilities assumed</w:t>
            </w:r>
          </w:p>
        </w:tc>
        <w:tc>
          <w:tcPr>
            <w:tcW w:w="7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24,687</w:t>
            </w:r>
          </w:p>
        </w:tc>
      </w:tr>
      <w:tr>
        <w:trPr>
          <w:trHeight w:val="27"/>
        </w:trPr>
        <w:tc>
          <w:tcPr>
            <w:tcW w:w="94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purchase price allocation</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41,764</w:t>
            </w:r>
          </w:p>
        </w:tc>
      </w:tr>
      <w:tr>
        <w:trPr>
          <w:trHeight w:val="20"/>
        </w:trPr>
        <w:tc>
          <w:tcPr>
            <w:tcW w:w="9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The goodwill of $1.9 million represents the premium we paid over the fair value of the net tangible liabilities assumed and identified intangible assets acquired, due primarily to Meru’s assembled workforce. The goodwill recorded as part of the Meru acquisition is not deductible for U.S. federal income tax purposes.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Intangible assets consist primarily of customer relationships and developed technologies. Customer relationships represent Meru’s installed base and the ability to sell existing, in-process and future versions of our products and services to its existing customers. Developed technologies represent the virtualized wireless local area network solutions offering centralized coordination and control of various access points on the network. This includes patented and unpatented technology, know-how, processes, designs and computer software. The estimated useful life and fair values of the acquired identifiable intangible assets were as follows (in thousands, except for estimated useful life):</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Estimated Useful Life</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4"/>
        </w:trPr>
        <w:tc>
          <w:tcPr>
            <w:tcW w:w="766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300" w:type="dxa"/>
            <w:vAlign w:val="bottom"/>
          </w:tcPr>
          <w:p>
            <w:pPr>
              <w:spacing w:after="0"/>
              <w:rPr>
                <w:sz w:val="20"/>
                <w:szCs w:val="20"/>
                <w:color w:val="auto"/>
              </w:rPr>
            </w:pPr>
          </w:p>
        </w:tc>
        <w:tc>
          <w:tcPr>
            <w:tcW w:w="1520" w:type="dxa"/>
            <w:vAlign w:val="bottom"/>
          </w:tcPr>
          <w:p>
            <w:pPr>
              <w:jc w:val="right"/>
              <w:ind w:right="390"/>
              <w:spacing w:after="0"/>
              <w:rPr>
                <w:sz w:val="20"/>
                <w:szCs w:val="20"/>
                <w:color w:val="auto"/>
              </w:rPr>
            </w:pPr>
            <w:r>
              <w:rPr>
                <w:rFonts w:ascii="Arial" w:cs="Arial" w:eastAsia="Arial" w:hAnsi="Arial"/>
                <w:sz w:val="18"/>
                <w:szCs w:val="18"/>
                <w:b w:val="1"/>
                <w:bCs w:val="1"/>
                <w:color w:val="auto"/>
              </w:rPr>
              <w:t>Fair Values</w:t>
            </w: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Developed technologies</w:t>
            </w:r>
          </w:p>
        </w:tc>
        <w:tc>
          <w:tcPr>
            <w:tcW w:w="18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7,200</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19,600</w:t>
            </w:r>
          </w:p>
        </w:tc>
      </w:tr>
      <w:tr>
        <w:trPr>
          <w:trHeight w:val="20"/>
        </w:trPr>
        <w:tc>
          <w:tcPr>
            <w:tcW w:w="7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Customer relationships and trade name are amortized and the amortization expense is recorded in sales and marketing expenses in the condensed consolidated statement of operations. Developed technologies is amortized and the amortization expense is recorded in cost of product revenue in the condensed consolidated statement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March 31, 2016, we had goodwill of $4.7 million. There were no impairments to goodwill during the three months ended March 31, 2016.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other intangible assets—net as of March 31, 2016 and December 31, 2015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w w:val="94"/>
              </w:rPr>
              <w:t>March 31, 2016</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12,200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10,370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Developed technologies and other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5,297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6,087</w:t>
            </w:r>
          </w:p>
        </w:tc>
        <w:tc>
          <w:tcPr>
            <w:tcW w:w="0" w:type="dxa"/>
            <w:vAlign w:val="bottom"/>
          </w:tcPr>
          <w:p>
            <w:pPr>
              <w:spacing w:after="0"/>
              <w:rPr>
                <w:sz w:val="1"/>
                <w:szCs w:val="1"/>
                <w:color w:val="auto"/>
              </w:rPr>
            </w:pPr>
          </w:p>
        </w:tc>
      </w:tr>
      <w:tr>
        <w:trPr>
          <w:trHeight w:val="257"/>
        </w:trPr>
        <w:tc>
          <w:tcPr>
            <w:tcW w:w="5500" w:type="dxa"/>
            <w:vAlign w:val="bottom"/>
          </w:tcPr>
          <w:p>
            <w:pPr>
              <w:ind w:left="50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23,584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7,127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16,457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5"/>
          </w:tcPr>
          <w:p>
            <w:pPr>
              <w:jc w:val="center"/>
              <w:ind w:right="560"/>
              <w:spacing w:after="0"/>
              <w:rPr>
                <w:sz w:val="20"/>
                <w:szCs w:val="20"/>
                <w:color w:val="auto"/>
              </w:rPr>
            </w:pPr>
            <w:r>
              <w:rPr>
                <w:rFonts w:ascii="Arial" w:cs="Arial" w:eastAsia="Arial" w:hAnsi="Arial"/>
                <w:sz w:val="16"/>
                <w:szCs w:val="16"/>
                <w:b w:val="1"/>
                <w:bCs w:val="1"/>
                <w:color w:val="auto"/>
                <w:w w:val="90"/>
              </w:rPr>
              <w:t>December 31, 2015</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12,200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1,220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10,980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Developed technologies and other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4,724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6,660</w:t>
            </w:r>
          </w:p>
        </w:tc>
        <w:tc>
          <w:tcPr>
            <w:tcW w:w="0" w:type="dxa"/>
            <w:vAlign w:val="bottom"/>
          </w:tcPr>
          <w:p>
            <w:pPr>
              <w:spacing w:after="0"/>
              <w:rPr>
                <w:sz w:val="1"/>
                <w:szCs w:val="1"/>
                <w:color w:val="auto"/>
              </w:rPr>
            </w:pPr>
          </w:p>
        </w:tc>
      </w:tr>
      <w:tr>
        <w:trPr>
          <w:trHeight w:val="257"/>
        </w:trPr>
        <w:tc>
          <w:tcPr>
            <w:tcW w:w="5500" w:type="dxa"/>
            <w:vAlign w:val="bottom"/>
          </w:tcPr>
          <w:p>
            <w:pPr>
              <w:ind w:left="50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23,584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5,944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17,640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80" w:type="dxa"/>
            <w:vAlign w:val="bottom"/>
            <w:vMerge w:val="restart"/>
          </w:tcPr>
          <w:p>
            <w:pPr>
              <w:jc w:val="right"/>
              <w:ind w:right="1095"/>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5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Amortization expense was $1.2 million and $0.3 million during the three months ended March 31, 2016 and March 31, 2015, respectively. The following table summarizes estimated future amortization expense of Other intangible assets—net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jc w:val="right"/>
              <w:ind w:right="771"/>
              <w:spacing w:after="0"/>
              <w:rPr>
                <w:sz w:val="20"/>
                <w:szCs w:val="20"/>
                <w:color w:val="auto"/>
              </w:rPr>
            </w:pPr>
            <w:r>
              <w:rPr>
                <w:rFonts w:ascii="Arial" w:cs="Arial" w:eastAsia="Arial" w:hAnsi="Arial"/>
                <w:sz w:val="16"/>
                <w:szCs w:val="16"/>
                <w:b w:val="1"/>
                <w:bCs w:val="1"/>
                <w:color w:val="auto"/>
              </w:rPr>
              <w:t>Amount</w:t>
            </w:r>
          </w:p>
        </w:tc>
      </w:tr>
      <w:tr>
        <w:trPr>
          <w:trHeight w:val="33"/>
        </w:trPr>
        <w:tc>
          <w:tcPr>
            <w:tcW w:w="9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2016 (remainder)</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3,417</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2017</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4,240</w:t>
            </w: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4,240</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3,340</w:t>
            </w: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1,220</w:t>
            </w:r>
          </w:p>
        </w:tc>
      </w:tr>
      <w:tr>
        <w:trPr>
          <w:trHeight w:val="27"/>
        </w:trPr>
        <w:tc>
          <w:tcPr>
            <w:tcW w:w="9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16,457</w:t>
            </w:r>
          </w:p>
        </w:tc>
      </w:tr>
      <w:tr>
        <w:trPr>
          <w:trHeight w:val="20"/>
        </w:trPr>
        <w:tc>
          <w:tcPr>
            <w:tcW w:w="9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INCOME (LOSS) PER SHARE</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Basic net income (loss) per share is computed by dividing net income (loss) by the weighted-average number of shares of common stock outstanding during the period. Diluted net income (loss) per share is computed by dividing net income (loss) by the weighted-average number of shares of common stock outstanding, plus the dilutive effects of stock options, RSUs including performance stock units (“PSUs”), and our employee stock purchase plan (“ESPP”). Dilutive shares of common stock are determined by applying the treasury stock method.</w:t>
      </w:r>
    </w:p>
    <w:p>
      <w:pPr>
        <w:spacing w:after="0" w:line="187"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(loss) per share is as follows (in thousands, except per share amounts):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gridSpan w:val="4"/>
          </w:tcPr>
          <w:p>
            <w:pPr>
              <w:jc w:val="right"/>
              <w:ind w:right="103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w:t>
            </w:r>
          </w:p>
        </w:tc>
        <w:tc>
          <w:tcPr>
            <w:tcW w:w="320" w:type="dxa"/>
            <w:vAlign w:val="bottom"/>
          </w:tcPr>
          <w:p>
            <w:pPr>
              <w:spacing w:after="0"/>
              <w:rPr>
                <w:sz w:val="18"/>
                <w:szCs w:val="18"/>
                <w:color w:val="auto"/>
              </w:rPr>
            </w:pPr>
          </w:p>
        </w:tc>
        <w:tc>
          <w:tcPr>
            <w:tcW w:w="1500" w:type="dxa"/>
            <w:vAlign w:val="bottom"/>
          </w:tcPr>
          <w:p>
            <w:pPr>
              <w:jc w:val="right"/>
              <w:ind w:right="492"/>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ind w:right="65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ind w:right="652"/>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2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3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(3,429)</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311"/>
        </w:trPr>
        <w:tc>
          <w:tcPr>
            <w:tcW w:w="5380" w:type="dxa"/>
            <w:vAlign w:val="bottom"/>
            <w:tcBorders>
              <w:top w:val="single" w:sz="8" w:color="CCEEFF"/>
            </w:tcBorders>
            <w:shd w:val="clear" w:color="auto" w:fill="CCEEFF"/>
          </w:tcPr>
          <w:p>
            <w:pPr>
              <w:spacing w:after="0"/>
              <w:rPr>
                <w:sz w:val="24"/>
                <w:szCs w:val="24"/>
                <w:color w:val="auto"/>
              </w:rPr>
            </w:pPr>
          </w:p>
        </w:tc>
        <w:tc>
          <w:tcPr>
            <w:tcW w:w="228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4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50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2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shares:</w:t>
            </w:r>
          </w:p>
        </w:tc>
        <w:tc>
          <w:tcPr>
            <w:tcW w:w="2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3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22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171,745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168,077</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shares:</w:t>
            </w:r>
          </w:p>
        </w:tc>
        <w:tc>
          <w:tcPr>
            <w:tcW w:w="22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2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171,745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168,077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Effect of potentially dilutive securities:</w:t>
            </w:r>
          </w:p>
        </w:tc>
        <w:tc>
          <w:tcPr>
            <w:tcW w:w="2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920"/>
              <w:spacing w:after="0"/>
              <w:rPr>
                <w:sz w:val="20"/>
                <w:szCs w:val="20"/>
                <w:color w:val="auto"/>
              </w:rPr>
            </w:pPr>
            <w:r>
              <w:rPr>
                <w:rFonts w:ascii="Arial" w:cs="Arial" w:eastAsia="Arial" w:hAnsi="Arial"/>
                <w:sz w:val="18"/>
                <w:szCs w:val="18"/>
                <w:color w:val="auto"/>
              </w:rPr>
              <w:t>Stock options</w:t>
            </w:r>
          </w:p>
        </w:tc>
        <w:tc>
          <w:tcPr>
            <w:tcW w:w="2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RSUs (including PSUs)</w:t>
            </w:r>
          </w:p>
        </w:tc>
        <w:tc>
          <w:tcPr>
            <w:tcW w:w="2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43"/>
        </w:trPr>
        <w:tc>
          <w:tcPr>
            <w:tcW w:w="5380" w:type="dxa"/>
            <w:vAlign w:val="bottom"/>
          </w:tcPr>
          <w:p>
            <w:pPr>
              <w:ind w:left="920"/>
              <w:spacing w:after="0"/>
              <w:rPr>
                <w:sz w:val="20"/>
                <w:szCs w:val="20"/>
                <w:color w:val="auto"/>
              </w:rPr>
            </w:pPr>
            <w:r>
              <w:rPr>
                <w:rFonts w:ascii="Arial" w:cs="Arial" w:eastAsia="Arial" w:hAnsi="Arial"/>
                <w:sz w:val="18"/>
                <w:szCs w:val="18"/>
                <w:color w:val="auto"/>
              </w:rPr>
              <w:t>ESPP</w:t>
            </w:r>
          </w:p>
        </w:tc>
        <w:tc>
          <w:tcPr>
            <w:tcW w:w="2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Weighted-average shares used to compute diluted net income per share</w:t>
            </w:r>
          </w:p>
        </w:tc>
        <w:tc>
          <w:tcPr>
            <w:tcW w:w="2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171,745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173,720</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40"/>
              <w:spacing w:after="0"/>
              <w:rPr>
                <w:sz w:val="20"/>
                <w:szCs w:val="20"/>
                <w:color w:val="auto"/>
              </w:rPr>
            </w:pPr>
            <w:r>
              <w:rPr>
                <w:rFonts w:ascii="Arial" w:cs="Arial" w:eastAsia="Arial" w:hAnsi="Arial"/>
                <w:sz w:val="18"/>
                <w:szCs w:val="18"/>
                <w:color w:val="auto"/>
              </w:rPr>
              <w:t>Net income (loss) per share:</w:t>
            </w:r>
          </w:p>
        </w:tc>
        <w:tc>
          <w:tcPr>
            <w:tcW w:w="2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80" w:type="dxa"/>
            <w:vAlign w:val="bottom"/>
            <w:vMerge w:val="continue"/>
          </w:tcPr>
          <w:p>
            <w:pPr>
              <w:spacing w:after="0"/>
              <w:rPr>
                <w:sz w:val="20"/>
                <w:szCs w:val="20"/>
                <w:color w:val="auto"/>
              </w:rPr>
            </w:pPr>
          </w:p>
        </w:tc>
        <w:tc>
          <w:tcPr>
            <w:tcW w:w="2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2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380" w:type="dxa"/>
            <w:vAlign w:val="bottom"/>
          </w:tcPr>
          <w:p>
            <w:pPr>
              <w:ind w:left="500"/>
              <w:spacing w:after="0"/>
              <w:rPr>
                <w:sz w:val="20"/>
                <w:szCs w:val="20"/>
                <w:color w:val="auto"/>
              </w:rPr>
            </w:pPr>
            <w:r>
              <w:rPr>
                <w:rFonts w:ascii="Arial" w:cs="Arial" w:eastAsia="Arial" w:hAnsi="Arial"/>
                <w:sz w:val="18"/>
                <w:szCs w:val="18"/>
                <w:color w:val="auto"/>
              </w:rPr>
              <w:t>Diluted</w:t>
            </w:r>
          </w:p>
        </w:tc>
        <w:tc>
          <w:tcPr>
            <w:tcW w:w="2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280" w:type="dxa"/>
            <w:vAlign w:val="bottom"/>
            <w:vMerge w:val="restart"/>
          </w:tcPr>
          <w:p>
            <w:pPr>
              <w:jc w:val="right"/>
              <w:ind w:right="1770"/>
              <w:spacing w:after="0"/>
              <w:rPr>
                <w:sz w:val="20"/>
                <w:szCs w:val="20"/>
                <w:color w:val="auto"/>
              </w:rPr>
            </w:pPr>
            <w:r>
              <w:rPr>
                <w:rFonts w:ascii="Arial" w:cs="Arial" w:eastAsia="Arial" w:hAnsi="Arial"/>
                <w:sz w:val="18"/>
                <w:szCs w:val="18"/>
                <w:color w:val="auto"/>
              </w:rPr>
              <w:t>15</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8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potentially dilutive shares of common stock were excluded from the computation of diluted net income (loss) per share for the periods presented, as their effect would have been antidilutive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3760" w:type="dxa"/>
            <w:vAlign w:val="bottom"/>
            <w:gridSpan w:val="3"/>
          </w:tcPr>
          <w:p>
            <w:pPr>
              <w:jc w:val="right"/>
              <w:ind w:right="1033"/>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660" w:type="dxa"/>
            <w:vAlign w:val="bottom"/>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9"/>
        </w:trPr>
        <w:tc>
          <w:tcPr>
            <w:tcW w:w="7660" w:type="dxa"/>
            <w:vAlign w:val="bottom"/>
          </w:tcPr>
          <w:p>
            <w:pPr>
              <w:spacing w:after="0"/>
              <w:rPr>
                <w:sz w:val="18"/>
                <w:szCs w:val="18"/>
                <w:color w:val="auto"/>
              </w:rPr>
            </w:pPr>
          </w:p>
        </w:tc>
        <w:tc>
          <w:tcPr>
            <w:tcW w:w="1960" w:type="dxa"/>
            <w:vAlign w:val="bottom"/>
            <w:gridSpan w:val="2"/>
          </w:tcPr>
          <w:p>
            <w:pPr>
              <w:ind w:left="540"/>
              <w:spacing w:after="0"/>
              <w:rPr>
                <w:sz w:val="20"/>
                <w:szCs w:val="20"/>
                <w:color w:val="auto"/>
              </w:rPr>
            </w:pPr>
            <w:r>
              <w:rPr>
                <w:rFonts w:ascii="Arial" w:cs="Arial" w:eastAsia="Arial" w:hAnsi="Arial"/>
                <w:sz w:val="16"/>
                <w:szCs w:val="16"/>
                <w:b w:val="1"/>
                <w:bCs w:val="1"/>
                <w:color w:val="auto"/>
              </w:rPr>
              <w:t>March 31,</w:t>
            </w:r>
          </w:p>
        </w:tc>
        <w:tc>
          <w:tcPr>
            <w:tcW w:w="1800" w:type="dxa"/>
            <w:vAlign w:val="bottom"/>
          </w:tcPr>
          <w:p>
            <w:pPr>
              <w:jc w:val="right"/>
              <w:ind w:right="493"/>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7660" w:type="dxa"/>
            <w:vAlign w:val="bottom"/>
          </w:tcPr>
          <w:p>
            <w:pPr>
              <w:spacing w:after="0"/>
              <w:rPr>
                <w:sz w:val="18"/>
                <w:szCs w:val="18"/>
                <w:color w:val="auto"/>
              </w:rPr>
            </w:pPr>
          </w:p>
        </w:tc>
        <w:tc>
          <w:tcPr>
            <w:tcW w:w="1840" w:type="dxa"/>
            <w:vAlign w:val="bottom"/>
          </w:tcPr>
          <w:p>
            <w:pPr>
              <w:jc w:val="right"/>
              <w:ind w:right="67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800" w:type="dxa"/>
            <w:vAlign w:val="bottom"/>
          </w:tcPr>
          <w:p>
            <w:pPr>
              <w:jc w:val="right"/>
              <w:ind w:right="653"/>
              <w:spacing w:after="0"/>
              <w:rPr>
                <w:sz w:val="20"/>
                <w:szCs w:val="20"/>
                <w:color w:val="auto"/>
              </w:rPr>
            </w:pPr>
            <w:r>
              <w:rPr>
                <w:rFonts w:ascii="Arial" w:cs="Arial" w:eastAsia="Arial" w:hAnsi="Arial"/>
                <w:sz w:val="16"/>
                <w:szCs w:val="16"/>
                <w:b w:val="1"/>
                <w:bCs w:val="1"/>
                <w:color w:val="auto"/>
              </w:rPr>
              <w:t>2015</w:t>
            </w:r>
          </w:p>
        </w:tc>
      </w:tr>
      <w:tr>
        <w:trPr>
          <w:trHeight w:val="33"/>
        </w:trPr>
        <w:tc>
          <w:tcPr>
            <w:tcW w:w="76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6,939</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RSUs (including PSUs)</w:t>
            </w: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10,020</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1,333</w:t>
            </w:r>
          </w:p>
        </w:tc>
      </w:tr>
      <w:tr>
        <w:trPr>
          <w:trHeight w:val="27"/>
        </w:trPr>
        <w:tc>
          <w:tcPr>
            <w:tcW w:w="7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1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w:t>
            </w:r>
          </w:p>
        </w:tc>
      </w:tr>
      <w:tr>
        <w:trPr>
          <w:trHeight w:val="237"/>
        </w:trPr>
        <w:tc>
          <w:tcPr>
            <w:tcW w:w="7660" w:type="dxa"/>
            <w:vAlign w:val="bottom"/>
          </w:tcPr>
          <w:p>
            <w:pPr>
              <w:spacing w:after="0"/>
              <w:rPr>
                <w:sz w:val="20"/>
                <w:szCs w:val="20"/>
                <w:color w:val="auto"/>
              </w:rPr>
            </w:pPr>
          </w:p>
        </w:tc>
        <w:tc>
          <w:tcPr>
            <w:tcW w:w="18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17,241</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1,751</w:t>
            </w:r>
          </w:p>
        </w:tc>
      </w:tr>
      <w:tr>
        <w:trPr>
          <w:trHeight w:val="27"/>
        </w:trPr>
        <w:tc>
          <w:tcPr>
            <w:tcW w:w="76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 CHARGES</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connection with the acquisition of Meru, we initiated planned cost reduction and restructuring activities to improve our cost structure and operational efficiencies starting in the third quarter of 2015. We estimate that we will incur $8.0 million to $8.5 million of restructuring charges, consisting of severance and other benefits, contract terminations and other charges. We incurred $0.3 million of restructuring charges during the three months ended March 31, 2016, which are included in operating expense in the condensed consolidated statements of operations. To date, we have incurred $7.9 million of charges related to this restructuring. These charges are primarily related to severance payments to be paid in cash.</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summary of restructuring activity as of March 31, 2016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20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Employee Severance and</w:t>
            </w:r>
          </w:p>
        </w:tc>
        <w:tc>
          <w:tcPr>
            <w:tcW w:w="120" w:type="dxa"/>
            <w:vAlign w:val="bottom"/>
          </w:tcPr>
          <w:p>
            <w:pPr>
              <w:spacing w:after="0"/>
              <w:rPr>
                <w:sz w:val="17"/>
                <w:szCs w:val="17"/>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Contract Terminations</w:t>
            </w:r>
          </w:p>
        </w:tc>
        <w:tc>
          <w:tcPr>
            <w:tcW w:w="5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0"/>
        </w:trPr>
        <w:tc>
          <w:tcPr>
            <w:tcW w:w="5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Other Benefits</w:t>
            </w: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and Other Charges</w:t>
            </w:r>
          </w:p>
        </w:tc>
        <w:tc>
          <w:tcPr>
            <w:tcW w:w="500" w:type="dxa"/>
            <w:vAlign w:val="bottom"/>
          </w:tcPr>
          <w:p>
            <w:pPr>
              <w:spacing w:after="0"/>
              <w:rPr>
                <w:sz w:val="18"/>
                <w:szCs w:val="18"/>
                <w:color w:val="auto"/>
              </w:rPr>
            </w:pPr>
          </w:p>
        </w:tc>
        <w:tc>
          <w:tcPr>
            <w:tcW w:w="1560" w:type="dxa"/>
            <w:vAlign w:val="bottom"/>
          </w:tcPr>
          <w:p>
            <w:pPr>
              <w:jc w:val="right"/>
              <w:ind w:right="751"/>
              <w:spacing w:after="0"/>
              <w:rPr>
                <w:sz w:val="20"/>
                <w:szCs w:val="20"/>
                <w:color w:val="auto"/>
              </w:rPr>
            </w:pPr>
            <w:r>
              <w:rPr>
                <w:rFonts w:ascii="Arial" w:cs="Arial" w:eastAsia="Arial" w:hAnsi="Arial"/>
                <w:sz w:val="16"/>
                <w:szCs w:val="16"/>
                <w:b w:val="1"/>
                <w:bCs w:val="1"/>
                <w:color w:val="auto"/>
              </w:rPr>
              <w:t>Total</w:t>
            </w:r>
          </w:p>
        </w:tc>
      </w:tr>
      <w:tr>
        <w:trPr>
          <w:trHeight w:val="33"/>
        </w:trPr>
        <w:tc>
          <w:tcPr>
            <w:tcW w:w="5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Costs incurred</w:t>
            </w: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328</w:t>
            </w: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cash payments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Less non-cash charges</w:t>
            </w:r>
          </w:p>
        </w:tc>
        <w:tc>
          <w:tcPr>
            <w:tcW w:w="3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5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2016</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2,646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2,750</w:t>
            </w:r>
          </w:p>
        </w:tc>
      </w:tr>
      <w:tr>
        <w:trPr>
          <w:trHeight w:val="20"/>
        </w:trPr>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Cash payments for the restructuring activities are expected to be made through 2017, primarily relating to severance payments. The short-term portion of the restructuring reserve of $2.5 million is included in accrued liabilities and the remaining long-term portion of $0.2 million is included in other liabilities on the condensed consolidated balance sheet as of March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future principal contractual obligations as of March 31, 2016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rPr>
              <w:t>2016 (remainder)</w:t>
            </w:r>
          </w:p>
        </w:tc>
        <w:tc>
          <w:tcPr>
            <w:tcW w:w="200" w:type="dxa"/>
            <w:vAlign w:val="bottom"/>
          </w:tcPr>
          <w:p>
            <w:pPr>
              <w:spacing w:after="0"/>
              <w:rPr>
                <w:sz w:val="18"/>
                <w:szCs w:val="18"/>
                <w:color w:val="auto"/>
              </w:rPr>
            </w:pPr>
          </w:p>
        </w:tc>
        <w:tc>
          <w:tcPr>
            <w:tcW w:w="94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6"/>
                <w:szCs w:val="16"/>
                <w:b w:val="1"/>
                <w:bCs w:val="1"/>
                <w:color w:val="auto"/>
                <w:w w:val="97"/>
              </w:rPr>
              <w:t>Thereafter</w:t>
            </w:r>
          </w:p>
        </w:tc>
      </w:tr>
      <w:tr>
        <w:trPr>
          <w:trHeight w:val="33"/>
        </w:trPr>
        <w:tc>
          <w:tcPr>
            <w:tcW w:w="2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commitments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60,677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8,654</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w w:val="97"/>
              </w:rPr>
              <w:t>Inventory purchase commitments</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77,530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77,530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contractual commitments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open purchase orders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49,048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930</w:t>
            </w:r>
          </w:p>
        </w:tc>
      </w:tr>
      <w:tr>
        <w:trPr>
          <w:trHeight w:val="257"/>
        </w:trPr>
        <w:tc>
          <w:tcPr>
            <w:tcW w:w="264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187,255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132,148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16,358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12,626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9,664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6,875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9,584</w:t>
            </w:r>
          </w:p>
        </w:tc>
      </w:tr>
      <w:tr>
        <w:trPr>
          <w:trHeight w:val="20"/>
        </w:trPr>
        <w:tc>
          <w:tcPr>
            <w:tcW w:w="2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62"/>
        </w:trPr>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57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40" w:firstLine="648"/>
        <w:spacing w:after="0" w:line="261" w:lineRule="auto"/>
        <w:rPr>
          <w:sz w:val="20"/>
          <w:szCs w:val="20"/>
          <w:color w:val="auto"/>
        </w:rPr>
      </w:pPr>
      <w:r>
        <w:rPr>
          <w:rFonts w:ascii="Arial" w:cs="Arial" w:eastAsia="Arial" w:hAnsi="Arial"/>
          <w:sz w:val="18"/>
          <w:szCs w:val="18"/>
          <w:b w:val="1"/>
          <w:bCs w:val="1"/>
          <w:color w:val="auto"/>
        </w:rPr>
        <w:t>Operating Leases</w:t>
      </w:r>
      <w:r>
        <w:rPr>
          <w:rFonts w:ascii="Arial" w:cs="Arial" w:eastAsia="Arial" w:hAnsi="Arial"/>
          <w:sz w:val="18"/>
          <w:szCs w:val="18"/>
          <w:color w:val="auto"/>
        </w:rPr>
        <w:t>—We lease certain facilities under various non-cancelable operating leases, which expire through 2026. Certain leases require us</w:t>
      </w:r>
      <w:r>
        <w:rPr>
          <w:rFonts w:ascii="Arial" w:cs="Arial" w:eastAsia="Arial" w:hAnsi="Arial"/>
          <w:sz w:val="18"/>
          <w:szCs w:val="18"/>
          <w:b w:val="1"/>
          <w:bCs w:val="1"/>
          <w:color w:val="auto"/>
        </w:rPr>
        <w:t xml:space="preserve"> </w:t>
      </w:r>
      <w:r>
        <w:rPr>
          <w:rFonts w:ascii="Arial" w:cs="Arial" w:eastAsia="Arial" w:hAnsi="Arial"/>
          <w:sz w:val="18"/>
          <w:szCs w:val="18"/>
          <w:color w:val="auto"/>
        </w:rPr>
        <w:t>to pay variable costs such as taxes, maintenance, and insurance. The terms of certain operating leases also provide for renewal options and escalation clauses. Rent expense was $4.6 million and $3.1 million during the three months ended March 31, 2016 and March 31, 2015, respectively. Rent expense is recognized using the straight-line method over the term of the lease.</w:t>
      </w:r>
    </w:p>
    <w:p>
      <w:pPr>
        <w:spacing w:after="0" w:line="18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7"/>
          <w:szCs w:val="17"/>
          <w:b w:val="1"/>
          <w:bCs w:val="1"/>
          <w:color w:val="auto"/>
        </w:rPr>
        <w:t>Inventory Purchase Commitments</w:t>
      </w:r>
      <w:r>
        <w:rPr>
          <w:rFonts w:ascii="Arial" w:cs="Arial" w:eastAsia="Arial" w:hAnsi="Arial"/>
          <w:sz w:val="17"/>
          <w:szCs w:val="17"/>
          <w:color w:val="auto"/>
        </w:rPr>
        <w:t>—Our independent contract manufacturers procure components and build our products based on our forecasts.</w:t>
      </w:r>
      <w:r>
        <w:rPr>
          <w:rFonts w:ascii="Arial" w:cs="Arial" w:eastAsia="Arial" w:hAnsi="Arial"/>
          <w:sz w:val="17"/>
          <w:szCs w:val="17"/>
          <w:b w:val="1"/>
          <w:bCs w:val="1"/>
          <w:color w:val="auto"/>
        </w:rPr>
        <w:t xml:space="preserve"> </w:t>
      </w:r>
      <w:r>
        <w:rPr>
          <w:rFonts w:ascii="Arial" w:cs="Arial" w:eastAsia="Arial" w:hAnsi="Arial"/>
          <w:sz w:val="17"/>
          <w:szCs w:val="17"/>
          <w:color w:val="auto"/>
        </w:rPr>
        <w:t>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March 31, 2016, we had $77.5 million of open purchase orders with our independent contract manufacturers that may not be cancelable.</w:t>
      </w:r>
    </w:p>
    <w:p>
      <w:pPr>
        <w:spacing w:after="0" w:line="141"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Other Contractual Commitments and Open Purchase Orders</w:t>
      </w:r>
      <w:r>
        <w:rPr>
          <w:rFonts w:ascii="Arial" w:cs="Arial" w:eastAsia="Arial" w:hAnsi="Arial"/>
          <w:sz w:val="18"/>
          <w:szCs w:val="18"/>
          <w:color w:val="auto"/>
        </w:rPr>
        <w:t>—In addition to commitments with contract manufacturers, we have open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orders and contractual obligations in the ordinary course of business for which we have not received goods or services. As of March 31, 2016, we had $49.0 million in other contractual commitments that may not be cancelable.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Warranties</w:t>
      </w:r>
      <w:r>
        <w:rPr>
          <w:rFonts w:ascii="Arial" w:cs="Arial" w:eastAsia="Arial" w:hAnsi="Arial"/>
          <w:sz w:val="18"/>
          <w:szCs w:val="18"/>
          <w:color w:val="auto"/>
        </w:rPr>
        <w:t>—Accrued warranty activities are summarized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3180" w:type="dxa"/>
            <w:vAlign w:val="bottom"/>
            <w:gridSpan w:val="4"/>
          </w:tcPr>
          <w:p>
            <w:pPr>
              <w:jc w:val="right"/>
              <w:ind w:right="454"/>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9"/>
        </w:trPr>
        <w:tc>
          <w:tcPr>
            <w:tcW w:w="7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80" w:type="dxa"/>
            <w:vAlign w:val="bottom"/>
          </w:tcPr>
          <w:p>
            <w:pPr>
              <w:spacing w:after="0"/>
              <w:rPr>
                <w:sz w:val="18"/>
                <w:szCs w:val="18"/>
                <w:color w:val="auto"/>
              </w:rPr>
            </w:pPr>
          </w:p>
        </w:tc>
      </w:tr>
      <w:tr>
        <w:trPr>
          <w:trHeight w:val="210"/>
        </w:trPr>
        <w:tc>
          <w:tcPr>
            <w:tcW w:w="7660" w:type="dxa"/>
            <w:vAlign w:val="bottom"/>
          </w:tcPr>
          <w:p>
            <w:pPr>
              <w:spacing w:after="0"/>
              <w:rPr>
                <w:sz w:val="18"/>
                <w:szCs w:val="18"/>
                <w:color w:val="auto"/>
              </w:rPr>
            </w:pPr>
          </w:p>
        </w:tc>
        <w:tc>
          <w:tcPr>
            <w:tcW w:w="1280" w:type="dxa"/>
            <w:vAlign w:val="bottom"/>
          </w:tcPr>
          <w:p>
            <w:pPr>
              <w:jc w:val="right"/>
              <w:ind w:right="115"/>
              <w:spacing w:after="0"/>
              <w:rPr>
                <w:sz w:val="20"/>
                <w:szCs w:val="20"/>
                <w:color w:val="auto"/>
              </w:rPr>
            </w:pPr>
            <w:r>
              <w:rPr>
                <w:rFonts w:ascii="Arial" w:cs="Arial" w:eastAsia="Arial" w:hAnsi="Arial"/>
                <w:sz w:val="16"/>
                <w:szCs w:val="16"/>
                <w:b w:val="1"/>
                <w:bCs w:val="1"/>
                <w:color w:val="auto"/>
              </w:rPr>
              <w:t>2016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74"/>
              <w:spacing w:after="0"/>
              <w:rPr>
                <w:sz w:val="20"/>
                <w:szCs w:val="20"/>
                <w:color w:val="auto"/>
              </w:rPr>
            </w:pPr>
            <w:r>
              <w:rPr>
                <w:rFonts w:ascii="Arial" w:cs="Arial" w:eastAsia="Arial" w:hAnsi="Arial"/>
                <w:sz w:val="16"/>
                <w:szCs w:val="16"/>
                <w:b w:val="1"/>
                <w:bCs w:val="1"/>
                <w:color w:val="auto"/>
              </w:rPr>
              <w:t>2015</w:t>
            </w:r>
          </w:p>
        </w:tc>
        <w:tc>
          <w:tcPr>
            <w:tcW w:w="580" w:type="dxa"/>
            <w:vAlign w:val="bottom"/>
          </w:tcPr>
          <w:p>
            <w:pPr>
              <w:spacing w:after="0"/>
              <w:rPr>
                <w:sz w:val="18"/>
                <w:szCs w:val="18"/>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 balance—beginning of the period</w:t>
            </w:r>
          </w:p>
        </w:tc>
        <w:tc>
          <w:tcPr>
            <w:tcW w:w="1280" w:type="dxa"/>
            <w:vAlign w:val="bottom"/>
            <w:tcBorders>
              <w:bottom w:val="single" w:sz="8" w:color="CCEEFF"/>
            </w:tcBorders>
            <w:shd w:val="clear" w:color="auto" w:fill="CCEEFF"/>
          </w:tcPr>
          <w:p>
            <w:pPr>
              <w:jc w:val="right"/>
              <w:ind w:right="107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3,144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Warranty costs incurred</w:t>
            </w:r>
          </w:p>
        </w:tc>
        <w:tc>
          <w:tcPr>
            <w:tcW w:w="12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(1,095)</w:t>
            </w: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warranty for the period</w:t>
            </w:r>
          </w:p>
        </w:tc>
        <w:tc>
          <w:tcPr>
            <w:tcW w:w="1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Adjustment related to pre-existing warranties</w:t>
            </w:r>
          </w:p>
        </w:tc>
        <w:tc>
          <w:tcPr>
            <w:tcW w:w="12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222</w:t>
            </w:r>
          </w:p>
        </w:tc>
      </w:tr>
      <w:tr>
        <w:trPr>
          <w:trHeight w:val="27"/>
        </w:trPr>
        <w:tc>
          <w:tcPr>
            <w:tcW w:w="7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 balance—end of the period</w:t>
            </w:r>
          </w:p>
        </w:tc>
        <w:tc>
          <w:tcPr>
            <w:tcW w:w="1280" w:type="dxa"/>
            <w:vAlign w:val="bottom"/>
            <w:tcBorders>
              <w:bottom w:val="single" w:sz="8" w:color="auto"/>
            </w:tcBorders>
            <w:shd w:val="clear" w:color="auto" w:fill="CCEEFF"/>
          </w:tcPr>
          <w:p>
            <w:pPr>
              <w:jc w:val="right"/>
              <w:ind w:right="107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2,657</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3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4,341</w:t>
            </w:r>
          </w:p>
        </w:tc>
      </w:tr>
      <w:tr>
        <w:trPr>
          <w:trHeight w:val="20"/>
        </w:trPr>
        <w:tc>
          <w:tcPr>
            <w:tcW w:w="7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b w:val="1"/>
          <w:bCs w:val="1"/>
          <w:color w:val="auto"/>
        </w:rPr>
        <w:t>Litigation</w:t>
      </w:r>
      <w:r>
        <w:rPr>
          <w:rFonts w:ascii="Arial" w:cs="Arial" w:eastAsia="Arial" w:hAnsi="Arial"/>
          <w:sz w:val="16"/>
          <w:szCs w:val="16"/>
          <w:color w:val="auto"/>
        </w:rPr>
        <w:t>—We are involved in disputes, litigation, and other legal actions. For lawsuits where we are the defendant, we are in the process of</w:t>
      </w:r>
      <w:r>
        <w:rPr>
          <w:rFonts w:ascii="Arial" w:cs="Arial" w:eastAsia="Arial" w:hAnsi="Arial"/>
          <w:sz w:val="16"/>
          <w:szCs w:val="16"/>
          <w:b w:val="1"/>
          <w:bCs w:val="1"/>
          <w:color w:val="auto"/>
        </w:rPr>
        <w:t xml:space="preserve"> </w:t>
      </w:r>
      <w:r>
        <w:rPr>
          <w:rFonts w:ascii="Arial" w:cs="Arial" w:eastAsia="Arial" w:hAnsi="Arial"/>
          <w:sz w:val="16"/>
          <w:szCs w:val="16"/>
          <w:color w:val="auto"/>
        </w:rPr>
        <w:t>defending these litigation matters, and while there can be no assurances and the outcome of these matters is currently not determinable, we currently believe that there are no existing claims or proceedings that are likely to have a material adverse effect on our financial position. There are many uncertainties associated with any litigation and these actions or other third-party claims against us may cause us to incur costly litigation fees, including contingent legal fees with related parties, costs and substantial settlement charges, and possibly subject us to damages and other penalties. In addition, the resolution of any intellectual property litigation may require us to make royalty payments, which could adversely affect our gross margins in future periods. If any of those events were to occur, our business, financial condition, results of operations, and cash flows could be adversely affected. The actual liability in any such matters may be materially different from our estimates, if any, which could result in the need to adjust the liability and record additional expenses. We have not recorded any significant accrual for loss contingencies associated with such legal proceedings; determined that a significant unfavorable outcome is probable or reasonably possible; or determined that the amount or range of any possible loss is reasonably estimable.</w:t>
      </w:r>
    </w:p>
    <w:p>
      <w:pPr>
        <w:spacing w:after="0" w:line="16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—Under the indemnification provisions of our standard sales contracts, we agree to defend our customers against third-party claims</w:t>
      </w:r>
      <w:r>
        <w:rPr>
          <w:rFonts w:ascii="Arial" w:cs="Arial" w:eastAsia="Arial" w:hAnsi="Arial"/>
          <w:sz w:val="17"/>
          <w:szCs w:val="17"/>
          <w:b w:val="1"/>
          <w:bCs w:val="1"/>
          <w:color w:val="auto"/>
        </w:rPr>
        <w:t xml:space="preserve"> </w:t>
      </w:r>
      <w:r>
        <w:rPr>
          <w:rFonts w:ascii="Arial" w:cs="Arial" w:eastAsia="Arial" w:hAnsi="Arial"/>
          <w:sz w:val="17"/>
          <w:szCs w:val="17"/>
          <w:color w:val="auto"/>
        </w:rPr>
        <w:t>asserting various allegations such as product defects and infringement of certain intellectual property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intellectual property infringement and that could potentially expose us to losses in excess of the amount received under the agreement, and in some instances to potential liability that is not contractually limited. To date, there have been no awards under such indemnification provisions.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Plans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have stock-based compensation plans pursuant to which we have granted stock options and RSUs, including PSUs. We also have an ESPP for all eligible employees. As of March 31, 2016, there were a total of 45,616,141 shares of common stock available for grant under our stock-based compensation plans.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 summarizes the activity and related information for RSUs, including PSUs, for the periods presented below (in thousands, except per share amounts):</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640" w:type="dxa"/>
            <w:vAlign w:val="bottom"/>
          </w:tcPr>
          <w:p>
            <w:pPr>
              <w:spacing w:after="0"/>
              <w:rPr>
                <w:sz w:val="18"/>
                <w:szCs w:val="18"/>
                <w:color w:val="auto"/>
              </w:rPr>
            </w:pPr>
          </w:p>
        </w:tc>
        <w:tc>
          <w:tcPr>
            <w:tcW w:w="3740" w:type="dxa"/>
            <w:vAlign w:val="bottom"/>
            <w:gridSpan w:val="4"/>
          </w:tcPr>
          <w:p>
            <w:pPr>
              <w:jc w:val="right"/>
              <w:ind w:right="552"/>
              <w:spacing w:after="0"/>
              <w:rPr>
                <w:sz w:val="20"/>
                <w:szCs w:val="20"/>
                <w:color w:val="auto"/>
              </w:rPr>
            </w:pPr>
            <w:r>
              <w:rPr>
                <w:rFonts w:ascii="Arial" w:cs="Arial" w:eastAsia="Arial" w:hAnsi="Arial"/>
                <w:sz w:val="16"/>
                <w:szCs w:val="16"/>
                <w:b w:val="1"/>
                <w:bCs w:val="1"/>
                <w:color w:val="auto"/>
              </w:rPr>
              <w:t>Restricted Stock Units Outstanding</w:t>
            </w:r>
          </w:p>
        </w:tc>
      </w:tr>
      <w:tr>
        <w:trPr>
          <w:trHeight w:val="33"/>
        </w:trPr>
        <w:tc>
          <w:tcPr>
            <w:tcW w:w="76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r>
      <w:tr>
        <w:trPr>
          <w:trHeight w:val="209"/>
        </w:trPr>
        <w:tc>
          <w:tcPr>
            <w:tcW w:w="7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Weighted-Average Grant</w:t>
            </w:r>
          </w:p>
        </w:tc>
      </w:tr>
      <w:tr>
        <w:trPr>
          <w:trHeight w:val="203"/>
        </w:trPr>
        <w:tc>
          <w:tcPr>
            <w:tcW w:w="76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ind w:right="132"/>
              <w:spacing w:after="0"/>
              <w:rPr>
                <w:sz w:val="20"/>
                <w:szCs w:val="20"/>
                <w:color w:val="auto"/>
              </w:rPr>
            </w:pPr>
            <w:r>
              <w:rPr>
                <w:rFonts w:ascii="Arial" w:cs="Arial" w:eastAsia="Arial" w:hAnsi="Arial"/>
                <w:sz w:val="16"/>
                <w:szCs w:val="16"/>
                <w:b w:val="1"/>
                <w:bCs w:val="1"/>
                <w:color w:val="auto"/>
                <w:w w:val="96"/>
              </w:rPr>
              <w:t>Date Fair Value per</w:t>
            </w:r>
          </w:p>
        </w:tc>
      </w:tr>
      <w:tr>
        <w:trPr>
          <w:trHeight w:val="210"/>
        </w:trPr>
        <w:tc>
          <w:tcPr>
            <w:tcW w:w="7640" w:type="dxa"/>
            <w:vAlign w:val="bottom"/>
          </w:tcPr>
          <w:p>
            <w:pPr>
              <w:spacing w:after="0"/>
              <w:rPr>
                <w:sz w:val="18"/>
                <w:szCs w:val="18"/>
                <w:color w:val="auto"/>
              </w:rPr>
            </w:pPr>
          </w:p>
        </w:tc>
        <w:tc>
          <w:tcPr>
            <w:tcW w:w="192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 of Shares</w:t>
            </w:r>
          </w:p>
        </w:tc>
        <w:tc>
          <w:tcPr>
            <w:tcW w:w="180" w:type="dxa"/>
            <w:vAlign w:val="bottom"/>
          </w:tcPr>
          <w:p>
            <w:pPr>
              <w:spacing w:after="0"/>
              <w:rPr>
                <w:sz w:val="18"/>
                <w:szCs w:val="18"/>
                <w:color w:val="auto"/>
              </w:rPr>
            </w:pPr>
          </w:p>
        </w:tc>
        <w:tc>
          <w:tcPr>
            <w:tcW w:w="1640" w:type="dxa"/>
            <w:vAlign w:val="bottom"/>
          </w:tcPr>
          <w:p>
            <w:pPr>
              <w:jc w:val="right"/>
              <w:ind w:right="612"/>
              <w:spacing w:after="0"/>
              <w:rPr>
                <w:sz w:val="20"/>
                <w:szCs w:val="20"/>
                <w:color w:val="auto"/>
              </w:rPr>
            </w:pPr>
            <w:r>
              <w:rPr>
                <w:rFonts w:ascii="Arial" w:cs="Arial" w:eastAsia="Arial" w:hAnsi="Arial"/>
                <w:sz w:val="16"/>
                <w:szCs w:val="16"/>
                <w:b w:val="1"/>
                <w:bCs w:val="1"/>
                <w:color w:val="auto"/>
              </w:rPr>
              <w:t>Share</w:t>
            </w:r>
          </w:p>
        </w:tc>
      </w:tr>
      <w:tr>
        <w:trPr>
          <w:trHeight w:val="33"/>
        </w:trPr>
        <w:tc>
          <w:tcPr>
            <w:tcW w:w="76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2015</w:t>
            </w:r>
          </w:p>
        </w:tc>
        <w:tc>
          <w:tcPr>
            <w:tcW w:w="1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32.97</w:t>
            </w:r>
          </w:p>
        </w:tc>
      </w:tr>
      <w:tr>
        <w:trPr>
          <w:trHeight w:val="243"/>
        </w:trPr>
        <w:tc>
          <w:tcPr>
            <w:tcW w:w="7640" w:type="dxa"/>
            <w:vAlign w:val="bottom"/>
          </w:tcPr>
          <w:p>
            <w:pPr>
              <w:ind w:left="48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2,831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23.87</w:t>
            </w:r>
          </w:p>
        </w:tc>
      </w:tr>
      <w:tr>
        <w:trPr>
          <w:trHeight w:val="27"/>
        </w:trPr>
        <w:tc>
          <w:tcPr>
            <w:tcW w:w="76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31.94</w:t>
            </w:r>
          </w:p>
        </w:tc>
      </w:tr>
      <w:tr>
        <w:trPr>
          <w:trHeight w:val="243"/>
        </w:trPr>
        <w:tc>
          <w:tcPr>
            <w:tcW w:w="7640" w:type="dxa"/>
            <w:vAlign w:val="bottom"/>
          </w:tcPr>
          <w:p>
            <w:pPr>
              <w:ind w:left="480"/>
              <w:spacing w:after="0"/>
              <w:rPr>
                <w:sz w:val="20"/>
                <w:szCs w:val="20"/>
                <w:color w:val="auto"/>
              </w:rPr>
            </w:pPr>
            <w:r>
              <w:rPr>
                <w:rFonts w:ascii="Arial" w:cs="Arial" w:eastAsia="Arial" w:hAnsi="Arial"/>
                <w:sz w:val="18"/>
                <w:szCs w:val="18"/>
                <w:color w:val="auto"/>
              </w:rPr>
              <w:t>Vested</w:t>
            </w:r>
          </w:p>
        </w:tc>
        <w:tc>
          <w:tcPr>
            <w:tcW w:w="182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28.45</w:t>
            </w:r>
          </w:p>
        </w:tc>
      </w:tr>
      <w:tr>
        <w:trPr>
          <w:trHeight w:val="27"/>
        </w:trPr>
        <w:tc>
          <w:tcPr>
            <w:tcW w:w="76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Balance—March 31, 2016</w:t>
            </w:r>
          </w:p>
        </w:tc>
        <w:tc>
          <w:tcPr>
            <w:tcW w:w="1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10,633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30.86</w:t>
            </w:r>
          </w:p>
        </w:tc>
      </w:tr>
      <w:tr>
        <w:trPr>
          <w:trHeight w:val="20"/>
        </w:trPr>
        <w:tc>
          <w:tcPr>
            <w:tcW w:w="76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RSUs expected to vest—March 31, 2016</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9,959</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30.71</w:t>
            </w:r>
          </w:p>
        </w:tc>
      </w:tr>
    </w:tbl>
    <w:p>
      <w:pPr>
        <w:spacing w:after="0" w:line="229" w:lineRule="exact"/>
        <w:rPr>
          <w:sz w:val="20"/>
          <w:szCs w:val="20"/>
          <w:color w:val="auto"/>
        </w:rPr>
      </w:pPr>
    </w:p>
    <w:p>
      <w:pPr>
        <w:jc w:val="both"/>
        <w:ind w:right="40" w:firstLine="486"/>
        <w:spacing w:after="0" w:line="312" w:lineRule="auto"/>
        <w:rPr>
          <w:sz w:val="20"/>
          <w:szCs w:val="20"/>
          <w:color w:val="auto"/>
        </w:rPr>
      </w:pPr>
      <w:r>
        <w:rPr>
          <w:rFonts w:ascii="Arial" w:cs="Arial" w:eastAsia="Arial" w:hAnsi="Arial"/>
          <w:sz w:val="16"/>
          <w:szCs w:val="16"/>
          <w:color w:val="auto"/>
        </w:rPr>
        <w:t>As of March 31, 2016, total compensation expense related to unvested RSUs, including PSUs, that were granted to employees and non-employees, but not yet recognized, was $303.8 million. This expense is expected to be amortized on a straight-line basis over a weighted-average vesting period of 3.0 years. We did not grant any PSUs during the three months ended March 31, 2016. The stock-based compensation expense related to PSU awards is not material.</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RSUs settle into shares of common stock upon vesting. Upon the vesting of the RSUs, we net-settle the RSUs and withhold a portion of the shares to satisfy minimum statutory employee withholding taxes. Total payment for the employees’ tax obligations to the taxing authorities is reflected as a financing activity within the condensed consolidated statements of cash flows.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number and value of the shares withheld for employee taxes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200" w:type="dxa"/>
            <w:vAlign w:val="bottom"/>
            <w:gridSpan w:val="4"/>
          </w:tcPr>
          <w:p>
            <w:pPr>
              <w:jc w:val="right"/>
              <w:ind w:right="496"/>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60" w:type="dxa"/>
            <w:vAlign w:val="bottom"/>
          </w:tcPr>
          <w:p>
            <w:pPr>
              <w:jc w:val="center"/>
              <w:ind w:left="419"/>
              <w:spacing w:after="0"/>
              <w:rPr>
                <w:sz w:val="20"/>
                <w:szCs w:val="20"/>
                <w:color w:val="auto"/>
              </w:rPr>
            </w:pPr>
            <w:r>
              <w:rPr>
                <w:rFonts w:ascii="Arial" w:cs="Arial" w:eastAsia="Arial" w:hAnsi="Arial"/>
                <w:sz w:val="16"/>
                <w:szCs w:val="16"/>
                <w:b w:val="1"/>
                <w:bCs w:val="1"/>
                <w:color w:val="auto"/>
                <w:w w:val="97"/>
              </w:rPr>
              <w:t>March 31,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left="416"/>
              <w:spacing w:after="0"/>
              <w:rPr>
                <w:sz w:val="20"/>
                <w:szCs w:val="20"/>
                <w:color w:val="auto"/>
              </w:rPr>
            </w:pPr>
            <w:r>
              <w:rPr>
                <w:rFonts w:ascii="Arial" w:cs="Arial" w:eastAsia="Arial" w:hAnsi="Arial"/>
                <w:sz w:val="16"/>
                <w:szCs w:val="16"/>
                <w:b w:val="1"/>
                <w:bCs w:val="1"/>
                <w:color w:val="auto"/>
                <w:w w:val="94"/>
              </w:rPr>
              <w:t>March 31,</w:t>
            </w:r>
          </w:p>
        </w:tc>
        <w:tc>
          <w:tcPr>
            <w:tcW w:w="540" w:type="dxa"/>
            <w:vAlign w:val="bottom"/>
          </w:tcPr>
          <w:p>
            <w:pPr>
              <w:spacing w:after="0"/>
              <w:rPr>
                <w:sz w:val="18"/>
                <w:szCs w:val="18"/>
                <w:color w:val="auto"/>
              </w:rPr>
            </w:pPr>
          </w:p>
        </w:tc>
      </w:tr>
      <w:tr>
        <w:trPr>
          <w:trHeight w:val="210"/>
        </w:trPr>
        <w:tc>
          <w:tcPr>
            <w:tcW w:w="3780" w:type="dxa"/>
            <w:vAlign w:val="bottom"/>
          </w:tcPr>
          <w:p>
            <w:pPr>
              <w:spacing w:after="0"/>
              <w:rPr>
                <w:sz w:val="18"/>
                <w:szCs w:val="18"/>
                <w:color w:val="auto"/>
              </w:rPr>
            </w:pPr>
          </w:p>
        </w:tc>
        <w:tc>
          <w:tcPr>
            <w:tcW w:w="51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16"/>
              <w:spacing w:after="0"/>
              <w:rPr>
                <w:sz w:val="20"/>
                <w:szCs w:val="20"/>
                <w:color w:val="auto"/>
              </w:rPr>
            </w:pPr>
            <w:r>
              <w:rPr>
                <w:rFonts w:ascii="Arial" w:cs="Arial" w:eastAsia="Arial" w:hAnsi="Arial"/>
                <w:sz w:val="16"/>
                <w:szCs w:val="16"/>
                <w:b w:val="1"/>
                <w:bCs w:val="1"/>
                <w:color w:val="auto"/>
              </w:rPr>
              <w:t>2015</w:t>
            </w:r>
          </w:p>
        </w:tc>
        <w:tc>
          <w:tcPr>
            <w:tcW w:w="540" w:type="dxa"/>
            <w:vAlign w:val="bottom"/>
          </w:tcPr>
          <w:p>
            <w:pPr>
              <w:spacing w:after="0"/>
              <w:rPr>
                <w:sz w:val="18"/>
                <w:szCs w:val="18"/>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withheld for taxes</w:t>
            </w:r>
          </w:p>
        </w:tc>
        <w:tc>
          <w:tcPr>
            <w:tcW w:w="38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Amount withheld for taxes</w:t>
            </w:r>
          </w:p>
        </w:tc>
        <w:tc>
          <w:tcPr>
            <w:tcW w:w="5120" w:type="dxa"/>
            <w:vAlign w:val="bottom"/>
            <w:gridSpan w:val="2"/>
          </w:tcPr>
          <w:p>
            <w:pPr>
              <w:jc w:val="right"/>
              <w:ind w:right="1079"/>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9,441</w:t>
            </w:r>
          </w:p>
        </w:tc>
        <w:tc>
          <w:tcPr>
            <w:tcW w:w="100" w:type="dxa"/>
            <w:vAlign w:val="bottom"/>
          </w:tcPr>
          <w:p>
            <w:pPr>
              <w:spacing w:after="0"/>
              <w:rPr>
                <w:sz w:val="21"/>
                <w:szCs w:val="21"/>
                <w:color w:val="auto"/>
              </w:rPr>
            </w:pPr>
          </w:p>
        </w:tc>
        <w:tc>
          <w:tcPr>
            <w:tcW w:w="1280" w:type="dxa"/>
            <w:vAlign w:val="bottom"/>
          </w:tcPr>
          <w:p>
            <w:pPr>
              <w:jc w:val="right"/>
              <w:ind w:right="107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6,600</w:t>
            </w:r>
          </w:p>
        </w:tc>
      </w:tr>
      <w:tr>
        <w:trPr>
          <w:trHeight w:val="918"/>
        </w:trPr>
        <w:tc>
          <w:tcPr>
            <w:tcW w:w="3780" w:type="dxa"/>
            <w:vAlign w:val="bottom"/>
          </w:tcPr>
          <w:p>
            <w:pPr>
              <w:spacing w:after="0"/>
              <w:rPr>
                <w:sz w:val="24"/>
                <w:szCs w:val="24"/>
                <w:color w:val="auto"/>
              </w:rPr>
            </w:pPr>
          </w:p>
        </w:tc>
        <w:tc>
          <w:tcPr>
            <w:tcW w:w="3860" w:type="dxa"/>
            <w:vAlign w:val="bottom"/>
          </w:tcPr>
          <w:p>
            <w:pPr>
              <w:jc w:val="right"/>
              <w:ind w:right="1773"/>
              <w:spacing w:after="0"/>
              <w:rPr>
                <w:sz w:val="20"/>
                <w:szCs w:val="20"/>
                <w:color w:val="auto"/>
              </w:rPr>
            </w:pPr>
            <w:r>
              <w:rPr>
                <w:rFonts w:ascii="Arial" w:cs="Arial" w:eastAsia="Arial" w:hAnsi="Arial"/>
                <w:sz w:val="18"/>
                <w:szCs w:val="18"/>
                <w:color w:val="auto"/>
              </w:rPr>
              <w:t>18</w:t>
            </w: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Options</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520" w:type="dxa"/>
            <w:vAlign w:val="bottom"/>
          </w:tcPr>
          <w:p>
            <w:pPr>
              <w:spacing w:after="0"/>
              <w:rPr>
                <w:sz w:val="18"/>
                <w:szCs w:val="18"/>
                <w:color w:val="auto"/>
              </w:rPr>
            </w:pPr>
          </w:p>
        </w:tc>
        <w:tc>
          <w:tcPr>
            <w:tcW w:w="3360" w:type="dxa"/>
            <w:vAlign w:val="bottom"/>
            <w:gridSpan w:val="4"/>
          </w:tcPr>
          <w:p>
            <w:pPr>
              <w:ind w:left="1220"/>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r>
      <w:tr>
        <w:trPr>
          <w:trHeight w:val="33"/>
        </w:trPr>
        <w:tc>
          <w:tcPr>
            <w:tcW w:w="75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09"/>
        </w:trPr>
        <w:tc>
          <w:tcPr>
            <w:tcW w:w="7520" w:type="dxa"/>
            <w:vAlign w:val="bottom"/>
          </w:tcPr>
          <w:p>
            <w:pPr>
              <w:spacing w:after="0"/>
              <w:rPr>
                <w:sz w:val="18"/>
                <w:szCs w:val="18"/>
                <w:color w:val="auto"/>
              </w:rPr>
            </w:pPr>
          </w:p>
        </w:tc>
        <w:tc>
          <w:tcPr>
            <w:tcW w:w="1380" w:type="dxa"/>
            <w:vAlign w:val="bottom"/>
          </w:tcPr>
          <w:p>
            <w:pPr>
              <w:ind w:left="560"/>
              <w:spacing w:after="0"/>
              <w:rPr>
                <w:sz w:val="20"/>
                <w:szCs w:val="20"/>
                <w:color w:val="auto"/>
              </w:rPr>
            </w:pPr>
            <w:r>
              <w:rPr>
                <w:rFonts w:ascii="Arial" w:cs="Arial" w:eastAsia="Arial" w:hAnsi="Arial"/>
                <w:sz w:val="16"/>
                <w:szCs w:val="16"/>
                <w:b w:val="1"/>
                <w:bCs w:val="1"/>
                <w:color w:val="auto"/>
              </w:rPr>
              <w:t>March 31,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left="399"/>
              <w:spacing w:after="0"/>
              <w:rPr>
                <w:sz w:val="20"/>
                <w:szCs w:val="20"/>
                <w:color w:val="auto"/>
              </w:rPr>
            </w:pPr>
            <w:r>
              <w:rPr>
                <w:rFonts w:ascii="Arial" w:cs="Arial" w:eastAsia="Arial" w:hAnsi="Arial"/>
                <w:sz w:val="16"/>
                <w:szCs w:val="16"/>
                <w:b w:val="1"/>
                <w:bCs w:val="1"/>
                <w:color w:val="auto"/>
                <w:w w:val="94"/>
              </w:rPr>
              <w:t>March 31,</w:t>
            </w:r>
          </w:p>
        </w:tc>
        <w:tc>
          <w:tcPr>
            <w:tcW w:w="500" w:type="dxa"/>
            <w:vAlign w:val="bottom"/>
          </w:tcPr>
          <w:p>
            <w:pPr>
              <w:spacing w:after="0"/>
              <w:rPr>
                <w:sz w:val="18"/>
                <w:szCs w:val="18"/>
                <w:color w:val="auto"/>
              </w:rPr>
            </w:pPr>
          </w:p>
        </w:tc>
      </w:tr>
      <w:tr>
        <w:trPr>
          <w:trHeight w:val="210"/>
        </w:trPr>
        <w:tc>
          <w:tcPr>
            <w:tcW w:w="8900" w:type="dxa"/>
            <w:vAlign w:val="bottom"/>
            <w:gridSpan w:val="2"/>
          </w:tcPr>
          <w:p>
            <w:pPr>
              <w:ind w:left="8300"/>
              <w:spacing w:after="0"/>
              <w:rPr>
                <w:sz w:val="20"/>
                <w:szCs w:val="20"/>
                <w:color w:val="auto"/>
              </w:rPr>
            </w:pPr>
            <w:r>
              <w:rPr>
                <w:rFonts w:ascii="Arial" w:cs="Arial" w:eastAsia="Arial" w:hAnsi="Arial"/>
                <w:sz w:val="16"/>
                <w:szCs w:val="16"/>
                <w:b w:val="1"/>
                <w:bCs w:val="1"/>
                <w:color w:val="auto"/>
              </w:rPr>
              <w:t>2016</w:t>
            </w:r>
          </w:p>
        </w:tc>
        <w:tc>
          <w:tcPr>
            <w:tcW w:w="198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2015</w:t>
            </w:r>
          </w:p>
        </w:tc>
        <w:tc>
          <w:tcPr>
            <w:tcW w:w="500" w:type="dxa"/>
            <w:vAlign w:val="bottom"/>
          </w:tcPr>
          <w:p>
            <w:pPr>
              <w:spacing w:after="0"/>
              <w:rPr>
                <w:sz w:val="18"/>
                <w:szCs w:val="18"/>
                <w:color w:val="auto"/>
              </w:rPr>
            </w:pPr>
          </w:p>
        </w:tc>
      </w:tr>
      <w:tr>
        <w:trPr>
          <w:trHeight w:val="33"/>
        </w:trPr>
        <w:tc>
          <w:tcPr>
            <w:tcW w:w="75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Expected term in years</w:t>
            </w:r>
          </w:p>
        </w:tc>
        <w:tc>
          <w:tcPr>
            <w:tcW w:w="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w:t>
            </w:r>
          </w:p>
        </w:tc>
      </w:tr>
      <w:tr>
        <w:trPr>
          <w:trHeight w:val="243"/>
        </w:trPr>
        <w:tc>
          <w:tcPr>
            <w:tcW w:w="8900" w:type="dxa"/>
            <w:vAlign w:val="bottom"/>
            <w:gridSpan w:val="2"/>
          </w:tcPr>
          <w:p>
            <w:pPr>
              <w:ind w:left="480"/>
              <w:spacing w:after="0"/>
              <w:rPr>
                <w:sz w:val="20"/>
                <w:szCs w:val="20"/>
                <w:color w:val="auto"/>
              </w:rPr>
            </w:pPr>
            <w:r>
              <w:rPr>
                <w:rFonts w:ascii="Arial" w:cs="Arial" w:eastAsia="Arial" w:hAnsi="Arial"/>
                <w:sz w:val="18"/>
                <w:szCs w:val="18"/>
                <w:color w:val="auto"/>
              </w:rPr>
              <w:t>Volatility</w:t>
            </w: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7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Risk-free interest rate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900" w:type="dxa"/>
            <w:vAlign w:val="bottom"/>
            <w:gridSpan w:val="2"/>
          </w:tcPr>
          <w:p>
            <w:pPr>
              <w:ind w:left="480"/>
              <w:spacing w:after="0"/>
              <w:rPr>
                <w:sz w:val="20"/>
                <w:szCs w:val="20"/>
                <w:color w:val="auto"/>
              </w:rPr>
            </w:pPr>
            <w:r>
              <w:rPr>
                <w:rFonts w:ascii="Arial" w:cs="Arial" w:eastAsia="Arial" w:hAnsi="Arial"/>
                <w:sz w:val="18"/>
                <w:szCs w:val="18"/>
                <w:color w:val="auto"/>
              </w:rPr>
              <w:t>Dividend rate</w:t>
            </w:r>
          </w:p>
        </w:tc>
        <w:tc>
          <w:tcPr>
            <w:tcW w:w="1980" w:type="dxa"/>
            <w:vAlign w:val="bottom"/>
            <w:gridSpan w:val="3"/>
          </w:tcPr>
          <w:p>
            <w:pPr>
              <w:jc w:val="right"/>
              <w:ind w:right="143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thousands, except exercise prices and contractual life):</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4"/>
          </w:tcPr>
          <w:p>
            <w:pPr>
              <w:ind w:left="380"/>
              <w:spacing w:after="0"/>
              <w:rPr>
                <w:sz w:val="20"/>
                <w:szCs w:val="20"/>
                <w:color w:val="auto"/>
              </w:rPr>
            </w:pPr>
            <w:r>
              <w:rPr>
                <w:rFonts w:ascii="Arial" w:cs="Arial" w:eastAsia="Arial" w:hAnsi="Arial"/>
                <w:sz w:val="16"/>
                <w:szCs w:val="16"/>
                <w:b w:val="1"/>
                <w:bCs w:val="1"/>
                <w:color w:val="auto"/>
              </w:rPr>
              <w:t>Options Outstanding</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62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6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6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Weighted-</w:t>
            </w: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Average</w:t>
            </w: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16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626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Number</w:t>
            </w: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Exercise</w:t>
            </w: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Contractual</w:t>
            </w:r>
          </w:p>
        </w:tc>
        <w:tc>
          <w:tcPr>
            <w:tcW w:w="16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626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of Shares</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Price</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Life (Years)</w:t>
            </w:r>
          </w:p>
        </w:tc>
        <w:tc>
          <w:tcPr>
            <w:tcW w:w="160" w:type="dxa"/>
            <w:vAlign w:val="bottom"/>
          </w:tcPr>
          <w:p>
            <w:pPr>
              <w:spacing w:after="0"/>
              <w:rPr>
                <w:sz w:val="18"/>
                <w:szCs w:val="18"/>
                <w:color w:val="auto"/>
              </w:rPr>
            </w:pPr>
          </w:p>
        </w:tc>
        <w:tc>
          <w:tcPr>
            <w:tcW w:w="960" w:type="dxa"/>
            <w:vAlign w:val="bottom"/>
          </w:tcPr>
          <w:p>
            <w:pPr>
              <w:jc w:val="center"/>
              <w:ind w:right="75"/>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62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2015</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48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35.46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48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57"/>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Balance—March 31, 2016</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7,174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22.33</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0"/>
        </w:trPr>
        <w:tc>
          <w:tcPr>
            <w:tcW w:w="6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91"/>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vested and expected to vest—March 31, 2016</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7,011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22.17</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65,127</w:t>
            </w:r>
          </w:p>
        </w:tc>
      </w:tr>
      <w:tr>
        <w:trPr>
          <w:trHeight w:val="251"/>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exercisable—March 31, 2016</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19.71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56,011</w:t>
            </w:r>
          </w:p>
        </w:tc>
      </w:tr>
      <w:tr>
        <w:trPr>
          <w:trHeight w:val="20"/>
        </w:trPr>
        <w:tc>
          <w:tcPr>
            <w:tcW w:w="6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aggregate intrinsic value represents the pre-tax difference between the exercise price of stock options and the quoted market price of our common stock on March 31, 2016, for all in-the-money options. As of March 31, 2016, total compensation expense related to unvested stock options granted to employees but not yet recognized was $19.5 million. This expense is expected to be amortized on a straight-line basis over a weighted-average period of 3.4 years.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thousands, except per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4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00" w:type="dxa"/>
            <w:vAlign w:val="bottom"/>
            <w:gridSpan w:val="4"/>
          </w:tcPr>
          <w:p>
            <w:pPr>
              <w:jc w:val="right"/>
              <w:ind w:right="103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44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1"/>
        </w:trPr>
        <w:tc>
          <w:tcPr>
            <w:tcW w:w="44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2016</w:t>
            </w:r>
          </w:p>
        </w:tc>
        <w:tc>
          <w:tcPr>
            <w:tcW w:w="240" w:type="dxa"/>
            <w:vAlign w:val="bottom"/>
          </w:tcPr>
          <w:p>
            <w:pPr>
              <w:spacing w:after="0"/>
              <w:rPr>
                <w:sz w:val="20"/>
                <w:szCs w:val="20"/>
                <w:color w:val="auto"/>
              </w:rPr>
            </w:pPr>
          </w:p>
        </w:tc>
        <w:tc>
          <w:tcPr>
            <w:tcW w:w="1580" w:type="dxa"/>
            <w:vAlign w:val="bottom"/>
          </w:tcPr>
          <w:p>
            <w:pPr>
              <w:jc w:val="right"/>
              <w:ind w:right="272"/>
              <w:spacing w:after="0"/>
              <w:rPr>
                <w:sz w:val="20"/>
                <w:szCs w:val="20"/>
                <w:color w:val="auto"/>
              </w:rPr>
            </w:pPr>
            <w:r>
              <w:rPr>
                <w:rFonts w:ascii="Arial" w:cs="Arial" w:eastAsia="Arial" w:hAnsi="Arial"/>
                <w:sz w:val="16"/>
                <w:szCs w:val="16"/>
                <w:b w:val="1"/>
                <w:bCs w:val="1"/>
                <w:color w:val="auto"/>
              </w:rPr>
              <w:t>March 31, 2015</w:t>
            </w:r>
          </w:p>
        </w:tc>
      </w:tr>
      <w:tr>
        <w:trPr>
          <w:trHeight w:val="33"/>
        </w:trPr>
        <w:tc>
          <w:tcPr>
            <w:tcW w:w="448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share granted</w:t>
            </w:r>
          </w:p>
        </w:tc>
        <w:tc>
          <w:tcPr>
            <w:tcW w:w="3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11.17</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Intrinsic value of options exercised</w:t>
            </w:r>
          </w:p>
        </w:tc>
        <w:tc>
          <w:tcPr>
            <w:tcW w:w="3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19,424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41,003</w:t>
            </w:r>
          </w:p>
        </w:tc>
      </w:tr>
      <w:tr>
        <w:trPr>
          <w:trHeight w:val="27"/>
        </w:trPr>
        <w:tc>
          <w:tcPr>
            <w:tcW w:w="44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options vested</w:t>
            </w:r>
          </w:p>
        </w:tc>
        <w:tc>
          <w:tcPr>
            <w:tcW w:w="3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3,792</w:t>
            </w:r>
          </w:p>
        </w:tc>
      </w:tr>
      <w:tr>
        <w:trPr>
          <w:trHeight w:val="891"/>
        </w:trPr>
        <w:tc>
          <w:tcPr>
            <w:tcW w:w="4480" w:type="dxa"/>
            <w:vAlign w:val="bottom"/>
          </w:tcPr>
          <w:p>
            <w:pPr>
              <w:spacing w:after="0"/>
              <w:rPr>
                <w:sz w:val="24"/>
                <w:szCs w:val="24"/>
                <w:color w:val="auto"/>
              </w:rPr>
            </w:pPr>
          </w:p>
        </w:tc>
        <w:tc>
          <w:tcPr>
            <w:tcW w:w="3160" w:type="dxa"/>
            <w:vAlign w:val="bottom"/>
          </w:tcPr>
          <w:p>
            <w:pPr>
              <w:jc w:val="right"/>
              <w:ind w:right="177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determining the fair value of our ESPP, we use the Black-Scholes option pricing model that employs the following weighted-average assumptions: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gridSpan w:val="6"/>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jc w:val="center"/>
              <w:ind w:left="379"/>
              <w:spacing w:after="0"/>
              <w:rPr>
                <w:sz w:val="20"/>
                <w:szCs w:val="20"/>
                <w:color w:val="auto"/>
              </w:rPr>
            </w:pPr>
            <w:r>
              <w:rPr>
                <w:rFonts w:ascii="Arial" w:cs="Arial" w:eastAsia="Arial" w:hAnsi="Arial"/>
                <w:sz w:val="16"/>
                <w:szCs w:val="16"/>
                <w:b w:val="1"/>
                <w:bCs w:val="1"/>
                <w:color w:val="auto"/>
                <w:w w:val="94"/>
              </w:rPr>
              <w:t>March 31,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38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center"/>
              <w:ind w:left="494"/>
              <w:spacing w:after="0"/>
              <w:rPr>
                <w:sz w:val="20"/>
                <w:szCs w:val="20"/>
                <w:color w:val="auto"/>
              </w:rPr>
            </w:pPr>
            <w:r>
              <w:rPr>
                <w:rFonts w:ascii="Arial" w:cs="Arial" w:eastAsia="Arial" w:hAnsi="Arial"/>
                <w:sz w:val="16"/>
                <w:szCs w:val="16"/>
                <w:b w:val="1"/>
                <w:bCs w:val="1"/>
                <w:color w:val="auto"/>
                <w:w w:val="89"/>
              </w:rPr>
              <w:t>2015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459"/>
        </w:trPr>
        <w:tc>
          <w:tcPr>
            <w:tcW w:w="20" w:type="dxa"/>
            <w:vAlign w:val="bottom"/>
          </w:tcPr>
          <w:p>
            <w:pPr>
              <w:spacing w:after="0"/>
              <w:rPr>
                <w:sz w:val="24"/>
                <w:szCs w:val="24"/>
                <w:color w:val="auto"/>
              </w:rPr>
            </w:pPr>
          </w:p>
        </w:tc>
        <w:tc>
          <w:tcPr>
            <w:tcW w:w="8900" w:type="dxa"/>
            <w:vAlign w:val="bottom"/>
            <w:gridSpan w:val="3"/>
          </w:tcPr>
          <w:p>
            <w:pPr>
              <w:ind w:left="640"/>
              <w:spacing w:after="0"/>
              <w:rPr>
                <w:sz w:val="20"/>
                <w:szCs w:val="20"/>
                <w:color w:val="auto"/>
              </w:rPr>
            </w:pPr>
            <w:r>
              <w:rPr>
                <w:rFonts w:ascii="Arial" w:cs="Arial" w:eastAsia="Arial" w:hAnsi="Arial"/>
                <w:sz w:val="18"/>
                <w:szCs w:val="18"/>
                <w:color w:val="auto"/>
              </w:rPr>
              <w:t>Additional information related to the ESPP is provided below (in thousands, except per share amounts):</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88"/>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6"/>
          </w:tcPr>
          <w:p>
            <w:pPr>
              <w:jc w:val="right"/>
              <w:ind w:right="49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jc w:val="center"/>
              <w:ind w:left="419"/>
              <w:spacing w:after="0"/>
              <w:rPr>
                <w:sz w:val="20"/>
                <w:szCs w:val="20"/>
                <w:color w:val="auto"/>
              </w:rPr>
            </w:pPr>
            <w:r>
              <w:rPr>
                <w:rFonts w:ascii="Arial" w:cs="Arial" w:eastAsia="Arial" w:hAnsi="Arial"/>
                <w:sz w:val="16"/>
                <w:szCs w:val="16"/>
                <w:b w:val="1"/>
                <w:bCs w:val="1"/>
                <w:color w:val="auto"/>
                <w:w w:val="94"/>
              </w:rPr>
              <w:t>March 31,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38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2016</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2015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share granted</w:t>
            </w:r>
          </w:p>
        </w:tc>
        <w:tc>
          <w:tcPr>
            <w:tcW w:w="1380" w:type="dxa"/>
            <w:vAlign w:val="bottom"/>
            <w:tcBorders>
              <w:bottom w:val="single" w:sz="8" w:color="CCEEFF"/>
            </w:tcBorders>
            <w:gridSpan w:val="2"/>
            <w:shd w:val="clear" w:color="auto" w:fill="CCEEFF"/>
          </w:tcPr>
          <w:p>
            <w:pPr>
              <w:jc w:val="right"/>
              <w:ind w:right="1079"/>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07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Shares issued under the ESPP</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price per share issued</w:t>
            </w:r>
          </w:p>
        </w:tc>
        <w:tc>
          <w:tcPr>
            <w:tcW w:w="1380" w:type="dxa"/>
            <w:vAlign w:val="bottom"/>
            <w:gridSpan w:val="2"/>
            <w:shd w:val="clear" w:color="auto" w:fill="CCEEFF"/>
          </w:tcPr>
          <w:p>
            <w:pPr>
              <w:jc w:val="right"/>
              <w:ind w:right="107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20.49</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7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21.34</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is included in costs and expenses as follows (in thousands):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5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20" w:type="dxa"/>
            <w:vAlign w:val="bottom"/>
            <w:gridSpan w:val="4"/>
          </w:tcPr>
          <w:p>
            <w:pPr>
              <w:jc w:val="right"/>
              <w:ind w:right="1033"/>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7"/>
              </w:rPr>
              <w:t>March 31,</w:t>
            </w:r>
          </w:p>
        </w:tc>
        <w:tc>
          <w:tcPr>
            <w:tcW w:w="340" w:type="dxa"/>
            <w:vAlign w:val="bottom"/>
          </w:tcPr>
          <w:p>
            <w:pPr>
              <w:spacing w:after="0"/>
              <w:rPr>
                <w:sz w:val="18"/>
                <w:szCs w:val="18"/>
                <w:color w:val="auto"/>
              </w:rPr>
            </w:pPr>
          </w:p>
        </w:tc>
        <w:tc>
          <w:tcPr>
            <w:tcW w:w="1480" w:type="dxa"/>
            <w:vAlign w:val="bottom"/>
          </w:tcPr>
          <w:p>
            <w:pPr>
              <w:jc w:val="center"/>
              <w:ind w:right="293"/>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210"/>
        </w:trPr>
        <w:tc>
          <w:tcPr>
            <w:tcW w:w="45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center"/>
              <w:ind w:right="253"/>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ind w:right="233"/>
              <w:spacing w:after="0"/>
              <w:rPr>
                <w:sz w:val="20"/>
                <w:szCs w:val="20"/>
                <w:color w:val="auto"/>
              </w:rPr>
            </w:pPr>
            <w:r>
              <w:rPr>
                <w:rFonts w:ascii="Arial" w:cs="Arial" w:eastAsia="Arial" w:hAnsi="Arial"/>
                <w:sz w:val="16"/>
                <w:szCs w:val="16"/>
                <w:b w:val="1"/>
                <w:bCs w:val="1"/>
                <w:color w:val="auto"/>
                <w:w w:val="89"/>
              </w:rPr>
              <w:t>2015</w:t>
            </w:r>
          </w:p>
        </w:tc>
        <w:tc>
          <w:tcPr>
            <w:tcW w:w="0" w:type="dxa"/>
            <w:vAlign w:val="bottom"/>
          </w:tcPr>
          <w:p>
            <w:pPr>
              <w:spacing w:after="0"/>
              <w:rPr>
                <w:sz w:val="1"/>
                <w:szCs w:val="1"/>
                <w:color w:val="auto"/>
              </w:rPr>
            </w:pPr>
          </w:p>
        </w:tc>
      </w:tr>
      <w:tr>
        <w:trPr>
          <w:trHeight w:val="33"/>
        </w:trPr>
        <w:tc>
          <w:tcPr>
            <w:tcW w:w="45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Cost of product revenue</w:t>
            </w:r>
          </w:p>
        </w:tc>
        <w:tc>
          <w:tcPr>
            <w:tcW w:w="3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4520" w:type="dxa"/>
            <w:vAlign w:val="bottom"/>
          </w:tcPr>
          <w:p>
            <w:pPr>
              <w:ind w:left="480"/>
              <w:spacing w:after="0"/>
              <w:rPr>
                <w:sz w:val="20"/>
                <w:szCs w:val="20"/>
                <w:color w:val="auto"/>
              </w:rPr>
            </w:pPr>
            <w:r>
              <w:rPr>
                <w:rFonts w:ascii="Arial" w:cs="Arial" w:eastAsia="Arial" w:hAnsi="Arial"/>
                <w:sz w:val="18"/>
                <w:szCs w:val="18"/>
                <w:color w:val="auto"/>
              </w:rPr>
              <w:t>Cost of service revenue</w:t>
            </w:r>
          </w:p>
        </w:tc>
        <w:tc>
          <w:tcPr>
            <w:tcW w:w="3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Research and development</w:t>
            </w:r>
          </w:p>
        </w:tc>
        <w:tc>
          <w:tcPr>
            <w:tcW w:w="3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5,157</w:t>
            </w:r>
          </w:p>
        </w:tc>
        <w:tc>
          <w:tcPr>
            <w:tcW w:w="0" w:type="dxa"/>
            <w:vAlign w:val="bottom"/>
          </w:tcPr>
          <w:p>
            <w:pPr>
              <w:spacing w:after="0"/>
              <w:rPr>
                <w:sz w:val="1"/>
                <w:szCs w:val="1"/>
                <w:color w:val="auto"/>
              </w:rPr>
            </w:pPr>
          </w:p>
        </w:tc>
      </w:tr>
      <w:tr>
        <w:trPr>
          <w:trHeight w:val="243"/>
        </w:trPr>
        <w:tc>
          <w:tcPr>
            <w:tcW w:w="4520" w:type="dxa"/>
            <w:vAlign w:val="bottom"/>
          </w:tcPr>
          <w:p>
            <w:pPr>
              <w:ind w:left="480"/>
              <w:spacing w:after="0"/>
              <w:rPr>
                <w:sz w:val="20"/>
                <w:szCs w:val="20"/>
                <w:color w:val="auto"/>
              </w:rPr>
            </w:pPr>
            <w:r>
              <w:rPr>
                <w:rFonts w:ascii="Arial" w:cs="Arial" w:eastAsia="Arial" w:hAnsi="Arial"/>
                <w:sz w:val="18"/>
                <w:szCs w:val="18"/>
                <w:color w:val="auto"/>
              </w:rPr>
              <w:t>Sales and marketing</w:t>
            </w:r>
          </w:p>
        </w:tc>
        <w:tc>
          <w:tcPr>
            <w:tcW w:w="3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17,114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9,307</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3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57"/>
        </w:trPr>
        <w:tc>
          <w:tcPr>
            <w:tcW w:w="4520" w:type="dxa"/>
            <w:vAlign w:val="bottom"/>
          </w:tcPr>
          <w:p>
            <w:pPr>
              <w:ind w:left="480"/>
              <w:spacing w:after="0"/>
              <w:rPr>
                <w:sz w:val="20"/>
                <w:szCs w:val="20"/>
                <w:color w:val="auto"/>
              </w:rPr>
            </w:pPr>
            <w:r>
              <w:rPr>
                <w:rFonts w:ascii="Arial" w:cs="Arial" w:eastAsia="Arial" w:hAnsi="Arial"/>
                <w:sz w:val="18"/>
                <w:szCs w:val="18"/>
                <w:color w:val="auto"/>
              </w:rPr>
              <w:t>Total stock-based compensation expense</w:t>
            </w:r>
          </w:p>
        </w:tc>
        <w:tc>
          <w:tcPr>
            <w:tcW w:w="3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30,881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18,922</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960" w:type="dxa"/>
            <w:vAlign w:val="bottom"/>
            <w:gridSpan w:val="3"/>
          </w:tcPr>
          <w:p>
            <w:pPr>
              <w:ind w:left="640"/>
              <w:spacing w:after="0"/>
              <w:rPr>
                <w:sz w:val="20"/>
                <w:szCs w:val="20"/>
                <w:color w:val="auto"/>
              </w:rPr>
            </w:pPr>
            <w:r>
              <w:rPr>
                <w:rFonts w:ascii="Arial" w:cs="Arial" w:eastAsia="Arial" w:hAnsi="Arial"/>
                <w:sz w:val="18"/>
                <w:szCs w:val="18"/>
                <w:color w:val="auto"/>
                <w:w w:val="92"/>
              </w:rPr>
              <w:t>The following table summarizes stock-based compensation expense by award type (in thousands):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5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20" w:type="dxa"/>
            <w:vAlign w:val="bottom"/>
            <w:gridSpan w:val="4"/>
          </w:tcPr>
          <w:p>
            <w:pPr>
              <w:jc w:val="right"/>
              <w:ind w:right="1033"/>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7"/>
              </w:rPr>
              <w:t>March 31,</w:t>
            </w:r>
          </w:p>
        </w:tc>
        <w:tc>
          <w:tcPr>
            <w:tcW w:w="340" w:type="dxa"/>
            <w:vAlign w:val="bottom"/>
          </w:tcPr>
          <w:p>
            <w:pPr>
              <w:spacing w:after="0"/>
              <w:rPr>
                <w:sz w:val="18"/>
                <w:szCs w:val="18"/>
                <w:color w:val="auto"/>
              </w:rPr>
            </w:pPr>
          </w:p>
        </w:tc>
        <w:tc>
          <w:tcPr>
            <w:tcW w:w="1480" w:type="dxa"/>
            <w:vAlign w:val="bottom"/>
          </w:tcPr>
          <w:p>
            <w:pPr>
              <w:jc w:val="center"/>
              <w:ind w:right="293"/>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210"/>
        </w:trPr>
        <w:tc>
          <w:tcPr>
            <w:tcW w:w="45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center"/>
              <w:ind w:right="253"/>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ind w:right="233"/>
              <w:spacing w:after="0"/>
              <w:rPr>
                <w:sz w:val="20"/>
                <w:szCs w:val="20"/>
                <w:color w:val="auto"/>
              </w:rPr>
            </w:pPr>
            <w:r>
              <w:rPr>
                <w:rFonts w:ascii="Arial" w:cs="Arial" w:eastAsia="Arial" w:hAnsi="Arial"/>
                <w:sz w:val="16"/>
                <w:szCs w:val="16"/>
                <w:b w:val="1"/>
                <w:bCs w:val="1"/>
                <w:color w:val="auto"/>
                <w:w w:val="89"/>
              </w:rPr>
              <w:t>2015</w:t>
            </w:r>
          </w:p>
        </w:tc>
        <w:tc>
          <w:tcPr>
            <w:tcW w:w="0" w:type="dxa"/>
            <w:vAlign w:val="bottom"/>
          </w:tcPr>
          <w:p>
            <w:pPr>
              <w:spacing w:after="0"/>
              <w:rPr>
                <w:sz w:val="1"/>
                <w:szCs w:val="1"/>
                <w:color w:val="auto"/>
              </w:rPr>
            </w:pPr>
          </w:p>
        </w:tc>
      </w:tr>
      <w:tr>
        <w:trPr>
          <w:trHeight w:val="33"/>
        </w:trPr>
        <w:tc>
          <w:tcPr>
            <w:tcW w:w="45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RSUs</w:t>
            </w:r>
          </w:p>
        </w:tc>
        <w:tc>
          <w:tcPr>
            <w:tcW w:w="3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14,292</w:t>
            </w:r>
          </w:p>
        </w:tc>
        <w:tc>
          <w:tcPr>
            <w:tcW w:w="0" w:type="dxa"/>
            <w:vAlign w:val="bottom"/>
          </w:tcPr>
          <w:p>
            <w:pPr>
              <w:spacing w:after="0"/>
              <w:rPr>
                <w:sz w:val="1"/>
                <w:szCs w:val="1"/>
                <w:color w:val="auto"/>
              </w:rPr>
            </w:pPr>
          </w:p>
        </w:tc>
      </w:tr>
      <w:tr>
        <w:trPr>
          <w:trHeight w:val="243"/>
        </w:trPr>
        <w:tc>
          <w:tcPr>
            <w:tcW w:w="4520" w:type="dxa"/>
            <w:vAlign w:val="bottom"/>
          </w:tcPr>
          <w:p>
            <w:pPr>
              <w:ind w:left="480"/>
              <w:spacing w:after="0"/>
              <w:rPr>
                <w:sz w:val="20"/>
                <w:szCs w:val="20"/>
                <w:color w:val="auto"/>
              </w:rPr>
            </w:pPr>
            <w:r>
              <w:rPr>
                <w:rFonts w:ascii="Arial" w:cs="Arial" w:eastAsia="Arial" w:hAnsi="Arial"/>
                <w:sz w:val="18"/>
                <w:szCs w:val="18"/>
                <w:color w:val="auto"/>
              </w:rPr>
              <w:t>Stock options</w:t>
            </w:r>
          </w:p>
        </w:tc>
        <w:tc>
          <w:tcPr>
            <w:tcW w:w="3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3,455</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ESPP</w:t>
            </w:r>
          </w:p>
        </w:tc>
        <w:tc>
          <w:tcPr>
            <w:tcW w:w="3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57"/>
        </w:trPr>
        <w:tc>
          <w:tcPr>
            <w:tcW w:w="4520" w:type="dxa"/>
            <w:vAlign w:val="bottom"/>
          </w:tcPr>
          <w:p>
            <w:pPr>
              <w:ind w:left="480"/>
              <w:spacing w:after="0"/>
              <w:rPr>
                <w:sz w:val="20"/>
                <w:szCs w:val="20"/>
                <w:color w:val="auto"/>
              </w:rPr>
            </w:pPr>
            <w:r>
              <w:rPr>
                <w:rFonts w:ascii="Arial" w:cs="Arial" w:eastAsia="Arial" w:hAnsi="Arial"/>
                <w:sz w:val="18"/>
                <w:szCs w:val="18"/>
                <w:color w:val="auto"/>
              </w:rPr>
              <w:t>Total stock-based compensation expense</w:t>
            </w:r>
          </w:p>
        </w:tc>
        <w:tc>
          <w:tcPr>
            <w:tcW w:w="3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30,881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18,922</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120" w:type="dxa"/>
            <w:vAlign w:val="bottom"/>
            <w:vMerge w:val="restart"/>
          </w:tcPr>
          <w:p>
            <w:pPr>
              <w:jc w:val="right"/>
              <w:ind w:right="1770"/>
              <w:spacing w:after="0"/>
              <w:rPr>
                <w:sz w:val="20"/>
                <w:szCs w:val="20"/>
                <w:color w:val="auto"/>
              </w:rPr>
            </w:pPr>
            <w:r>
              <w:rPr>
                <w:rFonts w:ascii="Arial" w:cs="Arial" w:eastAsia="Arial" w:hAnsi="Arial"/>
                <w:sz w:val="18"/>
                <w:szCs w:val="18"/>
                <w:color w:val="auto"/>
              </w:rPr>
              <w:t>20</w:t>
            </w: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Total income tax benefit associated with stock-based compensation that is recognized in the consolidated statements of operations is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3220" w:type="dxa"/>
            <w:vAlign w:val="bottom"/>
            <w:gridSpan w:val="4"/>
          </w:tcPr>
          <w:p>
            <w:pPr>
              <w:jc w:val="right"/>
              <w:ind w:right="496"/>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9"/>
        </w:trPr>
        <w:tc>
          <w:tcPr>
            <w:tcW w:w="7660" w:type="dxa"/>
            <w:vAlign w:val="bottom"/>
          </w:tcPr>
          <w:p>
            <w:pPr>
              <w:spacing w:after="0"/>
              <w:rPr>
                <w:sz w:val="18"/>
                <w:szCs w:val="18"/>
                <w:color w:val="auto"/>
              </w:rPr>
            </w:pPr>
          </w:p>
        </w:tc>
        <w:tc>
          <w:tcPr>
            <w:tcW w:w="1280" w:type="dxa"/>
            <w:vAlign w:val="bottom"/>
          </w:tcPr>
          <w:p>
            <w:pPr>
              <w:jc w:val="center"/>
              <w:ind w:left="437"/>
              <w:spacing w:after="0"/>
              <w:rPr>
                <w:sz w:val="20"/>
                <w:szCs w:val="20"/>
                <w:color w:val="auto"/>
              </w:rPr>
            </w:pPr>
            <w:r>
              <w:rPr>
                <w:rFonts w:ascii="Arial" w:cs="Arial" w:eastAsia="Arial" w:hAnsi="Arial"/>
                <w:sz w:val="16"/>
                <w:szCs w:val="16"/>
                <w:b w:val="1"/>
                <w:bCs w:val="1"/>
                <w:color w:val="auto"/>
                <w:w w:val="97"/>
              </w:rPr>
              <w:t>March 31,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left="416"/>
              <w:spacing w:after="0"/>
              <w:rPr>
                <w:sz w:val="20"/>
                <w:szCs w:val="20"/>
                <w:color w:val="auto"/>
              </w:rPr>
            </w:pPr>
            <w:r>
              <w:rPr>
                <w:rFonts w:ascii="Arial" w:cs="Arial" w:eastAsia="Arial" w:hAnsi="Arial"/>
                <w:sz w:val="16"/>
                <w:szCs w:val="16"/>
                <w:b w:val="1"/>
                <w:bCs w:val="1"/>
                <w:color w:val="auto"/>
                <w:w w:val="94"/>
              </w:rPr>
              <w:t>March 31,</w:t>
            </w:r>
          </w:p>
        </w:tc>
        <w:tc>
          <w:tcPr>
            <w:tcW w:w="540" w:type="dxa"/>
            <w:vAlign w:val="bottom"/>
          </w:tcPr>
          <w:p>
            <w:pPr>
              <w:spacing w:after="0"/>
              <w:rPr>
                <w:sz w:val="18"/>
                <w:szCs w:val="18"/>
                <w:color w:val="auto"/>
              </w:rPr>
            </w:pPr>
          </w:p>
        </w:tc>
      </w:tr>
      <w:tr>
        <w:trPr>
          <w:trHeight w:val="210"/>
        </w:trPr>
        <w:tc>
          <w:tcPr>
            <w:tcW w:w="7660" w:type="dxa"/>
            <w:vAlign w:val="bottom"/>
          </w:tcPr>
          <w:p>
            <w:pPr>
              <w:spacing w:after="0"/>
              <w:rPr>
                <w:sz w:val="18"/>
                <w:szCs w:val="18"/>
                <w:color w:val="auto"/>
              </w:rPr>
            </w:pPr>
          </w:p>
        </w:tc>
        <w:tc>
          <w:tcPr>
            <w:tcW w:w="1280" w:type="dxa"/>
            <w:vAlign w:val="bottom"/>
          </w:tcPr>
          <w:p>
            <w:pPr>
              <w:jc w:val="right"/>
              <w:ind w:right="117"/>
              <w:spacing w:after="0"/>
              <w:rPr>
                <w:sz w:val="20"/>
                <w:szCs w:val="20"/>
                <w:color w:val="auto"/>
              </w:rPr>
            </w:pPr>
            <w:r>
              <w:rPr>
                <w:rFonts w:ascii="Arial" w:cs="Arial" w:eastAsia="Arial" w:hAnsi="Arial"/>
                <w:sz w:val="16"/>
                <w:szCs w:val="16"/>
                <w:b w:val="1"/>
                <w:bCs w:val="1"/>
                <w:color w:val="auto"/>
              </w:rPr>
              <w:t>2016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116"/>
              <w:spacing w:after="0"/>
              <w:rPr>
                <w:sz w:val="20"/>
                <w:szCs w:val="20"/>
                <w:color w:val="auto"/>
              </w:rPr>
            </w:pPr>
            <w:r>
              <w:rPr>
                <w:rFonts w:ascii="Arial" w:cs="Arial" w:eastAsia="Arial" w:hAnsi="Arial"/>
                <w:sz w:val="16"/>
                <w:szCs w:val="16"/>
                <w:b w:val="1"/>
                <w:bCs w:val="1"/>
                <w:color w:val="auto"/>
              </w:rPr>
              <w:t>2015</w:t>
            </w:r>
          </w:p>
        </w:tc>
        <w:tc>
          <w:tcPr>
            <w:tcW w:w="540" w:type="dxa"/>
            <w:vAlign w:val="bottom"/>
          </w:tcPr>
          <w:p>
            <w:pPr>
              <w:spacing w:after="0"/>
              <w:rPr>
                <w:sz w:val="18"/>
                <w:szCs w:val="18"/>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 associated with stock-based compensation</w:t>
            </w:r>
          </w:p>
        </w:tc>
        <w:tc>
          <w:tcPr>
            <w:tcW w:w="1280" w:type="dxa"/>
            <w:vAlign w:val="bottom"/>
            <w:shd w:val="clear" w:color="auto" w:fill="CCEEFF"/>
          </w:tcPr>
          <w:p>
            <w:pPr>
              <w:jc w:val="right"/>
              <w:ind w:right="1077"/>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7,834</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3,377</w:t>
            </w:r>
          </w:p>
        </w:tc>
      </w:tr>
      <w:tr>
        <w:trPr>
          <w:trHeight w:val="27"/>
        </w:trPr>
        <w:tc>
          <w:tcPr>
            <w:tcW w:w="76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January 2016, our board of directors approved a new Share Repurchase Program (the “Program”), which authorizes the repurchase of up to $200.0 million of our outstanding common stock through December 31, 2017. Under the Program, share repurchases may be made by us from time to time in privately negotiated transactions or in open market transactions. The Program does not require us to purchase a minimum number of shares, and may be suspended, modified or discontinued at any time without prior notice. In the three months ended March 31, 2016, we repurchased 2.0 million shares of common stock under the Program in open market transactions at an average price of $24.97 per share, for an aggregate purchase price of $50.0 million. As of March 31, 2016, $150.0 million remains available for future share repurchases under the Program.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Our effective tax rate was 35% for the three months ended March 31, 2016, compared to an effective tax rate of 5% for the same period last year. The effective tax rate for the periods presented was comprised of U.S. federal and state taxes, withholding taxes and foreign income taxes. The changes in the tax provision and effective tax rate were primarily because we had a pretax loss for the three months ended March 31, 2016, as compared to having a pretax income for the same period last year. Our effective tax rate for the three months ended March 31, 2016 included the tax benefit from the U.S. federal research and development (“R&amp;D”) credit. The effective tax rate for the three months ended March 31, 2015 did not reflect the tax benefit of the U.S. federal R&amp;D credit as it expired at the end of 2014 and was reinstated retroactively in December 2015.</w:t>
      </w:r>
    </w:p>
    <w:p>
      <w:pPr>
        <w:spacing w:after="0" w:line="178"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As of March 31, 2016 and December 31, 2015, unrecognized tax benefits were $63.4 million and $59.7 million, respectively. The total amount of $62.1 million in unrecognized tax benefits, if recognized, would favorably impact the effective tax rate. It is our policy to classify accrued interest and penalties related to unrecognized tax benefits in the provision for income taxes. As of March 31, 2016, we had accrued $6.7 million for estimated interest related to uncertain tax positions.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file income tax returns in the U.S. federal jurisdiction, and various U.S. state and foreign jurisdictions. The statute of limitations is open for years that generated state net operating loss carryforwards and after 2009 for state jurisdictions. Additionally, we have foreign net operating losses that have an indefinite life. Generally, we are no longer subject to non-U.S. income tax examinations by tax authorities for tax years prior to 2009. We are no longer subject to examination by U.S. federal tax authorities for tax years prior to 2012. We are currently under examination by U.S federal income tax authorities for the tax years 2012, 2013, and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CONTRIBUTION PLANS</w:t>
      </w:r>
    </w:p>
    <w:p>
      <w:pPr>
        <w:spacing w:after="0" w:line="229"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Our tax-deferred savings plan under our 401(k) Plan, permits participating employees to defer a portion of their pre-tax earnings. In Canada, we have a Group Registered Retirement Savings Plan program (the “RRSP”), which permits participants to make tax deductible contributions. Our board of directors approved 50% matching contributions on employee contributions up to 4% of each employee’s eligible earnings. Our matching contributions to the 401(k) Plan and RRSP for the three months ended March 31, 2016 and March 31, 2015 were $1.0 million and $0.8 million,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SIGNIFICANT CUSTOMER INFORMATION</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4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Revenue by geographic region is based on the billing address of the customer. The following tables set forth revenue and property and equipment— net by geographic region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gridSpan w:val="4"/>
          </w:tcPr>
          <w:p>
            <w:pPr>
              <w:jc w:val="right"/>
              <w:ind w:right="103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7"/>
              </w:rPr>
              <w:t>March 31,</w:t>
            </w:r>
          </w:p>
        </w:tc>
        <w:tc>
          <w:tcPr>
            <w:tcW w:w="260" w:type="dxa"/>
            <w:vAlign w:val="bottom"/>
          </w:tcPr>
          <w:p>
            <w:pPr>
              <w:spacing w:after="0"/>
              <w:rPr>
                <w:sz w:val="18"/>
                <w:szCs w:val="18"/>
                <w:color w:val="auto"/>
              </w:rPr>
            </w:pPr>
          </w:p>
        </w:tc>
        <w:tc>
          <w:tcPr>
            <w:tcW w:w="1560" w:type="dxa"/>
            <w:vAlign w:val="bottom"/>
          </w:tcPr>
          <w:p>
            <w:pPr>
              <w:jc w:val="center"/>
              <w:ind w:right="212"/>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176"/>
        </w:trPr>
        <w:tc>
          <w:tcPr>
            <w:tcW w:w="7660" w:type="dxa"/>
            <w:vAlign w:val="bottom"/>
            <w:gridSpan w:val="4"/>
          </w:tcPr>
          <w:p>
            <w:pPr>
              <w:ind w:left="40"/>
              <w:spacing w:after="0" w:line="176" w:lineRule="exact"/>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5"/>
                <w:szCs w:val="15"/>
                <w:color w:val="auto"/>
              </w:rPr>
            </w:pPr>
          </w:p>
        </w:tc>
        <w:tc>
          <w:tcPr>
            <w:tcW w:w="1480" w:type="dxa"/>
            <w:vAlign w:val="bottom"/>
          </w:tcPr>
          <w:p>
            <w:pPr>
              <w:jc w:val="center"/>
              <w:ind w:right="232"/>
              <w:spacing w:after="0" w:line="176" w:lineRule="exact"/>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jc w:val="center"/>
              <w:ind w:right="172"/>
              <w:spacing w:after="0" w:line="176" w:lineRule="exact"/>
              <w:rPr>
                <w:sz w:val="20"/>
                <w:szCs w:val="20"/>
                <w:color w:val="auto"/>
              </w:rPr>
            </w:pPr>
            <w:r>
              <w:rPr>
                <w:rFonts w:ascii="Arial" w:cs="Arial" w:eastAsia="Arial" w:hAnsi="Arial"/>
                <w:sz w:val="16"/>
                <w:szCs w:val="16"/>
                <w:b w:val="1"/>
                <w:bCs w:val="1"/>
                <w:color w:val="auto"/>
                <w:w w:val="95"/>
              </w:rPr>
              <w:t>2015</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55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75,558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58,501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20,458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3"/>
          </w:tcPr>
          <w:p>
            <w:pPr>
              <w:ind w:left="240"/>
              <w:spacing w:after="0"/>
              <w:rPr>
                <w:sz w:val="20"/>
                <w:szCs w:val="20"/>
                <w:color w:val="auto"/>
              </w:rPr>
            </w:pPr>
            <w:r>
              <w:rPr>
                <w:rFonts w:ascii="Arial" w:cs="Arial" w:eastAsia="Arial" w:hAnsi="Arial"/>
                <w:sz w:val="18"/>
                <w:szCs w:val="18"/>
                <w:color w:val="auto"/>
              </w:rPr>
              <w:t>Other Americas</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13,183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Americas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120,046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91,560</w:t>
            </w:r>
          </w:p>
        </w:tc>
        <w:tc>
          <w:tcPr>
            <w:tcW w:w="0" w:type="dxa"/>
            <w:vAlign w:val="bottom"/>
          </w:tcPr>
          <w:p>
            <w:pPr>
              <w:spacing w:after="0"/>
              <w:rPr>
                <w:sz w:val="1"/>
                <w:szCs w:val="1"/>
                <w:color w:val="auto"/>
              </w:rPr>
            </w:pPr>
          </w:p>
        </w:tc>
      </w:tr>
      <w:tr>
        <w:trPr>
          <w:trHeight w:val="243"/>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Europe, Middle East, and Africa (“EMEA”)</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105,491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75,664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Asia Pacific (“APAC”)</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59,039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45,662</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620" w:type="dxa"/>
            <w:vAlign w:val="bottom"/>
            <w:gridSpan w:val="3"/>
          </w:tcPr>
          <w:p>
            <w:pPr>
              <w:ind w:left="46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284,576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212,886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766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8"/>
                <w:szCs w:val="18"/>
                <w:color w:val="auto"/>
              </w:rPr>
              <w:t>—</w:t>
            </w:r>
            <w:r>
              <w:rPr>
                <w:rFonts w:ascii="Arial" w:cs="Arial" w:eastAsia="Arial" w:hAnsi="Arial"/>
                <w:sz w:val="16"/>
                <w:szCs w:val="16"/>
                <w:b w:val="1"/>
                <w:bCs w:val="1"/>
                <w:color w:val="auto"/>
              </w:rPr>
              <w:t>net</w:t>
            </w:r>
          </w:p>
        </w:tc>
        <w:tc>
          <w:tcPr>
            <w:tcW w:w="340" w:type="dxa"/>
            <w:vAlign w:val="bottom"/>
          </w:tcPr>
          <w:p>
            <w:pPr>
              <w:spacing w:after="0"/>
              <w:rPr>
                <w:sz w:val="24"/>
                <w:szCs w:val="24"/>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7"/>
              </w:rPr>
              <w:t>March 31,</w:t>
            </w:r>
          </w:p>
        </w:tc>
        <w:tc>
          <w:tcPr>
            <w:tcW w:w="260" w:type="dxa"/>
            <w:vAlign w:val="bottom"/>
          </w:tcPr>
          <w:p>
            <w:pPr>
              <w:spacing w:after="0"/>
              <w:rPr>
                <w:sz w:val="24"/>
                <w:szCs w:val="24"/>
                <w:color w:val="auto"/>
              </w:rPr>
            </w:pPr>
          </w:p>
        </w:tc>
        <w:tc>
          <w:tcPr>
            <w:tcW w:w="1560" w:type="dxa"/>
            <w:vAlign w:val="bottom"/>
          </w:tcPr>
          <w:p>
            <w:pPr>
              <w:jc w:val="center"/>
              <w:ind w:right="212"/>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176"/>
        </w:trPr>
        <w:tc>
          <w:tcPr>
            <w:tcW w:w="7660" w:type="dxa"/>
            <w:vAlign w:val="bottom"/>
            <w:gridSpan w:val="4"/>
            <w:vMerge w:val="continue"/>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jc w:val="center"/>
              <w:ind w:right="232"/>
              <w:spacing w:after="0" w:line="176" w:lineRule="exact"/>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jc w:val="center"/>
              <w:ind w:right="172"/>
              <w:spacing w:after="0" w:line="176" w:lineRule="exact"/>
              <w:rPr>
                <w:sz w:val="20"/>
                <w:szCs w:val="20"/>
                <w:color w:val="auto"/>
              </w:rPr>
            </w:pPr>
            <w:r>
              <w:rPr>
                <w:rFonts w:ascii="Arial" w:cs="Arial" w:eastAsia="Arial" w:hAnsi="Arial"/>
                <w:sz w:val="16"/>
                <w:szCs w:val="16"/>
                <w:b w:val="1"/>
                <w:bCs w:val="1"/>
                <w:color w:val="auto"/>
                <w:w w:val="95"/>
              </w:rPr>
              <w:t>2015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7660" w:type="dxa"/>
            <w:vAlign w:val="bottom"/>
            <w:gridSpan w:val="4"/>
            <w:vMerge w:val="restart"/>
          </w:tcPr>
          <w:p>
            <w:pPr>
              <w:ind w:left="40"/>
              <w:spacing w:after="0"/>
              <w:rPr>
                <w:sz w:val="20"/>
                <w:szCs w:val="20"/>
                <w:color w:val="auto"/>
              </w:rPr>
            </w:pPr>
            <w:r>
              <w:rPr>
                <w:rFonts w:ascii="Arial" w:cs="Arial" w:eastAsia="Arial" w:hAnsi="Arial"/>
                <w:sz w:val="18"/>
                <w:szCs w:val="18"/>
                <w:color w:val="auto"/>
              </w:rPr>
              <w:t>Americas:</w:t>
            </w:r>
          </w:p>
        </w:tc>
        <w:tc>
          <w:tcPr>
            <w:tcW w:w="3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660" w:type="dxa"/>
            <w:vAlign w:val="bottom"/>
            <w:gridSpan w:val="4"/>
            <w:vMerge w:val="continue"/>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3"/>
          </w:tcPr>
          <w:p>
            <w:pPr>
              <w:ind w:left="240"/>
              <w:spacing w:after="0"/>
              <w:rPr>
                <w:sz w:val="20"/>
                <w:szCs w:val="20"/>
                <w:color w:val="auto"/>
              </w:rPr>
            </w:pPr>
            <w:r>
              <w:rPr>
                <w:rFonts w:ascii="Arial" w:cs="Arial" w:eastAsia="Arial" w:hAnsi="Arial"/>
                <w:sz w:val="18"/>
                <w:szCs w:val="18"/>
                <w:color w:val="auto"/>
              </w:rPr>
              <w:t>Other Americas</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9,021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8,972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Americas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91,906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70,036</w:t>
            </w:r>
          </w:p>
        </w:tc>
        <w:tc>
          <w:tcPr>
            <w:tcW w:w="0" w:type="dxa"/>
            <w:vAlign w:val="bottom"/>
          </w:tcPr>
          <w:p>
            <w:pPr>
              <w:spacing w:after="0"/>
              <w:rPr>
                <w:sz w:val="1"/>
                <w:szCs w:val="1"/>
                <w:color w:val="auto"/>
              </w:rPr>
            </w:pPr>
          </w:p>
        </w:tc>
      </w:tr>
      <w:tr>
        <w:trPr>
          <w:trHeight w:val="243"/>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EMEA:</w:t>
            </w: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France</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3"/>
          </w:tcPr>
          <w:p>
            <w:pPr>
              <w:ind w:left="240"/>
              <w:spacing w:after="0"/>
              <w:rPr>
                <w:sz w:val="20"/>
                <w:szCs w:val="20"/>
                <w:color w:val="auto"/>
              </w:rPr>
            </w:pPr>
            <w:r>
              <w:rPr>
                <w:rFonts w:ascii="Arial" w:cs="Arial" w:eastAsia="Arial" w:hAnsi="Arial"/>
                <w:sz w:val="18"/>
                <w:szCs w:val="18"/>
                <w:color w:val="auto"/>
              </w:rPr>
              <w:t>Other EMEA</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5,244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EMEA</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17,178</w:t>
            </w:r>
          </w:p>
        </w:tc>
        <w:tc>
          <w:tcPr>
            <w:tcW w:w="0" w:type="dxa"/>
            <w:vAlign w:val="bottom"/>
          </w:tcPr>
          <w:p>
            <w:pPr>
              <w:spacing w:after="0"/>
              <w:rPr>
                <w:sz w:val="1"/>
                <w:szCs w:val="1"/>
                <w:color w:val="auto"/>
              </w:rPr>
            </w:pPr>
          </w:p>
        </w:tc>
      </w:tr>
      <w:tr>
        <w:trPr>
          <w:trHeight w:val="243"/>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APAC</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4,047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Total property and equipment—net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115,782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91,067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customer, which is a distributor, accounted for 10% or more of our revenue: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60" w:type="dxa"/>
            <w:vAlign w:val="bottom"/>
          </w:tcPr>
          <w:p>
            <w:pPr>
              <w:spacing w:after="0"/>
              <w:rPr>
                <w:sz w:val="18"/>
                <w:szCs w:val="18"/>
                <w:color w:val="auto"/>
              </w:rPr>
            </w:pPr>
          </w:p>
        </w:tc>
        <w:tc>
          <w:tcPr>
            <w:tcW w:w="3380" w:type="dxa"/>
            <w:vAlign w:val="bottom"/>
            <w:gridSpan w:val="4"/>
          </w:tcPr>
          <w:p>
            <w:pPr>
              <w:ind w:left="1200"/>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r>
      <w:tr>
        <w:trPr>
          <w:trHeight w:val="33"/>
        </w:trPr>
        <w:tc>
          <w:tcPr>
            <w:tcW w:w="75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9"/>
        </w:trPr>
        <w:tc>
          <w:tcPr>
            <w:tcW w:w="7560" w:type="dxa"/>
            <w:vAlign w:val="bottom"/>
          </w:tcPr>
          <w:p>
            <w:pPr>
              <w:spacing w:after="0"/>
              <w:rPr>
                <w:sz w:val="18"/>
                <w:szCs w:val="18"/>
                <w:color w:val="auto"/>
              </w:rPr>
            </w:pPr>
          </w:p>
        </w:tc>
        <w:tc>
          <w:tcPr>
            <w:tcW w:w="1380" w:type="dxa"/>
            <w:vAlign w:val="bottom"/>
          </w:tcPr>
          <w:p>
            <w:pPr>
              <w:jc w:val="center"/>
              <w:ind w:left="359"/>
              <w:spacing w:after="0"/>
              <w:rPr>
                <w:sz w:val="20"/>
                <w:szCs w:val="20"/>
                <w:color w:val="auto"/>
              </w:rPr>
            </w:pPr>
            <w:r>
              <w:rPr>
                <w:rFonts w:ascii="Arial" w:cs="Arial" w:eastAsia="Arial" w:hAnsi="Arial"/>
                <w:sz w:val="16"/>
                <w:szCs w:val="16"/>
                <w:b w:val="1"/>
                <w:bCs w:val="1"/>
                <w:color w:val="auto"/>
                <w:w w:val="94"/>
              </w:rPr>
              <w:t>March 31,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left="359"/>
              <w:spacing w:after="0"/>
              <w:rPr>
                <w:sz w:val="20"/>
                <w:szCs w:val="20"/>
                <w:color w:val="auto"/>
              </w:rPr>
            </w:pPr>
            <w:r>
              <w:rPr>
                <w:rFonts w:ascii="Arial" w:cs="Arial" w:eastAsia="Arial" w:hAnsi="Arial"/>
                <w:sz w:val="16"/>
                <w:szCs w:val="16"/>
                <w:b w:val="1"/>
                <w:bCs w:val="1"/>
                <w:color w:val="auto"/>
                <w:w w:val="97"/>
              </w:rPr>
              <w:t>March 31,</w:t>
            </w:r>
          </w:p>
        </w:tc>
        <w:tc>
          <w:tcPr>
            <w:tcW w:w="480" w:type="dxa"/>
            <w:vAlign w:val="bottom"/>
          </w:tcPr>
          <w:p>
            <w:pPr>
              <w:spacing w:after="0"/>
              <w:rPr>
                <w:sz w:val="18"/>
                <w:szCs w:val="18"/>
                <w:color w:val="auto"/>
              </w:rPr>
            </w:pPr>
          </w:p>
        </w:tc>
      </w:tr>
      <w:tr>
        <w:trPr>
          <w:trHeight w:val="210"/>
        </w:trPr>
        <w:tc>
          <w:tcPr>
            <w:tcW w:w="894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200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480" w:type="dxa"/>
            <w:vAlign w:val="bottom"/>
          </w:tcPr>
          <w:p>
            <w:pPr>
              <w:spacing w:after="0"/>
              <w:rPr>
                <w:sz w:val="18"/>
                <w:szCs w:val="18"/>
                <w:color w:val="auto"/>
              </w:rPr>
            </w:pPr>
          </w:p>
        </w:tc>
      </w:tr>
      <w:tr>
        <w:trPr>
          <w:trHeight w:val="33"/>
        </w:trPr>
        <w:tc>
          <w:tcPr>
            <w:tcW w:w="75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8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Exclusive Networks Group</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75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customers, each of which is a distributor, accounted for 10% or more of net accounts receivable: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400" w:type="dxa"/>
            <w:vAlign w:val="bottom"/>
          </w:tcPr>
          <w:p>
            <w:pPr>
              <w:jc w:val="center"/>
              <w:ind w:left="359"/>
              <w:spacing w:after="0"/>
              <w:rPr>
                <w:sz w:val="20"/>
                <w:szCs w:val="20"/>
                <w:color w:val="auto"/>
              </w:rPr>
            </w:pPr>
            <w:r>
              <w:rPr>
                <w:rFonts w:ascii="Arial" w:cs="Arial" w:eastAsia="Arial" w:hAnsi="Arial"/>
                <w:sz w:val="16"/>
                <w:szCs w:val="16"/>
                <w:b w:val="1"/>
                <w:bCs w:val="1"/>
                <w:color w:val="auto"/>
                <w:w w:val="97"/>
              </w:rPr>
              <w:t>March 31,</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right"/>
              <w:ind w:right="41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894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694"/>
              <w:spacing w:after="0"/>
              <w:rPr>
                <w:sz w:val="20"/>
                <w:szCs w:val="20"/>
                <w:color w:val="auto"/>
              </w:rPr>
            </w:pPr>
            <w:r>
              <w:rPr>
                <w:rFonts w:ascii="Arial" w:cs="Arial" w:eastAsia="Arial" w:hAnsi="Arial"/>
                <w:sz w:val="16"/>
                <w:szCs w:val="16"/>
                <w:b w:val="1"/>
                <w:bCs w:val="1"/>
                <w:color w:val="auto"/>
              </w:rPr>
              <w:t>2015</w:t>
            </w:r>
          </w:p>
        </w:tc>
      </w:tr>
      <w:tr>
        <w:trPr>
          <w:trHeight w:val="33"/>
        </w:trPr>
        <w:tc>
          <w:tcPr>
            <w:tcW w:w="75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Exclusive Networks Group</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8940" w:type="dxa"/>
            <w:vAlign w:val="bottom"/>
            <w:gridSpan w:val="2"/>
          </w:tcPr>
          <w:p>
            <w:pPr>
              <w:ind w:left="40"/>
              <w:spacing w:after="0"/>
              <w:rPr>
                <w:sz w:val="20"/>
                <w:szCs w:val="20"/>
                <w:color w:val="auto"/>
              </w:rPr>
            </w:pPr>
            <w:r>
              <w:rPr>
                <w:rFonts w:ascii="Arial" w:cs="Arial" w:eastAsia="Arial" w:hAnsi="Arial"/>
                <w:sz w:val="18"/>
                <w:szCs w:val="18"/>
                <w:color w:val="auto"/>
              </w:rPr>
              <w:t>Fine Tec Computers</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900" w:type="dxa"/>
            <w:vAlign w:val="bottom"/>
          </w:tcPr>
          <w:p>
            <w:pPr>
              <w:jc w:val="right"/>
              <w:ind w:right="94"/>
              <w:spacing w:after="0"/>
              <w:rPr>
                <w:sz w:val="20"/>
                <w:szCs w:val="20"/>
                <w:color w:val="auto"/>
              </w:rPr>
            </w:pPr>
            <w:r>
              <w:rPr>
                <w:rFonts w:ascii="Arial" w:cs="Arial" w:eastAsia="Arial" w:hAnsi="Arial"/>
                <w:sz w:val="18"/>
                <w:szCs w:val="18"/>
                <w:color w:val="auto"/>
              </w:rPr>
              <w:t>*</w:t>
            </w:r>
          </w:p>
        </w:tc>
      </w:tr>
    </w:tbl>
    <w:p>
      <w:pPr>
        <w:spacing w:after="0" w:line="24"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8"/>
          <w:szCs w:val="18"/>
          <w:color w:val="auto"/>
        </w:rPr>
      </w:pPr>
      <w:r>
        <w:rPr>
          <w:rFonts w:ascii="Arial" w:cs="Arial" w:eastAsia="Arial" w:hAnsi="Arial"/>
          <w:sz w:val="14"/>
          <w:szCs w:val="14"/>
          <w:color w:val="auto"/>
        </w:rPr>
        <w:t>Represents less than 10%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INCOME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accumulated balances of other comprehensive income or loss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2016</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Tax benefit</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(provision) related</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to items of other</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Unrealized Losses</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comprehensive</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on Investments</w:t>
            </w: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income or loss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33"/>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1,229</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1,227</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r>
      <w:tr>
        <w:trPr>
          <w:trHeight w:val="20"/>
        </w:trPr>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details about the reclassification out of accumulated other comprehensive income (loss) (in thousands):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jc w:val="right"/>
              <w:ind w:right="94"/>
              <w:spacing w:after="0"/>
              <w:rPr>
                <w:sz w:val="20"/>
                <w:szCs w:val="20"/>
                <w:color w:val="auto"/>
              </w:rPr>
            </w:pPr>
            <w:r>
              <w:rPr>
                <w:rFonts w:ascii="Arial" w:cs="Arial" w:eastAsia="Arial" w:hAnsi="Arial"/>
                <w:sz w:val="16"/>
                <w:szCs w:val="16"/>
                <w:b w:val="1"/>
                <w:bCs w:val="1"/>
                <w:color w:val="auto"/>
                <w:w w:val="91"/>
              </w:rPr>
              <w:t>Amount Reclassified from</w:t>
            </w:r>
          </w:p>
        </w:tc>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jc w:val="right"/>
              <w:ind w:right="314"/>
              <w:spacing w:after="0"/>
              <w:rPr>
                <w:sz w:val="20"/>
                <w:szCs w:val="20"/>
                <w:color w:val="auto"/>
              </w:rPr>
            </w:pPr>
            <w:r>
              <w:rPr>
                <w:rFonts w:ascii="Arial" w:cs="Arial" w:eastAsia="Arial" w:hAnsi="Arial"/>
                <w:sz w:val="16"/>
                <w:szCs w:val="16"/>
                <w:b w:val="1"/>
                <w:bCs w:val="1"/>
                <w:color w:val="auto"/>
              </w:rPr>
              <w:t>Accumulated Other</w:t>
            </w:r>
          </w:p>
        </w:tc>
        <w:tc>
          <w:tcPr>
            <w:tcW w:w="100" w:type="dxa"/>
            <w:vAlign w:val="bottom"/>
          </w:tcPr>
          <w:p>
            <w:pPr>
              <w:spacing w:after="0"/>
              <w:rPr>
                <w:sz w:val="17"/>
                <w:szCs w:val="17"/>
                <w:color w:val="auto"/>
              </w:rPr>
            </w:pPr>
          </w:p>
        </w:tc>
        <w:tc>
          <w:tcPr>
            <w:tcW w:w="2620" w:type="dxa"/>
            <w:vAlign w:val="bottom"/>
          </w:tcPr>
          <w:p>
            <w:pPr>
              <w:jc w:val="center"/>
              <w:spacing w:after="0"/>
              <w:rPr>
                <w:sz w:val="20"/>
                <w:szCs w:val="20"/>
                <w:color w:val="auto"/>
              </w:rPr>
            </w:pPr>
            <w:r>
              <w:rPr>
                <w:rFonts w:ascii="Arial" w:cs="Arial" w:eastAsia="Arial" w:hAnsi="Arial"/>
                <w:sz w:val="16"/>
                <w:szCs w:val="16"/>
                <w:b w:val="1"/>
                <w:bCs w:val="1"/>
                <w:color w:val="auto"/>
                <w:w w:val="91"/>
              </w:rPr>
              <w:t>Affected Line Item in the Statement</w:t>
            </w:r>
          </w:p>
        </w:tc>
      </w:tr>
      <w:tr>
        <w:trPr>
          <w:trHeight w:val="210"/>
        </w:trPr>
        <w:tc>
          <w:tcPr>
            <w:tcW w:w="6540" w:type="dxa"/>
            <w:vAlign w:val="bottom"/>
            <w:gridSpan w:val="2"/>
          </w:tcPr>
          <w:p>
            <w:pPr>
              <w:ind w:left="760"/>
              <w:spacing w:after="0"/>
              <w:rPr>
                <w:sz w:val="20"/>
                <w:szCs w:val="20"/>
                <w:color w:val="auto"/>
              </w:rPr>
            </w:pPr>
            <w:r>
              <w:rPr>
                <w:rFonts w:ascii="Arial" w:cs="Arial" w:eastAsia="Arial" w:hAnsi="Arial"/>
                <w:sz w:val="16"/>
                <w:szCs w:val="16"/>
                <w:b w:val="1"/>
                <w:bCs w:val="1"/>
                <w:color w:val="auto"/>
              </w:rPr>
              <w:t>Details about Accumulated Other Comprehensive Income Components</w:t>
            </w:r>
          </w:p>
        </w:tc>
        <w:tc>
          <w:tcPr>
            <w:tcW w:w="2160" w:type="dxa"/>
            <w:vAlign w:val="bottom"/>
            <w:gridSpan w:val="2"/>
          </w:tcPr>
          <w:p>
            <w:pPr>
              <w:ind w:left="20"/>
              <w:spacing w:after="0"/>
              <w:rPr>
                <w:sz w:val="20"/>
                <w:szCs w:val="20"/>
                <w:color w:val="auto"/>
              </w:rPr>
            </w:pPr>
            <w:r>
              <w:rPr>
                <w:rFonts w:ascii="Arial" w:cs="Arial" w:eastAsia="Arial" w:hAnsi="Arial"/>
                <w:sz w:val="16"/>
                <w:szCs w:val="16"/>
                <w:b w:val="1"/>
                <w:bCs w:val="1"/>
                <w:color w:val="auto"/>
                <w:w w:val="90"/>
              </w:rPr>
              <w:t>Comprehensive Income (Loss)</w:t>
            </w: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6"/>
                <w:szCs w:val="16"/>
                <w:b w:val="1"/>
                <w:bCs w:val="1"/>
                <w:color w:val="auto"/>
                <w:w w:val="91"/>
              </w:rPr>
              <w:t>Where Net Income is Presented</w:t>
            </w:r>
          </w:p>
        </w:tc>
      </w:tr>
      <w:tr>
        <w:trPr>
          <w:trHeight w:val="33"/>
        </w:trPr>
        <w:tc>
          <w:tcPr>
            <w:tcW w:w="6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losses on investments</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expense—net</w:t>
            </w:r>
          </w:p>
        </w:tc>
      </w:tr>
      <w:tr>
        <w:trPr>
          <w:trHeight w:val="243"/>
        </w:trPr>
        <w:tc>
          <w:tcPr>
            <w:tcW w:w="6540" w:type="dxa"/>
            <w:vAlign w:val="bottom"/>
            <w:gridSpan w:val="2"/>
          </w:tcPr>
          <w:p>
            <w:pPr>
              <w:ind w:left="280"/>
              <w:spacing w:after="0"/>
              <w:rPr>
                <w:sz w:val="20"/>
                <w:szCs w:val="20"/>
                <w:color w:val="auto"/>
              </w:rPr>
            </w:pPr>
            <w:r>
              <w:rPr>
                <w:rFonts w:ascii="Arial" w:cs="Arial" w:eastAsia="Arial" w:hAnsi="Arial"/>
                <w:sz w:val="18"/>
                <w:szCs w:val="18"/>
                <w:color w:val="auto"/>
              </w:rPr>
              <w:t>Tax benefit related to items of other comprehensive loss</w:t>
            </w:r>
          </w:p>
        </w:tc>
        <w:tc>
          <w:tcPr>
            <w:tcW w:w="140" w:type="dxa"/>
            <w:vAlign w:val="bottom"/>
          </w:tcPr>
          <w:p>
            <w:pPr>
              <w:spacing w:after="0"/>
              <w:rPr>
                <w:sz w:val="21"/>
                <w:szCs w:val="21"/>
                <w:color w:val="auto"/>
              </w:rPr>
            </w:pPr>
          </w:p>
        </w:tc>
        <w:tc>
          <w:tcPr>
            <w:tcW w:w="4740" w:type="dxa"/>
            <w:vAlign w:val="bottom"/>
            <w:gridSpan w:val="3"/>
          </w:tcPr>
          <w:p>
            <w:pPr>
              <w:ind w:left="1820"/>
              <w:spacing w:after="0"/>
              <w:rPr>
                <w:sz w:val="20"/>
                <w:szCs w:val="20"/>
                <w:color w:val="auto"/>
              </w:rPr>
            </w:pPr>
            <w:r>
              <w:rPr>
                <w:rFonts w:ascii="Arial" w:cs="Arial" w:eastAsia="Arial" w:hAnsi="Arial"/>
                <w:sz w:val="18"/>
                <w:szCs w:val="18"/>
                <w:color w:val="auto"/>
              </w:rPr>
              <w:t>1   Provision for income taxes</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r>
      <w:tr>
        <w:trPr>
          <w:trHeight w:val="257"/>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reclassification for the period</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FOREIGN CURRENCY DERIVATIVES</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sales contracts are primarily denominated in U.S. dollars and therefore substantially all of our revenue is not subject to foreign currency translation risk. However, a substantial portion of our operating expenses incurred outside the United States is denominated in foreign currencies and is subject to fluctuations due to changes in foreign currency exchange rates, particularly changes in the Canadian dollar (“CAD”) and the Euro (“EUR”). To help protect against significant fluctuations in value and the volatility of future cash flows caused by changes in currency exchange rates, we engage in foreign currency risk management activities to hedge balance sheet items denominated in CAD. We do not use these contracts for speculative or trading purposes. All of the derivative instruments are with high quality financial institutions and we monitor the creditworthiness of these parties. These contracts typically have maturities between one and three months. Changes in the fair value of forward exchange contracts related to balance sheet accounts are insignificant and are included in Other expense—net in the condensed consolidated statement of operations. As of March 31, 2016, the fair value of the forward exchange contracts was not material.</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Additionally, independent of any hedging activities, fluctuations in foreign currency exchange rates may cause us to recognize transaction gains and losses in our condensed consolidated statements of operations. Our hedging activities are intended to reduce, but not eliminate, the impact of currency exchange rate movements. As our hedging activities are relatively short-term in nature and are focused on the CAD, long-term material changes in the value of the U.S. dollar against other foreign currencies, such as the EUR, GBP and CNY could adversely impact our operating expenses in the future.</w:t>
      </w:r>
    </w:p>
    <w:p>
      <w:pPr>
        <w:spacing w:after="0" w:line="154"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notional amount of forward exchange contracts to hedge balance sheet accounts as of March 31, 2016 and December 31, 2015 were (in thousands):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000" w:type="dxa"/>
            <w:vAlign w:val="bottom"/>
          </w:tcPr>
          <w:p>
            <w:pPr>
              <w:ind w:left="380"/>
              <w:spacing w:after="0"/>
              <w:rPr>
                <w:sz w:val="20"/>
                <w:szCs w:val="20"/>
                <w:color w:val="auto"/>
              </w:rPr>
            </w:pPr>
            <w:r>
              <w:rPr>
                <w:rFonts w:ascii="Arial" w:cs="Arial" w:eastAsia="Arial" w:hAnsi="Arial"/>
                <w:sz w:val="16"/>
                <w:szCs w:val="16"/>
                <w:b w:val="1"/>
                <w:bCs w:val="1"/>
                <w:color w:val="auto"/>
                <w:w w:val="94"/>
              </w:rPr>
              <w:t>Buy/Sell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293"/>
              <w:spacing w:after="0"/>
              <w:rPr>
                <w:sz w:val="20"/>
                <w:szCs w:val="20"/>
                <w:color w:val="auto"/>
              </w:rPr>
            </w:pPr>
            <w:r>
              <w:rPr>
                <w:rFonts w:ascii="Arial" w:cs="Arial" w:eastAsia="Arial" w:hAnsi="Arial"/>
                <w:sz w:val="16"/>
                <w:szCs w:val="16"/>
                <w:b w:val="1"/>
                <w:bCs w:val="1"/>
                <w:color w:val="auto"/>
              </w:rPr>
              <w:t>Notional</w:t>
            </w:r>
          </w:p>
        </w:tc>
      </w:tr>
      <w:tr>
        <w:trPr>
          <w:trHeight w:val="33"/>
        </w:trPr>
        <w:tc>
          <w:tcPr>
            <w:tcW w:w="2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95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Balance Sheet Contracts:</w:t>
            </w: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954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Currency—As of March 31, 2016</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5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57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5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CAD</w:t>
            </w:r>
          </w:p>
        </w:tc>
        <w:tc>
          <w:tcPr>
            <w:tcW w:w="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8,540</w:t>
            </w:r>
          </w:p>
        </w:tc>
      </w:tr>
      <w:tr>
        <w:trPr>
          <w:trHeight w:val="297"/>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0"/>
              </w:rPr>
              <w:t>Currency—As of December 31, 2015</w:t>
            </w:r>
          </w:p>
        </w:tc>
        <w:tc>
          <w:tcPr>
            <w:tcW w:w="6720" w:type="dxa"/>
            <w:vAlign w:val="bottom"/>
            <w:tcBorders>
              <w:bottom w:val="single" w:sz="8" w:color="CCEEFF"/>
            </w:tcBorders>
            <w:gridSpan w:val="2"/>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9540" w:type="dxa"/>
            <w:vAlign w:val="bottom"/>
            <w:gridSpan w:val="4"/>
          </w:tcPr>
          <w:p>
            <w:pPr>
              <w:spacing w:after="0"/>
              <w:rPr>
                <w:sz w:val="20"/>
                <w:szCs w:val="20"/>
                <w:color w:val="auto"/>
              </w:rPr>
            </w:pPr>
            <w:r>
              <w:rPr>
                <w:rFonts w:ascii="Arial" w:cs="Arial" w:eastAsia="Arial" w:hAnsi="Arial"/>
                <w:sz w:val="18"/>
                <w:szCs w:val="18"/>
                <w:color w:val="auto"/>
              </w:rPr>
              <w:t>CAD</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Sell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7,011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son of one member of our board of directors is a partner of an outside law firm that we utilize for certain complex litigation matters. Expenses for legal services provided by the law firm related to matters that arose subsequent to the member joining our board of directors were $0.3 million and $1.9 million in the three months ended March 31, 2016 and March 31, 2015, respectively. Of such amounts, $0.2 million and $0.5 million were incurred under contingent fee arrangements in the three months ended March 31, 2016 and March 31, 2015, respectively. Amounts due and payable to the law firm were $0.4 million and $5.3 million as of March 31, 2016 and December 31, 2015, respectively.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within the meaning of Section 27A of the Securities Act and Section 21E of the Exchange Act. These statements include, among other things, statements concerning our expectations regarding:</w:t>
      </w:r>
    </w:p>
    <w:p>
      <w:pPr>
        <w:spacing w:after="0" w:line="124"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growth and market share gains;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w:t>
      </w:r>
    </w:p>
    <w:p>
      <w:pPr>
        <w:spacing w:after="0" w:line="225" w:lineRule="exact"/>
        <w:rPr>
          <w:rFonts w:ascii="Arial" w:cs="Arial" w:eastAsia="Arial" w:hAnsi="Arial"/>
          <w:sz w:val="18"/>
          <w:szCs w:val="18"/>
          <w:i w:val="1"/>
          <w:iCs w:val="1"/>
          <w:color w:val="auto"/>
        </w:rPr>
      </w:pPr>
    </w:p>
    <w:p>
      <w:pPr>
        <w:ind w:left="1300" w:right="42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proportion of our revenue that consists of our product and service and other revenue, and the mix of billings between products and services;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drivers of long-term growth and operating leverage, such as increased functionality and value in our security subscription and support service offerings;</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growing our sales to enterprise, service provider and government organizations, and the impact of sales to these organizations on our long-term growth, expansion, and operating results;</w:t>
      </w:r>
    </w:p>
    <w:p>
      <w:pPr>
        <w:spacing w:after="0" w:line="17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trends in revenue, costs of revenue, and gross margin;</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research and development expense, sales and marketing expense, general and administrative expense, and expectations regarding these expenses as a percentage of revenue;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investments in research and development;</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investments in sales and marketing, and the impact of those investments;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expectations regarding uncertain tax benefits and our effective tax 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spending related to capital expenditures;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markets;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integration of acquired companies and technologies;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implementation of a new enterprise resource planning (“ERP”) system;</w:t>
      </w:r>
    </w:p>
    <w:p>
      <w:pPr>
        <w:spacing w:after="0" w:line="225" w:lineRule="exact"/>
        <w:rPr>
          <w:rFonts w:ascii="Arial" w:cs="Arial" w:eastAsia="Arial" w:hAnsi="Arial"/>
          <w:sz w:val="18"/>
          <w:szCs w:val="18"/>
          <w:i w:val="1"/>
          <w:iCs w:val="1"/>
          <w:color w:val="auto"/>
        </w:rPr>
      </w:pPr>
    </w:p>
    <w:p>
      <w:pPr>
        <w:ind w:left="1300" w:right="4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intentions regarding repatriation of cash, cash equivalents and investments held by our international subsidiaries and the sufficiency of our existing cash, cash equivalents and investments to meet our cash needs for at least the next 12 months;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statements regarding our future operations, financial condition and prospects and business strategies.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 We undertake no obligation to revise or publicly release the results of any revision to these forward-looking statements. Given these risks and uncertainties, readers are cautioned not to place undue reliance on such forward-looking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We provide high performance cybersecurity solutions to a wide variety of enterprises, service providers and government organizations of all sizes across the globe, including a majority of the 2015 Fortune 100. Our cybersecurity solutions are designed to provide broad, rapid protection against dynamic security threats while simplifying the IT infrastructure of our end-customers worldwide.</w:t>
      </w:r>
    </w:p>
    <w:p>
      <w:pPr>
        <w:spacing w:after="0" w:line="181"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Our common operating system, centralized management and open application program interfaces allow many of the solutions in our portfolio to be combined to create an integrated security architecture (</w:t>
      </w:r>
      <w:r>
        <w:rPr>
          <w:rFonts w:ascii="Arial" w:cs="Arial" w:eastAsia="Arial" w:hAnsi="Arial"/>
          <w:sz w:val="16"/>
          <w:szCs w:val="16"/>
          <w:i w:val="1"/>
          <w:iCs w:val="1"/>
          <w:color w:val="auto"/>
        </w:rPr>
        <w:t>“</w:t>
      </w:r>
      <w:r>
        <w:rPr>
          <w:rFonts w:ascii="Arial" w:cs="Arial" w:eastAsia="Arial" w:hAnsi="Arial"/>
          <w:sz w:val="16"/>
          <w:szCs w:val="16"/>
          <w:color w:val="auto"/>
        </w:rPr>
        <w:t>Fortinet Security Fabric</w:t>
      </w:r>
      <w:r>
        <w:rPr>
          <w:rFonts w:ascii="Arial" w:cs="Arial" w:eastAsia="Arial" w:hAnsi="Arial"/>
          <w:sz w:val="16"/>
          <w:szCs w:val="16"/>
          <w:i w:val="1"/>
          <w:iCs w:val="1"/>
          <w:color w:val="auto"/>
        </w:rPr>
        <w:t>”</w:t>
      </w:r>
      <w:r>
        <w:rPr>
          <w:rFonts w:ascii="Arial" w:cs="Arial" w:eastAsia="Arial" w:hAnsi="Arial"/>
          <w:sz w:val="16"/>
          <w:szCs w:val="16"/>
          <w:color w:val="auto"/>
        </w:rPr>
        <w:t>) designed to address sophisticated threats and next-generation environments. The Fortinet Security Fabric connects our products, services and ecosystem partner solutions to provide seamless protection at all points in the network, from endpoint to data center to cloud, regardless of whether deployed in physical, virtual or hybrid environments. Our Security Fabric delivers integrated scalability, access, awareness, security and openness both from the cloud and for the cloud. At the core of our Security Fabric is our FortiGate physical and virtual appliances, which ship with a set of broad security services, including firewall, virtual private network, application control, intrusion prevention, web filtering and advanced threat protection. These security services are enabled by our FortiGuard Labs, which provides extensive threat research and a global cloud network to deliver protection services to each FortiGate appliance. FortiGate also has extensive networking capabilities such as switching, routing, native internet protocol version 6 and different modes of deployment. FortiManager provides central management and FortiAnalyzer provides reporting and analytics. The FortiGate platform can be extended to provide enhanced capabilities.</w:t>
      </w:r>
    </w:p>
    <w:p>
      <w:pPr>
        <w:spacing w:after="0" w:line="169" w:lineRule="exact"/>
        <w:rPr>
          <w:sz w:val="20"/>
          <w:szCs w:val="20"/>
          <w:color w:val="auto"/>
        </w:rPr>
      </w:pPr>
    </w:p>
    <w:p>
      <w:pPr>
        <w:ind w:right="260" w:firstLine="648"/>
        <w:spacing w:after="0" w:line="271" w:lineRule="auto"/>
        <w:rPr>
          <w:sz w:val="20"/>
          <w:szCs w:val="20"/>
          <w:color w:val="auto"/>
        </w:rPr>
      </w:pPr>
      <w:r>
        <w:rPr>
          <w:rFonts w:ascii="Arial" w:cs="Arial" w:eastAsia="Arial" w:hAnsi="Arial"/>
          <w:sz w:val="17"/>
          <w:szCs w:val="17"/>
          <w:color w:val="auto"/>
        </w:rPr>
        <w:t>Customers select the functions or combination of functions that best meet their specific security requirements such as a high-speed data center firewall at the network core, a next generation firewall at the edge or a broad unified threat management solution at branch sites. We derive a substantial majority of product sales from our FortiGate appliances, which range from the FortiGate-20 to -100 series, designed for small businesses, FortiGate-200 to -900 series for mid-sized enterprises, to the FortiGate-1000 to -6000 series for large enterprises and service providers. Our network security platform also includes our FortiGuard security subscription services, to which end-customers can subscribe in order to obtain access to dynamic updates to application control, anti-virus, intrusion prevention, web filtering, and anti-spam functionality. End-customers can also choose to purchase FortiCare technical support services for our products. End-customers also often use FortiManager and FortiAnalyzer products in conjunction with a FortiGate deployment to provide centralized management and analysis and reporting capabilities.</w:t>
      </w:r>
    </w:p>
    <w:p>
      <w:pPr>
        <w:spacing w:after="0" w:line="17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complement our core FortiGate product line with other appliances and software licenses that offer additional protection from security threats to other critical areas of the enterprise, such as our secure wireless and access solutions, advanced threat protection, secure email gateway, web application firewalls, application delivery controllers, database security, distributed denial of service protection, and endpoint security for employee computers and mobile devices. Sales of these complementary products have grown in recent quarters.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25" w:lineRule="exact"/>
        <w:rPr>
          <w:sz w:val="20"/>
          <w:szCs w:val="20"/>
          <w:color w:val="auto"/>
        </w:rPr>
      </w:pPr>
    </w:p>
    <w:p>
      <w:pPr>
        <w:jc w:val="both"/>
        <w:ind w:left="660" w:right="200" w:hanging="328"/>
        <w:spacing w:after="0" w:line="31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recorded total revenue of $284.6 million in the three months ended March 31, 2016, an increase of 34% compared to the same period last year. Product revenue was $124.6 million in the three months ended March 31, 2016, an increase of 28% compared to the same period last year. Service revenue was $160.0 million in the three months ended March 31, 2016, an increase of 39% compared to the same period last year.</w:t>
      </w:r>
    </w:p>
    <w:p>
      <w:pPr>
        <w:spacing w:after="0" w:line="146"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Cash, cash equivalents and investments were $1.19 billion as of March 31, 2016, an increase of $30.2 million, or 3%, from December 31, 2015.</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Deferred revenue was $837.2 million as of March 31, 2016, an increase of $45.9 million, or 6%, from December 31, 2015</w:t>
      </w:r>
      <w:r>
        <w:rPr>
          <w:rFonts w:ascii="Arial" w:cs="Arial" w:eastAsia="Arial" w:hAnsi="Arial"/>
          <w:sz w:val="18"/>
          <w:szCs w:val="18"/>
          <w:color w:val="0000FF"/>
        </w:rPr>
        <w: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$100.6 million in the three months ended March 31, 2016, an increase of $36.0 million, or 56%, compared to the same period last year.</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repurchased 2.0 million shares of common stock under our Share Repurchase Program for an aggregate purchase price of $50.0 million in the three months ended March 31, 2016.</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Revenue grew in the three months ended March 31, 2016 compared to the same period last year as our Security Fabric puts us in a strong competitive position in a robust security market. Our strategy to invest in sales and marketing has enabled us to gain more enterprise customers today than we have had in the past. Large enterprises represent significant opportunity for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cross-sell and upsell, as they tend to purchase more products and services over time. During the three months ended March 31, 2016, our revenue growth was driven by greater sales volume in our FortiGate product family due to increased demand across all product categories. Our high-end FortiGate products (FortiGate-1000 to -6000 series) accounted for 37% of billings due to strong sales to service providers and large enterprises. Our mid-range products (FortiGate-200 to -900 series) accounted for 28% of billings, and our entry-level products (FortiGate-20 to -100 series) accounted for 35% of billings. Service revenue also increased as we continue to add to and charge more for functionality and value in our FortiGuard security subscription, FortiCare technical support and other offerings.</w:t>
      </w:r>
    </w:p>
    <w:p>
      <w:pPr>
        <w:spacing w:after="0" w:line="19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During the three months ended March 31, 2016, operating expenses increased by $64.1 million, or 43%, as compared to the same period last year. The increase was primarily driven by our accelerated pace of hiring and investments made to expand our sales coverage, grow our marketing capabilities, develop new products and scale our customer support. We also continue to invest in research and development to strengthen our technology leadership position. We believe that continued product innovation has strengthened our technology and resulted in market share gains. In addition, we incurred expenses from business design and reengineering related to the implementation of an ERP system. Headcount increased by 38% to 4,239 employees and contractors as of March 31, 2016, up from 3,076 as of March 31,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Our sales strategy is based on a distribution model whereby we primarily sell our products and services directly to distributors which sell to resellers and service providers, which, in turn, sell to our end-customers. In certain cases, we sell directly to government-focused resellers, large service providers and major systems integrators, which have significant purchasing power and unique customer deployment requirements. Typically, FortiGuard security subscription services and FortiCare technical support services are purchased along with our physical and virtual appliances, most frequently as part of a bundle offering that includes hardware and services. We invoice at the time of our sale for the total price of the products and subscription and technical support services, and the invoice generally becomes payable within 30 to 90 days. We generally recognize product revenue up-front and defer revenue for the sale of new, and renewal of existing, FortiGuard security subscription and FortiCare technical support services contracts. We recognize the related service revenue over the service period, which is typically one to three years, although it can be as long as five years. Sales of new and renewal services are a source of recurring revenue and increase our deferred revenue balance, which contributes significantly to our positive cash flow from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monitor a number of financial and operating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cash, cash equivalents and investments, net cash provided by operating activities, and free cash flow (non-GAAP). We discuss revenue below under “—Results of Operations,” and we discuss our cash, cash equivalents, and investments, and net cash provided by operating activities below under “—Liquidity and Capital Resources.” Deferred revenue, billings (non-GAAP), and free cash flow (non-GAAP) are discussed immediately below the following table.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3"/>
          </w:tcPr>
          <w:p>
            <w:pPr>
              <w:jc w:val="right"/>
              <w:ind w:right="352"/>
              <w:spacing w:after="0"/>
              <w:rPr>
                <w:sz w:val="20"/>
                <w:szCs w:val="20"/>
                <w:color w:val="auto"/>
              </w:rPr>
            </w:pPr>
            <w:r>
              <w:rPr>
                <w:rFonts w:ascii="Arial" w:cs="Arial" w:eastAsia="Arial" w:hAnsi="Arial"/>
                <w:sz w:val="16"/>
                <w:szCs w:val="16"/>
                <w:b w:val="1"/>
                <w:bCs w:val="1"/>
                <w:color w:val="auto"/>
              </w:rPr>
              <w:t>Three Months Ended Or As Of</w:t>
            </w:r>
          </w:p>
        </w:tc>
      </w:tr>
      <w:tr>
        <w:trPr>
          <w:trHeight w:val="33"/>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12"/>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153"/>
              <w:spacing w:after="0"/>
              <w:rPr>
                <w:sz w:val="20"/>
                <w:szCs w:val="20"/>
                <w:color w:val="auto"/>
              </w:rPr>
            </w:pPr>
            <w:r>
              <w:rPr>
                <w:rFonts w:ascii="Arial" w:cs="Arial" w:eastAsia="Arial" w:hAnsi="Arial"/>
                <w:sz w:val="16"/>
                <w:szCs w:val="16"/>
                <w:b w:val="1"/>
                <w:bCs w:val="1"/>
                <w:color w:val="auto"/>
                <w:w w:val="96"/>
              </w:rPr>
              <w:t>March 31, 2016</w:t>
            </w:r>
          </w:p>
        </w:tc>
        <w:tc>
          <w:tcPr>
            <w:tcW w:w="320" w:type="dxa"/>
            <w:vAlign w:val="bottom"/>
          </w:tcPr>
          <w:p>
            <w:pPr>
              <w:spacing w:after="0"/>
              <w:rPr>
                <w:sz w:val="18"/>
                <w:szCs w:val="18"/>
                <w:color w:val="auto"/>
              </w:rPr>
            </w:pPr>
          </w:p>
        </w:tc>
        <w:tc>
          <w:tcPr>
            <w:tcW w:w="12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r>
      <w:tr>
        <w:trPr>
          <w:trHeight w:val="33"/>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3"/>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3"/>
          </w:tcPr>
          <w:p>
            <w:pPr>
              <w:jc w:val="right"/>
              <w:ind w:right="952"/>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284,576</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212,886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837,188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600,171</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Billings (non-GAAP)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330,461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254,300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cash equivalents and investments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1,194,487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1,072,565</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100,591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64,619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Free cash flow (non-GAAP)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70,635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59,692</w:t>
            </w:r>
          </w:p>
        </w:tc>
      </w:tr>
    </w:tbl>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Our deferred revenue consists of amounts that have been invoiced but that have not yet been recognized as revenue. The majority</w:t>
      </w:r>
      <w:r>
        <w:rPr>
          <w:rFonts w:ascii="Arial" w:cs="Arial" w:eastAsia="Arial" w:hAnsi="Arial"/>
          <w:sz w:val="18"/>
          <w:szCs w:val="18"/>
          <w:i w:val="1"/>
          <w:iCs w:val="1"/>
          <w:color w:val="auto"/>
        </w:rPr>
        <w:t xml:space="preserve"> </w:t>
      </w:r>
      <w:r>
        <w:rPr>
          <w:rFonts w:ascii="Arial" w:cs="Arial" w:eastAsia="Arial" w:hAnsi="Arial"/>
          <w:sz w:val="18"/>
          <w:szCs w:val="18"/>
          <w:color w:val="auto"/>
        </w:rPr>
        <w:t>of our deferred revenue balance consists of the unrecognized portion of service revenue from FortiGuard security subscription and FortiCare technical support service contracts, which is recognized as revenue ratably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over the contractual service period. We monitor our deferred revenue balance because it represents a significant portion of revenue to be recognized in future periods.</w:t>
      </w:r>
    </w:p>
    <w:p>
      <w:pPr>
        <w:spacing w:after="0" w:line="17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i w:val="1"/>
          <w:iCs w:val="1"/>
          <w:color w:val="auto"/>
        </w:rPr>
        <w:t>Billings (Non-GAAP).</w:t>
      </w:r>
      <w:r>
        <w:rPr>
          <w:rFonts w:ascii="Arial" w:cs="Arial" w:eastAsia="Arial" w:hAnsi="Arial"/>
          <w:sz w:val="16"/>
          <w:szCs w:val="16"/>
          <w:color w:val="auto"/>
        </w:rPr>
        <w:t>We define billings as revenue recognized in accordance with GAAP plus the change in deferred revenue from the beginning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end of the period less any deferred revenue balances acquired from business combination(s) during the period. We consider billings to be a useful metric for management and investors because billings drives future revenue, which is an important indicator of the health and viability of our business. There are a number of limitations related to the use of billings instead of GAAP revenue. First, billings include amounts that have not yet been recognized as revenue. Second, we may calculate billings in a manner that is different from peer companies that report similar financial measures. Management accounts for these limitations by providing specific information regarding GAAP revenue and evaluating billings together with GAAP revenue.</w:t>
      </w:r>
    </w:p>
    <w:p>
      <w:pPr>
        <w:spacing w:after="0" w:line="16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 reconciliation of billings to revenue, the most directly comparable financial measure calculated and presented in accordance with GAAP, is provided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gridSpan w:val="4"/>
          </w:tcPr>
          <w:p>
            <w:pPr>
              <w:jc w:val="right"/>
              <w:ind w:right="934"/>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w:t>
            </w:r>
          </w:p>
        </w:tc>
        <w:tc>
          <w:tcPr>
            <w:tcW w:w="460" w:type="dxa"/>
            <w:vAlign w:val="bottom"/>
          </w:tcPr>
          <w:p>
            <w:pPr>
              <w:spacing w:after="0"/>
              <w:rPr>
                <w:sz w:val="18"/>
                <w:szCs w:val="18"/>
                <w:color w:val="auto"/>
              </w:rPr>
            </w:pPr>
          </w:p>
        </w:tc>
        <w:tc>
          <w:tcPr>
            <w:tcW w:w="1240" w:type="dxa"/>
            <w:vAlign w:val="bottom"/>
          </w:tcPr>
          <w:p>
            <w:pPr>
              <w:jc w:val="right"/>
              <w:ind w:right="434"/>
              <w:spacing w:after="0"/>
              <w:rPr>
                <w:sz w:val="20"/>
                <w:szCs w:val="20"/>
                <w:color w:val="auto"/>
              </w:rPr>
            </w:pPr>
            <w:r>
              <w:rPr>
                <w:rFonts w:ascii="Arial" w:cs="Arial" w:eastAsia="Arial" w:hAnsi="Arial"/>
                <w:sz w:val="16"/>
                <w:szCs w:val="16"/>
                <w:b w:val="1"/>
                <w:bCs w:val="1"/>
                <w:color w:val="auto"/>
                <w:w w:val="94"/>
              </w:rPr>
              <w:t>March 31,</w:t>
            </w:r>
          </w:p>
        </w:tc>
      </w:tr>
      <w:tr>
        <w:trPr>
          <w:trHeight w:val="210"/>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615"/>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ind w:right="594"/>
              <w:spacing w:after="0"/>
              <w:rPr>
                <w:sz w:val="20"/>
                <w:szCs w:val="20"/>
                <w:color w:val="auto"/>
              </w:rPr>
            </w:pPr>
            <w:r>
              <w:rPr>
                <w:rFonts w:ascii="Arial" w:cs="Arial" w:eastAsia="Arial" w:hAnsi="Arial"/>
                <w:sz w:val="16"/>
                <w:szCs w:val="16"/>
                <w:b w:val="1"/>
                <w:bCs w:val="1"/>
                <w:color w:val="auto"/>
              </w:rPr>
              <w:t>2015</w:t>
            </w:r>
          </w:p>
        </w:tc>
      </w:tr>
      <w:tr>
        <w:trPr>
          <w:trHeight w:val="33"/>
        </w:trPr>
        <w:tc>
          <w:tcPr>
            <w:tcW w:w="7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Billings: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284,576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212,886</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increase in deferred revenue</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45,885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41,414</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billings (Non-GAAP)</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330,461</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254,300</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i w:val="1"/>
          <w:iCs w:val="1"/>
          <w:color w:val="auto"/>
        </w:rPr>
        <w:t xml:space="preserve">Free cash flow (Non-GAAP). </w:t>
      </w:r>
      <w:r>
        <w:rPr>
          <w:rFonts w:ascii="Arial" w:cs="Arial" w:eastAsia="Arial" w:hAnsi="Arial"/>
          <w:sz w:val="16"/>
          <w:szCs w:val="16"/>
          <w:color w:val="auto"/>
        </w:rPr>
        <w:t>We define free cash flow as net cash provided by operating activities minus capital expenditures such as purchases of</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and equipment. We consider free cash flow to be a liquidity measure that provides useful information to management and investors about the amount of cash generated by the business that, after the acquisition of property and equipment, can be used for strategic opportunities, including investing in our business, making strategic acquisitions, repurchasing outstanding common stock and strengthening the balance sheet. Analysis of free cash flow facilitates management’s comparison of our operating results to those of our peer companies. A limitation of using free cash flow rather than the GAAP measure of net cash provided by operating activities as a means for evaluating liquidity is that free cash flow does not represent the total increase or decrease in the cash, cash equivalents and investments balance for the period because it excludes cash provided by or used for other investing and financing activities. Management accounts for this limitation by providing information about our capital expenditures and other investing and financing activities on the face of the cash flow statement and under “—Liquidity and Capital Resources.” A reconciliation of free cash flow to net cash provided by operating activities, the most directly comparable financial measure calculated and presented in accordance with GAAP, is provided below:</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gridSpan w:val="4"/>
          </w:tcPr>
          <w:p>
            <w:pPr>
              <w:jc w:val="right"/>
              <w:ind w:right="934"/>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w:t>
            </w:r>
          </w:p>
        </w:tc>
        <w:tc>
          <w:tcPr>
            <w:tcW w:w="460" w:type="dxa"/>
            <w:vAlign w:val="bottom"/>
          </w:tcPr>
          <w:p>
            <w:pPr>
              <w:spacing w:after="0"/>
              <w:rPr>
                <w:sz w:val="18"/>
                <w:szCs w:val="18"/>
                <w:color w:val="auto"/>
              </w:rPr>
            </w:pPr>
          </w:p>
        </w:tc>
        <w:tc>
          <w:tcPr>
            <w:tcW w:w="1240" w:type="dxa"/>
            <w:vAlign w:val="bottom"/>
          </w:tcPr>
          <w:p>
            <w:pPr>
              <w:jc w:val="right"/>
              <w:ind w:right="434"/>
              <w:spacing w:after="0"/>
              <w:rPr>
                <w:sz w:val="20"/>
                <w:szCs w:val="20"/>
                <w:color w:val="auto"/>
              </w:rPr>
            </w:pPr>
            <w:r>
              <w:rPr>
                <w:rFonts w:ascii="Arial" w:cs="Arial" w:eastAsia="Arial" w:hAnsi="Arial"/>
                <w:sz w:val="16"/>
                <w:szCs w:val="16"/>
                <w:b w:val="1"/>
                <w:bCs w:val="1"/>
                <w:color w:val="auto"/>
                <w:w w:val="94"/>
              </w:rPr>
              <w:t>March 31,</w:t>
            </w:r>
          </w:p>
        </w:tc>
      </w:tr>
      <w:tr>
        <w:trPr>
          <w:trHeight w:val="210"/>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615"/>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ind w:right="594"/>
              <w:spacing w:after="0"/>
              <w:rPr>
                <w:sz w:val="20"/>
                <w:szCs w:val="20"/>
                <w:color w:val="auto"/>
              </w:rPr>
            </w:pPr>
            <w:r>
              <w:rPr>
                <w:rFonts w:ascii="Arial" w:cs="Arial" w:eastAsia="Arial" w:hAnsi="Arial"/>
                <w:sz w:val="16"/>
                <w:szCs w:val="16"/>
                <w:b w:val="1"/>
                <w:bCs w:val="1"/>
                <w:color w:val="auto"/>
              </w:rPr>
              <w:t>2015</w:t>
            </w:r>
          </w:p>
        </w:tc>
      </w:tr>
      <w:tr>
        <w:trPr>
          <w:trHeight w:val="33"/>
        </w:trPr>
        <w:tc>
          <w:tcPr>
            <w:tcW w:w="7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100,591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64,619</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purchases of property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(4,927)</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Free cash flow (Non-GAAP)</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70,635</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59,692</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Our estimates include those related to revenue recognition, stock-based compensation expense, valuation of inventory, warranty liabilities, investments, business combinations, restructuring charges, goodwill and other long-lived assets, and accounting for income taxes. We base our estimates on historical experience and on various other assumptions that we believe to be reasonable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the circumstances. To the extent that there are material differences between these estimates and our actual results, our future financial statements will be affected.</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of and for the three months ended March 31, 2016, as compared to the critical accounting policies and estimates described in the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See Note 1 to the notes to the condensed consolidated financial statements included in Part I, Item 1 of this Quarterly Report on Form 10-Q for information regarding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6"/>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left="653"/>
              <w:spacing w:after="0"/>
              <w:rPr>
                <w:sz w:val="20"/>
                <w:szCs w:val="20"/>
                <w:color w:val="auto"/>
              </w:rPr>
            </w:pPr>
            <w:r>
              <w:rPr>
                <w:rFonts w:ascii="Arial" w:cs="Arial" w:eastAsia="Arial" w:hAnsi="Arial"/>
                <w:sz w:val="16"/>
                <w:szCs w:val="16"/>
                <w:b w:val="1"/>
                <w:bCs w:val="1"/>
                <w:color w:val="auto"/>
                <w:w w:val="94"/>
              </w:rPr>
              <w:t>March 31,</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center"/>
              <w:ind w:left="713"/>
              <w:spacing w:after="0"/>
              <w:rPr>
                <w:sz w:val="20"/>
                <w:szCs w:val="20"/>
                <w:color w:val="auto"/>
              </w:rPr>
            </w:pPr>
            <w:r>
              <w:rPr>
                <w:rFonts w:ascii="Arial" w:cs="Arial" w:eastAsia="Arial" w:hAnsi="Arial"/>
                <w:sz w:val="16"/>
                <w:szCs w:val="16"/>
                <w:b w:val="1"/>
                <w:bCs w:val="1"/>
                <w:color w:val="auto"/>
                <w:w w:val="94"/>
              </w:rPr>
              <w:t>March 31,</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center"/>
              <w:ind w:left="773"/>
              <w:spacing w:after="0"/>
              <w:rPr>
                <w:sz w:val="20"/>
                <w:szCs w:val="20"/>
                <w:color w:val="auto"/>
              </w:rPr>
            </w:pPr>
            <w:r>
              <w:rPr>
                <w:rFonts w:ascii="Arial" w:cs="Arial" w:eastAsia="Arial" w:hAnsi="Arial"/>
                <w:sz w:val="16"/>
                <w:szCs w:val="16"/>
                <w:b w:val="1"/>
                <w:bCs w:val="1"/>
                <w:color w:val="auto"/>
                <w:w w:val="89"/>
              </w:rPr>
              <w:t>2015</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Pr>
          <w:p>
            <w:pPr>
              <w:spacing w:after="0"/>
              <w:rPr>
                <w:sz w:val="18"/>
                <w:szCs w:val="18"/>
                <w:color w:val="auto"/>
              </w:rPr>
            </w:pPr>
          </w:p>
        </w:tc>
        <w:tc>
          <w:tcPr>
            <w:tcW w:w="154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7"/>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124,572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97,509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27,063</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28%</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160,004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115,377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44,627</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39</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284,576</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212,886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71,690</w:t>
            </w:r>
          </w:p>
        </w:tc>
        <w:tc>
          <w:tcPr>
            <w:tcW w:w="142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w w:val="94"/>
              </w:rPr>
              <w:t>34%</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120,046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91,560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28,486</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31%</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105,491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75,664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29,827</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39</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APAC</w:t>
            </w: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59,039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45,662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13,377</w:t>
            </w:r>
          </w:p>
        </w:tc>
        <w:tc>
          <w:tcPr>
            <w:tcW w:w="1420" w:type="dxa"/>
            <w:vAlign w:val="bottom"/>
          </w:tcPr>
          <w:p>
            <w:pPr>
              <w:ind w:left="1060"/>
              <w:spacing w:after="0"/>
              <w:rPr>
                <w:sz w:val="20"/>
                <w:szCs w:val="20"/>
                <w:color w:val="auto"/>
              </w:rPr>
            </w:pPr>
            <w:r>
              <w:rPr>
                <w:rFonts w:ascii="Arial" w:cs="Arial" w:eastAsia="Arial" w:hAnsi="Arial"/>
                <w:sz w:val="18"/>
                <w:szCs w:val="18"/>
                <w:color w:val="auto"/>
              </w:rPr>
              <w:t>29</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284,576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212,886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71,690</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4"/>
              </w:rPr>
              <w:t>34%</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Total revenue increased by $71.7 million, or 34%, during the three months ended March 31, 2016 compared to the same period last year. On a geographic basis, revenue continued to diversify globally. All three regions experienced revenue growth compared to the same period last year, with the EMEA region contributing to the largest portion of our revenue growth on both an absolute dollar and percentage basis. Product revenue increased by $27.1 million, or 28%, in the three months ended March 31, 2016 compared to the same period last year. The increase in product revenue was primarily driven by greater sales volume in our FortiGate product family across all product categories and in particular for our mid-range products for service providers and large enterprise customers. Service revenue increased by $44.6 million, or 39%, in the three months ended March 31, 2016 compared to the same period last year. The increase in service revenue was primarily due to the recognition of revenue from our growing deferred revenue balance consisting of FortiGuard security subscription and FortiCare technical support contracts sold to a larger customer base, as well as the renewals of similar contracts sold in earlier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0" w:type="dxa"/>
            <w:vAlign w:val="bottom"/>
            <w:gridSpan w:val="5"/>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09"/>
        </w:trPr>
        <w:tc>
          <w:tcPr>
            <w:tcW w:w="3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w:t>
            </w:r>
          </w:p>
        </w:tc>
        <w:tc>
          <w:tcPr>
            <w:tcW w:w="340" w:type="dxa"/>
            <w:vAlign w:val="bottom"/>
          </w:tcPr>
          <w:p>
            <w:pPr>
              <w:spacing w:after="0"/>
              <w:rPr>
                <w:sz w:val="18"/>
                <w:szCs w:val="18"/>
                <w:color w:val="auto"/>
              </w:rPr>
            </w:pPr>
          </w:p>
        </w:tc>
        <w:tc>
          <w:tcPr>
            <w:tcW w:w="162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0"/>
        </w:trPr>
        <w:tc>
          <w:tcPr>
            <w:tcW w:w="3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ind w:right="67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ind w:right="69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ind w:right="571"/>
              <w:spacing w:after="0"/>
              <w:rPr>
                <w:sz w:val="20"/>
                <w:szCs w:val="20"/>
                <w:color w:val="auto"/>
              </w:rPr>
            </w:pPr>
            <w:r>
              <w:rPr>
                <w:rFonts w:ascii="Arial" w:cs="Arial" w:eastAsia="Arial" w:hAnsi="Arial"/>
                <w:sz w:val="16"/>
                <w:szCs w:val="16"/>
                <w:b w:val="1"/>
                <w:bCs w:val="1"/>
                <w:color w:val="auto"/>
              </w:rPr>
              <w:t>Change</w:t>
            </w:r>
          </w:p>
        </w:tc>
        <w:tc>
          <w:tcPr>
            <w:tcW w:w="1980" w:type="dxa"/>
            <w:vAlign w:val="bottom"/>
          </w:tcPr>
          <w:p>
            <w:pPr>
              <w:ind w:left="68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4"/>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3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80" w:type="dxa"/>
            <w:vAlign w:val="bottom"/>
            <w:gridSpan w:val="4"/>
          </w:tcPr>
          <w:p>
            <w:pPr>
              <w:jc w:val="right"/>
              <w:ind w:right="631"/>
              <w:spacing w:after="0"/>
              <w:rPr>
                <w:sz w:val="20"/>
                <w:szCs w:val="20"/>
                <w:color w:val="auto"/>
              </w:rPr>
            </w:pPr>
            <w:r>
              <w:rPr>
                <w:rFonts w:ascii="Arial" w:cs="Arial" w:eastAsia="Arial" w:hAnsi="Arial"/>
                <w:sz w:val="16"/>
                <w:szCs w:val="16"/>
                <w:b w:val="1"/>
                <w:bCs w:val="1"/>
                <w:color w:val="auto"/>
              </w:rPr>
              <w:t>(in thousands, except percentages)</w:t>
            </w:r>
          </w:p>
        </w:tc>
        <w:tc>
          <w:tcPr>
            <w:tcW w:w="198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jc w:val="center"/>
              <w:ind w:right="1990"/>
              <w:spacing w:after="0"/>
              <w:rPr>
                <w:sz w:val="20"/>
                <w:szCs w:val="20"/>
                <w:color w:val="auto"/>
              </w:rPr>
            </w:pPr>
            <w:r>
              <w:rPr>
                <w:rFonts w:ascii="Arial" w:cs="Arial" w:eastAsia="Arial" w:hAnsi="Arial"/>
                <w:sz w:val="18"/>
                <w:szCs w:val="18"/>
                <w:color w:val="auto"/>
                <w:w w:val="90"/>
              </w:rPr>
              <w:t>Product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93"/>
              <w:spacing w:after="0"/>
              <w:rPr>
                <w:sz w:val="20"/>
                <w:szCs w:val="20"/>
                <w:color w:val="auto"/>
              </w:rPr>
            </w:pPr>
            <w:r>
              <w:rPr>
                <w:rFonts w:ascii="Arial" w:cs="Arial" w:eastAsia="Arial" w:hAnsi="Arial"/>
                <w:sz w:val="18"/>
                <w:szCs w:val="18"/>
                <w:color w:val="auto"/>
              </w:rPr>
              <w:t>49,359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113"/>
              <w:spacing w:after="0"/>
              <w:rPr>
                <w:sz w:val="20"/>
                <w:szCs w:val="20"/>
                <w:color w:val="auto"/>
              </w:rPr>
            </w:pPr>
            <w:r>
              <w:rPr>
                <w:rFonts w:ascii="Arial" w:cs="Arial" w:eastAsia="Arial" w:hAnsi="Arial"/>
                <w:sz w:val="18"/>
                <w:szCs w:val="18"/>
                <w:color w:val="auto"/>
              </w:rPr>
              <w:t>41,368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7,991</w:t>
            </w:r>
          </w:p>
        </w:tc>
        <w:tc>
          <w:tcPr>
            <w:tcW w:w="1980" w:type="dxa"/>
            <w:vAlign w:val="bottom"/>
          </w:tcPr>
          <w:p>
            <w:pPr>
              <w:ind w:left="1620"/>
              <w:spacing w:after="0"/>
              <w:rPr>
                <w:sz w:val="20"/>
                <w:szCs w:val="20"/>
                <w:color w:val="auto"/>
              </w:rPr>
            </w:pPr>
            <w:r>
              <w:rPr>
                <w:rFonts w:ascii="Arial" w:cs="Arial" w:eastAsia="Arial" w:hAnsi="Arial"/>
                <w:sz w:val="18"/>
                <w:szCs w:val="18"/>
                <w:color w:val="auto"/>
                <w:w w:val="94"/>
              </w:rPr>
              <w:t>19%</w:t>
            </w:r>
          </w:p>
        </w:tc>
      </w:tr>
      <w:tr>
        <w:trPr>
          <w:trHeight w:val="27"/>
        </w:trPr>
        <w:tc>
          <w:tcPr>
            <w:tcW w:w="3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3640" w:type="dxa"/>
            <w:vAlign w:val="bottom"/>
            <w:tcBorders>
              <w:bottom w:val="single" w:sz="8" w:color="CCEEFF"/>
            </w:tcBorders>
            <w:shd w:val="clear" w:color="auto" w:fill="CCEEFF"/>
          </w:tcPr>
          <w:p>
            <w:pPr>
              <w:jc w:val="center"/>
              <w:ind w:right="2010"/>
              <w:spacing w:after="0"/>
              <w:rPr>
                <w:sz w:val="20"/>
                <w:szCs w:val="20"/>
                <w:color w:val="auto"/>
              </w:rPr>
            </w:pPr>
            <w:r>
              <w:rPr>
                <w:rFonts w:ascii="Arial" w:cs="Arial" w:eastAsia="Arial" w:hAnsi="Arial"/>
                <w:sz w:val="18"/>
                <w:szCs w:val="18"/>
                <w:color w:val="auto"/>
                <w:w w:val="89"/>
              </w:rPr>
              <w:t>Service</w:t>
            </w:r>
          </w:p>
        </w:tc>
        <w:tc>
          <w:tcPr>
            <w:tcW w:w="3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28,390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22,234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6,156</w:t>
            </w:r>
          </w:p>
        </w:tc>
        <w:tc>
          <w:tcPr>
            <w:tcW w:w="198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28</w:t>
            </w:r>
          </w:p>
        </w:tc>
      </w:tr>
      <w:tr>
        <w:trPr>
          <w:trHeight w:val="297"/>
        </w:trPr>
        <w:tc>
          <w:tcPr>
            <w:tcW w:w="3640" w:type="dxa"/>
            <w:vAlign w:val="bottom"/>
            <w:tcBorders>
              <w:bottom w:val="single" w:sz="8" w:color="CCEEFF"/>
            </w:tcBorders>
          </w:tcPr>
          <w:p>
            <w:pPr>
              <w:jc w:val="center"/>
              <w:ind w:right="1970"/>
              <w:spacing w:after="0"/>
              <w:rPr>
                <w:sz w:val="20"/>
                <w:szCs w:val="20"/>
                <w:color w:val="auto"/>
              </w:rPr>
            </w:pPr>
            <w:r>
              <w:rPr>
                <w:rFonts w:ascii="Arial" w:cs="Arial" w:eastAsia="Arial" w:hAnsi="Arial"/>
                <w:sz w:val="18"/>
                <w:szCs w:val="18"/>
                <w:color w:val="auto"/>
                <w:w w:val="89"/>
              </w:rPr>
              <w:t>Total cost of revenue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77,749</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63,602</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14,147</w:t>
            </w:r>
          </w:p>
        </w:tc>
        <w:tc>
          <w:tcPr>
            <w:tcW w:w="1980" w:type="dxa"/>
            <w:vAlign w:val="bottom"/>
            <w:tcBorders>
              <w:bottom w:val="single" w:sz="8" w:color="CCEEFF"/>
            </w:tcBorders>
          </w:tcPr>
          <w:p>
            <w:pPr>
              <w:ind w:left="1620"/>
              <w:spacing w:after="0"/>
              <w:rPr>
                <w:sz w:val="20"/>
                <w:szCs w:val="20"/>
                <w:color w:val="auto"/>
              </w:rPr>
            </w:pPr>
            <w:r>
              <w:rPr>
                <w:rFonts w:ascii="Arial" w:cs="Arial" w:eastAsia="Arial" w:hAnsi="Arial"/>
                <w:sz w:val="18"/>
                <w:szCs w:val="18"/>
                <w:color w:val="auto"/>
                <w:w w:val="94"/>
              </w:rPr>
              <w:t>22%</w:t>
            </w:r>
          </w:p>
        </w:tc>
      </w:tr>
      <w:tr>
        <w:trPr>
          <w:trHeight w:val="237"/>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r>
      <w:tr>
        <w:trPr>
          <w:trHeight w:val="243"/>
        </w:trPr>
        <w:tc>
          <w:tcPr>
            <w:tcW w:w="3640" w:type="dxa"/>
            <w:vAlign w:val="bottom"/>
          </w:tcPr>
          <w:p>
            <w:pPr>
              <w:jc w:val="center"/>
              <w:ind w:right="1990"/>
              <w:spacing w:after="0"/>
              <w:rPr>
                <w:sz w:val="20"/>
                <w:szCs w:val="20"/>
                <w:color w:val="auto"/>
              </w:rPr>
            </w:pPr>
            <w:r>
              <w:rPr>
                <w:rFonts w:ascii="Arial" w:cs="Arial" w:eastAsia="Arial" w:hAnsi="Arial"/>
                <w:sz w:val="18"/>
                <w:szCs w:val="18"/>
                <w:color w:val="auto"/>
                <w:w w:val="90"/>
              </w:rPr>
              <w:t>Product</w:t>
            </w: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w:t>
            </w:r>
          </w:p>
        </w:tc>
        <w:tc>
          <w:tcPr>
            <w:tcW w:w="1980" w:type="dxa"/>
            <w:vAlign w:val="bottom"/>
          </w:tcPr>
          <w:p>
            <w:pPr>
              <w:spacing w:after="0"/>
              <w:rPr>
                <w:sz w:val="21"/>
                <w:szCs w:val="21"/>
                <w:color w:val="auto"/>
              </w:rPr>
            </w:pPr>
          </w:p>
        </w:tc>
      </w:tr>
      <w:tr>
        <w:trPr>
          <w:trHeight w:val="27"/>
        </w:trPr>
        <w:tc>
          <w:tcPr>
            <w:tcW w:w="3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jc w:val="center"/>
              <w:ind w:right="2010"/>
              <w:spacing w:after="0"/>
              <w:rPr>
                <w:sz w:val="20"/>
                <w:szCs w:val="20"/>
                <w:color w:val="auto"/>
              </w:rPr>
            </w:pPr>
            <w:r>
              <w:rPr>
                <w:rFonts w:ascii="Arial" w:cs="Arial" w:eastAsia="Arial" w:hAnsi="Arial"/>
                <w:sz w:val="18"/>
                <w:szCs w:val="18"/>
                <w:color w:val="auto"/>
                <w:w w:val="89"/>
              </w:rPr>
              <w:t>Service</w:t>
            </w: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w:t>
            </w: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w:t>
            </w:r>
          </w:p>
        </w:tc>
        <w:tc>
          <w:tcPr>
            <w:tcW w:w="1980" w:type="dxa"/>
            <w:vAlign w:val="bottom"/>
          </w:tcPr>
          <w:p>
            <w:pPr>
              <w:spacing w:after="0"/>
              <w:rPr>
                <w:sz w:val="21"/>
                <w:szCs w:val="21"/>
                <w:color w:val="auto"/>
              </w:rPr>
            </w:pPr>
          </w:p>
        </w:tc>
      </w:tr>
    </w:tbl>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Total gross margin increased by 2.6 percentage points in the three months ended March 31, 2016 compared to the same period last year, as both product and service gross margins increased. Product gross margin increased by 2.8 percentage points in the three months ended March 31, 2016 compared to the same period last year. Product gross margin was positively impacted by higher sales of software products such as certain of our virtualized security solutions, as well as improvements in inventory management efficiencies.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Service gross margin increased in the three months ended March 31, 2016 as compared to the same period last year as we scaled efficiencies resulting from our ability to add to, and charge more for functionality and value in, our FortiGuard security subscription and FortiCare technical support offerings, which yielded more value to our customers and which translated into improved service margins. Cost of service revenue increased by $6.2 million primarily due to a $4.1 million increase in personnel costs related to headcount increases.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6"/>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left="653"/>
              <w:spacing w:after="0"/>
              <w:rPr>
                <w:sz w:val="20"/>
                <w:szCs w:val="20"/>
                <w:color w:val="auto"/>
              </w:rPr>
            </w:pPr>
            <w:r>
              <w:rPr>
                <w:rFonts w:ascii="Arial" w:cs="Arial" w:eastAsia="Arial" w:hAnsi="Arial"/>
                <w:sz w:val="16"/>
                <w:szCs w:val="16"/>
                <w:b w:val="1"/>
                <w:bCs w:val="1"/>
                <w:color w:val="auto"/>
                <w:w w:val="94"/>
              </w:rPr>
              <w:t>March 31,</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center"/>
              <w:ind w:left="714"/>
              <w:spacing w:after="0"/>
              <w:rPr>
                <w:sz w:val="20"/>
                <w:szCs w:val="20"/>
                <w:color w:val="auto"/>
              </w:rPr>
            </w:pPr>
            <w:r>
              <w:rPr>
                <w:rFonts w:ascii="Arial" w:cs="Arial" w:eastAsia="Arial" w:hAnsi="Arial"/>
                <w:sz w:val="16"/>
                <w:szCs w:val="16"/>
                <w:b w:val="1"/>
                <w:bCs w:val="1"/>
                <w:color w:val="auto"/>
                <w:w w:val="94"/>
              </w:rPr>
              <w:t>March 31,</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center"/>
              <w:ind w:left="774"/>
              <w:spacing w:after="0"/>
              <w:rPr>
                <w:sz w:val="20"/>
                <w:szCs w:val="20"/>
                <w:color w:val="auto"/>
              </w:rPr>
            </w:pPr>
            <w:r>
              <w:rPr>
                <w:rFonts w:ascii="Arial" w:cs="Arial" w:eastAsia="Arial" w:hAnsi="Arial"/>
                <w:sz w:val="16"/>
                <w:szCs w:val="16"/>
                <w:b w:val="1"/>
                <w:bCs w:val="1"/>
                <w:color w:val="auto"/>
                <w:w w:val="89"/>
              </w:rPr>
              <w:t>2015</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Pr>
          <w:p>
            <w:pPr>
              <w:spacing w:after="0"/>
              <w:rPr>
                <w:sz w:val="18"/>
                <w:szCs w:val="18"/>
                <w:color w:val="auto"/>
              </w:rPr>
            </w:pPr>
          </w:p>
        </w:tc>
        <w:tc>
          <w:tcPr>
            <w:tcW w:w="154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jc w:val="right"/>
              <w:ind w:right="191"/>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7"/>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44,966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35,816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9,150</w:t>
            </w:r>
          </w:p>
        </w:tc>
        <w:tc>
          <w:tcPr>
            <w:tcW w:w="1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147,403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100,609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46,794</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19,802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11,961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7,841</w:t>
            </w: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66</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100</w:t>
            </w:r>
          </w:p>
        </w:tc>
      </w:tr>
      <w:tr>
        <w:trPr>
          <w:trHeight w:val="257"/>
        </w:trPr>
        <w:tc>
          <w:tcPr>
            <w:tcW w:w="32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212,499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148,386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64,113</w:t>
            </w:r>
          </w:p>
        </w:tc>
        <w:tc>
          <w:tcPr>
            <w:tcW w:w="1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Research and development expense increased by $9.2 million, or 26%, in the three months ended March 31, 2016 compared to the same period last year, primarily due to an increase of $6.9 million in personnel costs as a result of increased headcount to support the development of new products and continued enhancements of our existing products. Depreciation and other occupancy-related costs increased by $1.9 million. We intend to continue to invest in our research and development organization, but expect research and development expense as a percentage of total revenue to remain at a relatively comparable level during the remainder of 2016.</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Sales and marketing expense increased by $46.8 million, or 47%, in the three months ended March 31, 2016 compared to the same period last year, primarily due to an increase of $35.2 million in personnel costs as we continued to increase our sales and marketing headcount. Marketing-related expenses increased by $5.1 million as we invested significantly in marketing to drive broader market awareness, create a global marketing engine, build broad market lead generation, nurture programs and accelerate pipeline. In addition, we incurred increases in travel expenses of $2.0 million and depreciation and occupancy-related costs of $3.5 million. We intend to continue to make investments in our sales resources and infrastructure and marketing strategy, which are critical to support growth, but expect sales and marketing expense as a percentage of total revenue to slightly decrease during the remainder of 2016.</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General and administrative expense increased by $7.8 million, or 66%, in the three months ended March 31, 2016 compared to the same period last year. Personnel costs increased by $4.1 million due to increase in headcount in order to support our expanding business. In addition, we also incurred $3.0 million in expenses related to business process design and reengineering in preparation of implementing a new ERP system. As a percentage of total revenue, we expect general and administrative expense to remain at a relatively comparable level during the remainder of 2016.</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Restructuring charges of $0.3 million in the three months ended March 31, 2016 primarily relate to the continued restructuring activities related to the acquisition of Meru and reducing our combined cost structure relative to Meru. See Note 9 to the condensed consolidated financial statements for additional details, including types of expenses incurred and the timing of future expenses and cash payments. See also the “Liquidity and Capital Resources” section of this Part I, Item 2, “Management’s Discussion and Analysis of Financial Condition and Results of Operations.”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3740" w:type="dxa"/>
            <w:vAlign w:val="bottom"/>
            <w:gridSpan w:val="4"/>
          </w:tcPr>
          <w:p>
            <w:pPr>
              <w:jc w:val="right"/>
              <w:ind w:right="103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9"/>
        </w:trPr>
        <w:tc>
          <w:tcPr>
            <w:tcW w:w="3740" w:type="dxa"/>
            <w:vAlign w:val="bottom"/>
          </w:tcPr>
          <w:p>
            <w:pPr>
              <w:spacing w:after="0"/>
              <w:rPr>
                <w:sz w:val="18"/>
                <w:szCs w:val="18"/>
                <w:color w:val="auto"/>
              </w:rPr>
            </w:pPr>
          </w:p>
        </w:tc>
        <w:tc>
          <w:tcPr>
            <w:tcW w:w="1240" w:type="dxa"/>
            <w:vAlign w:val="bottom"/>
          </w:tcPr>
          <w:p>
            <w:pPr>
              <w:jc w:val="center"/>
              <w:ind w:left="457"/>
              <w:spacing w:after="0"/>
              <w:rPr>
                <w:sz w:val="20"/>
                <w:szCs w:val="20"/>
                <w:color w:val="auto"/>
              </w:rPr>
            </w:pPr>
            <w:r>
              <w:rPr>
                <w:rFonts w:ascii="Arial" w:cs="Arial" w:eastAsia="Arial" w:hAnsi="Arial"/>
                <w:sz w:val="16"/>
                <w:szCs w:val="16"/>
                <w:b w:val="1"/>
                <w:bCs w:val="1"/>
                <w:color w:val="auto"/>
                <w:w w:val="94"/>
              </w:rPr>
              <w:t>March 31,</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475"/>
              <w:spacing w:after="0"/>
              <w:rPr>
                <w:sz w:val="20"/>
                <w:szCs w:val="20"/>
                <w:color w:val="auto"/>
              </w:rPr>
            </w:pPr>
            <w:r>
              <w:rPr>
                <w:rFonts w:ascii="Arial" w:cs="Arial" w:eastAsia="Arial" w:hAnsi="Arial"/>
                <w:sz w:val="16"/>
                <w:szCs w:val="16"/>
                <w:b w:val="1"/>
                <w:bCs w:val="1"/>
                <w:color w:val="auto"/>
              </w:rPr>
              <w:t>March 31,</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3740" w:type="dxa"/>
            <w:vAlign w:val="bottom"/>
          </w:tcPr>
          <w:p>
            <w:pPr>
              <w:spacing w:after="0"/>
              <w:rPr>
                <w:sz w:val="18"/>
                <w:szCs w:val="18"/>
                <w:color w:val="auto"/>
              </w:rPr>
            </w:pPr>
          </w:p>
        </w:tc>
        <w:tc>
          <w:tcPr>
            <w:tcW w:w="1240" w:type="dxa"/>
            <w:vAlign w:val="bottom"/>
          </w:tcPr>
          <w:p>
            <w:pPr>
              <w:jc w:val="right"/>
              <w:ind w:right="97"/>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655"/>
              <w:spacing w:after="0"/>
              <w:rPr>
                <w:sz w:val="20"/>
                <w:szCs w:val="20"/>
                <w:color w:val="auto"/>
              </w:rPr>
            </w:pPr>
            <w:r>
              <w:rPr>
                <w:rFonts w:ascii="Arial" w:cs="Arial" w:eastAsia="Arial" w:hAnsi="Arial"/>
                <w:sz w:val="16"/>
                <w:szCs w:val="16"/>
                <w:b w:val="1"/>
                <w:bCs w:val="1"/>
                <w:color w:val="auto"/>
              </w:rPr>
              <w:t>2015</w:t>
            </w:r>
          </w:p>
        </w:tc>
        <w:tc>
          <w:tcPr>
            <w:tcW w:w="500" w:type="dxa"/>
            <w:vAlign w:val="bottom"/>
          </w:tcPr>
          <w:p>
            <w:pPr>
              <w:spacing w:after="0"/>
              <w:rPr>
                <w:sz w:val="18"/>
                <w:szCs w:val="18"/>
                <w:color w:val="auto"/>
              </w:rPr>
            </w:pPr>
          </w:p>
        </w:tc>
        <w:tc>
          <w:tcPr>
            <w:tcW w:w="1760" w:type="dxa"/>
            <w:vAlign w:val="bottom"/>
          </w:tcPr>
          <w:p>
            <w:pPr>
              <w:jc w:val="right"/>
              <w:ind w:right="873"/>
              <w:spacing w:after="0"/>
              <w:rPr>
                <w:sz w:val="20"/>
                <w:szCs w:val="20"/>
                <w:color w:val="auto"/>
              </w:rPr>
            </w:pPr>
            <w:r>
              <w:rPr>
                <w:rFonts w:ascii="Arial" w:cs="Arial" w:eastAsia="Arial" w:hAnsi="Arial"/>
                <w:sz w:val="16"/>
                <w:szCs w:val="16"/>
                <w:b w:val="1"/>
                <w:bCs w:val="1"/>
                <w:color w:val="auto"/>
              </w:rPr>
              <w:t>Change</w:t>
            </w:r>
          </w:p>
        </w:tc>
        <w:tc>
          <w:tcPr>
            <w:tcW w:w="1680" w:type="dxa"/>
            <w:vAlign w:val="bottom"/>
          </w:tcPr>
          <w:p>
            <w:pPr>
              <w:ind w:left="36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40" w:type="dxa"/>
            <w:vAlign w:val="bottom"/>
            <w:gridSpan w:val="3"/>
          </w:tcPr>
          <w:p>
            <w:pPr>
              <w:jc w:val="right"/>
              <w:ind w:right="873"/>
              <w:spacing w:after="0"/>
              <w:rPr>
                <w:sz w:val="20"/>
                <w:szCs w:val="20"/>
                <w:color w:val="auto"/>
              </w:rPr>
            </w:pPr>
            <w:r>
              <w:rPr>
                <w:rFonts w:ascii="Arial" w:cs="Arial" w:eastAsia="Arial" w:hAnsi="Arial"/>
                <w:sz w:val="16"/>
                <w:szCs w:val="16"/>
                <w:b w:val="1"/>
                <w:bCs w:val="1"/>
                <w:color w:val="auto"/>
              </w:rPr>
              <w:t>(in thousands, except percentages)</w:t>
            </w: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240" w:type="dxa"/>
            <w:vAlign w:val="bottom"/>
            <w:tcBorders>
              <w:bottom w:val="single" w:sz="8" w:color="CCEEFF"/>
            </w:tcBorders>
            <w:shd w:val="clear" w:color="auto" w:fill="CCEEFF"/>
          </w:tcPr>
          <w:p>
            <w:pPr>
              <w:jc w:val="right"/>
              <w:ind w:right="103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1,746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1,422</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324</w:t>
            </w:r>
          </w:p>
        </w:tc>
        <w:tc>
          <w:tcPr>
            <w:tcW w:w="16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w w:val="94"/>
              </w:rPr>
              <w:t>23%</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 expense—net</w:t>
            </w:r>
          </w:p>
        </w:tc>
        <w:tc>
          <w:tcPr>
            <w:tcW w:w="1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1"/>
              </w:rPr>
              <w:t>(1,312)</w:t>
            </w:r>
          </w:p>
        </w:tc>
        <w:tc>
          <w:tcPr>
            <w:tcW w:w="4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(677)</w:t>
            </w:r>
          </w:p>
        </w:tc>
        <w:tc>
          <w:tcPr>
            <w:tcW w:w="500" w:type="dxa"/>
            <w:vAlign w:val="bottom"/>
          </w:tcPr>
          <w:p>
            <w:pPr>
              <w:spacing w:after="0"/>
              <w:rPr>
                <w:sz w:val="21"/>
                <w:szCs w:val="21"/>
                <w:color w:val="auto"/>
              </w:rPr>
            </w:pPr>
          </w:p>
        </w:tc>
        <w:tc>
          <w:tcPr>
            <w:tcW w:w="1760" w:type="dxa"/>
            <w:vAlign w:val="bottom"/>
          </w:tcPr>
          <w:p>
            <w:pPr>
              <w:jc w:val="right"/>
              <w:ind w:right="273"/>
              <w:spacing w:after="0"/>
              <w:rPr>
                <w:sz w:val="20"/>
                <w:szCs w:val="20"/>
                <w:color w:val="auto"/>
              </w:rPr>
            </w:pPr>
            <w:r>
              <w:rPr>
                <w:rFonts w:ascii="Arial" w:cs="Arial" w:eastAsia="Arial" w:hAnsi="Arial"/>
                <w:sz w:val="18"/>
                <w:szCs w:val="18"/>
                <w:color w:val="auto"/>
              </w:rPr>
              <w:t>(635)</w:t>
            </w:r>
          </w:p>
        </w:tc>
        <w:tc>
          <w:tcPr>
            <w:tcW w:w="1680" w:type="dxa"/>
            <w:vAlign w:val="bottom"/>
          </w:tcPr>
          <w:p>
            <w:pPr>
              <w:ind w:left="1320"/>
              <w:spacing w:after="0"/>
              <w:rPr>
                <w:sz w:val="20"/>
                <w:szCs w:val="20"/>
                <w:color w:val="auto"/>
              </w:rPr>
            </w:pPr>
            <w:r>
              <w:rPr>
                <w:rFonts w:ascii="Arial" w:cs="Arial" w:eastAsia="Arial" w:hAnsi="Arial"/>
                <w:sz w:val="18"/>
                <w:szCs w:val="18"/>
                <w:color w:val="auto"/>
              </w:rPr>
              <w:t>94</w:t>
            </w:r>
          </w:p>
        </w:tc>
      </w:tr>
    </w:tbl>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Interest income increased in the three months ended March 31, 2016 compared to the same period last year due to interest earned on higher invested balances of cash, cash equivalents and investments. Interest income varies depending on our average investment balances during the period, types and mix of investments, and market interest rates. The increase in Other expense—net in the three months ended March 31, 2016 as compared to the same period last year was the result of higher foreign currency exchange losses. Other expense—net consisted primarily of foreign exchange and related hedging gains and losses.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40" w:type="dxa"/>
            <w:vAlign w:val="bottom"/>
            <w:gridSpan w:val="3"/>
          </w:tcPr>
          <w:p>
            <w:pPr>
              <w:jc w:val="right"/>
              <w:ind w:right="111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09"/>
        </w:trPr>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jc w:val="right"/>
              <w:ind w:right="575"/>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8"/>
                <w:szCs w:val="18"/>
                <w:color w:val="auto"/>
              </w:rPr>
            </w:pPr>
          </w:p>
        </w:tc>
        <w:tc>
          <w:tcPr>
            <w:tcW w:w="1540" w:type="dxa"/>
            <w:vAlign w:val="bottom"/>
          </w:tcPr>
          <w:p>
            <w:pPr>
              <w:jc w:val="right"/>
              <w:ind w:right="535"/>
              <w:spacing w:after="0"/>
              <w:rPr>
                <w:sz w:val="20"/>
                <w:szCs w:val="20"/>
                <w:color w:val="auto"/>
              </w:rPr>
            </w:pPr>
            <w:r>
              <w:rPr>
                <w:rFonts w:ascii="Arial" w:cs="Arial" w:eastAsia="Arial" w:hAnsi="Arial"/>
                <w:sz w:val="16"/>
                <w:szCs w:val="16"/>
                <w:b w:val="1"/>
                <w:bCs w:val="1"/>
                <w:color w:val="auto"/>
              </w:rPr>
              <w:t>March 31,</w:t>
            </w: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0"/>
        </w:trPr>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jc w:val="right"/>
              <w:ind w:right="755"/>
              <w:spacing w:after="0"/>
              <w:rPr>
                <w:sz w:val="20"/>
                <w:szCs w:val="20"/>
                <w:color w:val="auto"/>
              </w:rPr>
            </w:pPr>
            <w:r>
              <w:rPr>
                <w:rFonts w:ascii="Arial" w:cs="Arial" w:eastAsia="Arial" w:hAnsi="Arial"/>
                <w:sz w:val="16"/>
                <w:szCs w:val="16"/>
                <w:b w:val="1"/>
                <w:bCs w:val="1"/>
                <w:color w:val="auto"/>
              </w:rPr>
              <w:t>2016</w:t>
            </w:r>
          </w:p>
        </w:tc>
        <w:tc>
          <w:tcPr>
            <w:tcW w:w="400" w:type="dxa"/>
            <w:vAlign w:val="bottom"/>
          </w:tcPr>
          <w:p>
            <w:pPr>
              <w:spacing w:after="0"/>
              <w:rPr>
                <w:sz w:val="18"/>
                <w:szCs w:val="18"/>
                <w:color w:val="auto"/>
              </w:rPr>
            </w:pPr>
          </w:p>
        </w:tc>
        <w:tc>
          <w:tcPr>
            <w:tcW w:w="1540" w:type="dxa"/>
            <w:vAlign w:val="bottom"/>
          </w:tcPr>
          <w:p>
            <w:pPr>
              <w:jc w:val="right"/>
              <w:ind w:right="695"/>
              <w:spacing w:after="0"/>
              <w:rPr>
                <w:sz w:val="20"/>
                <w:szCs w:val="20"/>
                <w:color w:val="auto"/>
              </w:rPr>
            </w:pPr>
            <w:r>
              <w:rPr>
                <w:rFonts w:ascii="Arial" w:cs="Arial" w:eastAsia="Arial" w:hAnsi="Arial"/>
                <w:sz w:val="16"/>
                <w:szCs w:val="16"/>
                <w:b w:val="1"/>
                <w:bCs w:val="1"/>
                <w:color w:val="auto"/>
              </w:rPr>
              <w:t>2015</w:t>
            </w:r>
          </w:p>
        </w:tc>
        <w:tc>
          <w:tcPr>
            <w:tcW w:w="500" w:type="dxa"/>
            <w:vAlign w:val="bottom"/>
          </w:tcPr>
          <w:p>
            <w:pPr>
              <w:spacing w:after="0"/>
              <w:rPr>
                <w:sz w:val="18"/>
                <w:szCs w:val="18"/>
                <w:color w:val="auto"/>
              </w:rPr>
            </w:pPr>
          </w:p>
        </w:tc>
        <w:tc>
          <w:tcPr>
            <w:tcW w:w="1780" w:type="dxa"/>
            <w:vAlign w:val="bottom"/>
          </w:tcPr>
          <w:p>
            <w:pPr>
              <w:jc w:val="right"/>
              <w:ind w:right="893"/>
              <w:spacing w:after="0"/>
              <w:rPr>
                <w:sz w:val="20"/>
                <w:szCs w:val="20"/>
                <w:color w:val="auto"/>
              </w:rPr>
            </w:pPr>
            <w:r>
              <w:rPr>
                <w:rFonts w:ascii="Arial" w:cs="Arial" w:eastAsia="Arial" w:hAnsi="Arial"/>
                <w:sz w:val="16"/>
                <w:szCs w:val="16"/>
                <w:b w:val="1"/>
                <w:bCs w:val="1"/>
                <w:color w:val="auto"/>
              </w:rPr>
              <w:t>Change</w:t>
            </w:r>
          </w:p>
        </w:tc>
        <w:tc>
          <w:tcPr>
            <w:tcW w:w="1600" w:type="dxa"/>
            <w:vAlign w:val="bottom"/>
          </w:tcPr>
          <w:p>
            <w:pPr>
              <w:jc w:val="right"/>
              <w:ind w:right="45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20" w:type="dxa"/>
            <w:vAlign w:val="bottom"/>
            <w:gridSpan w:val="3"/>
          </w:tcPr>
          <w:p>
            <w:pPr>
              <w:jc w:val="right"/>
              <w:ind w:right="993"/>
              <w:spacing w:after="0"/>
              <w:rPr>
                <w:sz w:val="20"/>
                <w:szCs w:val="20"/>
                <w:color w:val="auto"/>
              </w:rPr>
            </w:pPr>
            <w:r>
              <w:rPr>
                <w:rFonts w:ascii="Arial" w:cs="Arial" w:eastAsia="Arial" w:hAnsi="Arial"/>
                <w:sz w:val="16"/>
                <w:szCs w:val="16"/>
                <w:b w:val="1"/>
                <w:bCs w:val="1"/>
                <w:color w:val="auto"/>
              </w:rPr>
              <w:t>(in thousands, except percentages)</w:t>
            </w:r>
          </w:p>
        </w:tc>
        <w:tc>
          <w:tcPr>
            <w:tcW w:w="160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(1,809)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83</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(1,892)</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340" w:type="dxa"/>
            <w:vAlign w:val="bottom"/>
          </w:tcPr>
          <w:p>
            <w:pPr>
              <w:spacing w:after="0"/>
              <w:rPr>
                <w:sz w:val="21"/>
                <w:szCs w:val="21"/>
                <w:color w:val="auto"/>
              </w:rPr>
            </w:pP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21"/>
                <w:szCs w:val="21"/>
                <w:color w:val="auto"/>
              </w:rPr>
            </w:pPr>
          </w:p>
        </w:tc>
        <w:tc>
          <w:tcPr>
            <w:tcW w:w="1780" w:type="dxa"/>
            <w:vAlign w:val="bottom"/>
          </w:tcPr>
          <w:p>
            <w:pPr>
              <w:jc w:val="right"/>
              <w:ind w:right="253"/>
              <w:spacing w:after="0"/>
              <w:rPr>
                <w:sz w:val="20"/>
                <w:szCs w:val="20"/>
                <w:color w:val="auto"/>
              </w:rPr>
            </w:pPr>
            <w:r>
              <w:rPr>
                <w:rFonts w:ascii="Arial" w:cs="Arial" w:eastAsia="Arial" w:hAnsi="Arial"/>
                <w:sz w:val="18"/>
                <w:szCs w:val="18"/>
                <w:color w:val="auto"/>
              </w:rPr>
              <w:t>30%</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not meaningful</w:t>
            </w: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00" w:type="dxa"/>
            <w:vAlign w:val="bottom"/>
          </w:tcPr>
          <w:p>
            <w:pPr>
              <w:spacing w:after="0"/>
              <w:rPr>
                <w:sz w:val="21"/>
                <w:szCs w:val="21"/>
                <w:color w:val="auto"/>
              </w:rPr>
            </w:pPr>
          </w:p>
        </w:tc>
      </w:tr>
    </w:tbl>
    <w:p>
      <w:pPr>
        <w:spacing w:after="0" w:line="21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effective tax rate was 35% for the three months ended March 31, 2016, as compared to an effective tax rate of 5% for the same period last year. The effective tax rate for the periods presented was comprised of U.S. federal and state taxes, withholding taxes and foreign income taxes. The changes in the tax provision and effective tax rate were primarily because we had a pretax loss for the three months ended March 31, 2016, as compared to having a pretax income for the same period last year. Our effective tax rate for the three months ended March 31, 2016 included the tax benefit from the U.S. federal R&amp;D credit. The effective tax rate for the three months ended March 31, 2015 did not reflect the tax benefit of the U.S. federal R&amp;D credit as it expired at the end of 2014 and was reinstated retroactively in December 2015.</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Within the next twelve months, we do not believe there will be a decrease in uncertain tax benefits that could significantly impact our effective tax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28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March 31,</w:t>
            </w:r>
          </w:p>
        </w:tc>
        <w:tc>
          <w:tcPr>
            <w:tcW w:w="200" w:type="dxa"/>
            <w:vAlign w:val="bottom"/>
          </w:tcPr>
          <w:p>
            <w:pPr>
              <w:spacing w:after="0"/>
              <w:rPr>
                <w:sz w:val="18"/>
                <w:szCs w:val="18"/>
                <w:color w:val="auto"/>
              </w:rPr>
            </w:pPr>
          </w:p>
        </w:tc>
        <w:tc>
          <w:tcPr>
            <w:tcW w:w="1280" w:type="dxa"/>
            <w:vAlign w:val="bottom"/>
          </w:tcPr>
          <w:p>
            <w:pPr>
              <w:jc w:val="center"/>
              <w:ind w:right="133"/>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54"/>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3"/>
              <w:spacing w:after="0"/>
              <w:rPr>
                <w:sz w:val="20"/>
                <w:szCs w:val="20"/>
                <w:color w:val="auto"/>
              </w:rPr>
            </w:pPr>
            <w:r>
              <w:rPr>
                <w:rFonts w:ascii="Arial" w:cs="Arial" w:eastAsia="Arial" w:hAnsi="Arial"/>
                <w:sz w:val="16"/>
                <w:szCs w:val="16"/>
                <w:b w:val="1"/>
                <w:bCs w:val="1"/>
                <w:color w:val="auto"/>
                <w:w w:val="89"/>
              </w:rPr>
              <w:t>2015</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center"/>
              <w:ind w:right="133"/>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568,008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543,277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626,479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621,033</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1,194,487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1,164,310</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598,359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591,873</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508"/>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4"/>
          </w:tcPr>
          <w:p>
            <w:pPr>
              <w:jc w:val="center"/>
              <w:ind w:right="113"/>
              <w:spacing w:after="0"/>
              <w:rPr>
                <w:sz w:val="20"/>
                <w:szCs w:val="20"/>
                <w:color w:val="auto"/>
              </w:rPr>
            </w:pPr>
            <w:r>
              <w:rPr>
                <w:rFonts w:ascii="Arial" w:cs="Arial" w:eastAsia="Arial" w:hAnsi="Arial"/>
                <w:sz w:val="16"/>
                <w:szCs w:val="16"/>
                <w:b w:val="1"/>
                <w:bCs w:val="1"/>
                <w:color w:val="auto"/>
                <w:w w:val="93"/>
              </w:rPr>
              <w:t>Three Months Ended</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March 31,</w:t>
            </w:r>
          </w:p>
        </w:tc>
        <w:tc>
          <w:tcPr>
            <w:tcW w:w="200" w:type="dxa"/>
            <w:vAlign w:val="bottom"/>
          </w:tcPr>
          <w:p>
            <w:pPr>
              <w:spacing w:after="0"/>
              <w:rPr>
                <w:sz w:val="18"/>
                <w:szCs w:val="18"/>
                <w:color w:val="auto"/>
              </w:rPr>
            </w:pPr>
          </w:p>
        </w:tc>
        <w:tc>
          <w:tcPr>
            <w:tcW w:w="1280" w:type="dxa"/>
            <w:vAlign w:val="bottom"/>
          </w:tcPr>
          <w:p>
            <w:pPr>
              <w:jc w:val="center"/>
              <w:ind w:right="153"/>
              <w:spacing w:after="0"/>
              <w:rPr>
                <w:sz w:val="20"/>
                <w:szCs w:val="20"/>
                <w:color w:val="auto"/>
              </w:rPr>
            </w:pPr>
            <w:r>
              <w:rPr>
                <w:rFonts w:ascii="Arial" w:cs="Arial" w:eastAsia="Arial" w:hAnsi="Arial"/>
                <w:sz w:val="16"/>
                <w:szCs w:val="16"/>
                <w:b w:val="1"/>
                <w:bCs w:val="1"/>
                <w:color w:val="auto"/>
                <w:w w:val="97"/>
              </w:rPr>
              <w:t>March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54"/>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3"/>
              <w:spacing w:after="0"/>
              <w:rPr>
                <w:sz w:val="20"/>
                <w:szCs w:val="20"/>
                <w:color w:val="auto"/>
              </w:rPr>
            </w:pPr>
            <w:r>
              <w:rPr>
                <w:rFonts w:ascii="Arial" w:cs="Arial" w:eastAsia="Arial" w:hAnsi="Arial"/>
                <w:sz w:val="16"/>
                <w:szCs w:val="16"/>
                <w:b w:val="1"/>
                <w:bCs w:val="1"/>
                <w:color w:val="auto"/>
                <w:w w:val="89"/>
              </w:rPr>
              <w:t>2015</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center"/>
              <w:ind w:right="133"/>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100,591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64,619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provided by (used in) investing activities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(34,204)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16,124</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 financing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22,355</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24,731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103,098</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Liquidity and capital resources may be impacted by our operating activities, as well as by our business acquisitions, capital expenditures, stock repurchases, proceeds associated with stock option exercises and issuances of common stock under the ESPP, payment of taxes in connection with the net settlement of equity awards, and investments in strategic relationships that we have made or may make in the future. As of March 31, 2016, $150.0 million remains available for future share repurchases under our share repurchase program, which will be financed through our available working capital. In recent years we have received significant capital resources as a result of the exercise of stock options and purchases under our ESPP. We expect proceeds in future years to be impacted by our share price and the mix of stock options and RSUs granted. During 2016, we expect to spend $50.0 million to $60.0 million in capital expenditures primarily related to expansion of our offices to support worldwide growth and the implementation of our ERP system.</w:t>
      </w:r>
    </w:p>
    <w:p>
      <w:pPr>
        <w:spacing w:after="0" w:line="167"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As of March 31, 2016, our cash, cash equivalents, and investments of $1.19 billion were invested primarily in corporate debt securities, commercial paper, municipal bonds, certificates of deposit and term deposits, money market funds, and U.S. government and agency securities. It is our investment policy to invest excess cash in a manner that preserves capital, provides liquidity and maximizes return without significantly increasing risk.</w:t>
      </w:r>
    </w:p>
    <w:p>
      <w:pPr>
        <w:spacing w:after="0" w:line="14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As of March 31, 2016, $419.7 million of our cash and investments were held by our international subsidiaries and are therefore not immediately available to fund domestic operations unless the cash is repatriated. While we do not intend to do so, should this amount be repatriated, most of it would be subject to U.S. federal income tax that would be partially offset by foreign tax credits. We do not enter into investments for trading or speculative purposes. We believe that our existing cash and cash equivalents will be sufficient to meet our anticipated cash needs for at least the next 12 months. Our future capital requirements will depend on many factors, including our growth rate, the timing and extent of spending to support development efforts, the expansion of sales and marketing activities, the introduction of new and enhanced products and services offerings, the costs to ensure access to adequate manufacturing capacity and the continuing market acceptance of our products. Historically, we have required capital principally to fund our working capital needs, capital expenditures, share repurchases and acquisition activities.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Cash generated by operating activities is our primary source of liquidity. It is primarily comprised of net income (loss), as adjusted for non-cash items, and changes in operating assets and liabilities. Non-cash adjustments consist primarily of stock-based compensation, depreciation of property and equipment, amortization of intangible assets and amortization of investment premiums.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operating activities during the three months ended March 31, 2016 provided $100.6 million in cash as a result of our continued growth in billings and our ability to successfully manage our working capital. Changes in operating assets and liabilities primarily resulted from an increase in payments received from customers, which was partially offset by an increase in payments to vendors.</w:t>
      </w:r>
    </w:p>
    <w:p>
      <w:pPr>
        <w:spacing w:after="0" w:line="181"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Our operating activities during the three months ended March 31, 2015 provided $64.6 million in cash as a result of our continued growth in billings and the ability to successfully manage our working capital. Changes in operating assets and liabilities primarily included an increase in payments received from customers, partially offset by an increase in payments to vendors for inventory-related purchases and prepayment of certain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changes in cash flows from investing activities primarily relate to timing of purchases, maturities and sales of investments, and purchases of property and equipment.</w:t>
      </w:r>
    </w:p>
    <w:p>
      <w:pPr>
        <w:spacing w:after="0" w:line="170" w:lineRule="exact"/>
        <w:rPr>
          <w:sz w:val="20"/>
          <w:szCs w:val="20"/>
          <w:color w:val="auto"/>
        </w:rPr>
      </w:pPr>
    </w:p>
    <w:p>
      <w:pPr>
        <w:jc w:val="both"/>
        <w:ind w:right="660" w:firstLine="648"/>
        <w:spacing w:after="0" w:line="264" w:lineRule="auto"/>
        <w:rPr>
          <w:sz w:val="20"/>
          <w:szCs w:val="20"/>
          <w:color w:val="auto"/>
        </w:rPr>
      </w:pPr>
      <w:r>
        <w:rPr>
          <w:rFonts w:ascii="Arial" w:cs="Arial" w:eastAsia="Arial" w:hAnsi="Arial"/>
          <w:sz w:val="18"/>
          <w:szCs w:val="18"/>
          <w:color w:val="auto"/>
        </w:rPr>
        <w:t>During the three months ended March 31, 2016, cash used for investing activities was primarily due to the $30.0 million we spent on capital expenditures, including our purchase of certain real property in Union City, California for total cash of $18.5 million. Cash outflows due to sales and maturities of our investments, net of purchases, amounted to $4.2 million.</w:t>
      </w:r>
    </w:p>
    <w:p>
      <w:pPr>
        <w:spacing w:after="0" w:line="18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During the three months ended March 31, 2015, cash provided by investing activities was a result of positive cash flow due to maturities, net of purchases, from our investments of $21.1 million, partially offset by capital expenditures of $4.9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changes in cash flows from financing activities primarily relate to proceeds from the issuance of common stock under our equity incentive plan and ESPP, taxes paid related to net share settlement of equity awards, and repurchase and retirement of common stock.</w:t>
      </w:r>
    </w:p>
    <w:p>
      <w:pPr>
        <w:spacing w:after="0" w:line="170" w:lineRule="exact"/>
        <w:rPr>
          <w:sz w:val="20"/>
          <w:szCs w:val="20"/>
          <w:color w:val="auto"/>
        </w:rPr>
      </w:pPr>
    </w:p>
    <w:p>
      <w:pPr>
        <w:jc w:val="both"/>
        <w:ind w:right="720" w:firstLine="648"/>
        <w:spacing w:after="0" w:line="264" w:lineRule="auto"/>
        <w:rPr>
          <w:sz w:val="20"/>
          <w:szCs w:val="20"/>
          <w:color w:val="auto"/>
        </w:rPr>
      </w:pPr>
      <w:r>
        <w:rPr>
          <w:rFonts w:ascii="Arial" w:cs="Arial" w:eastAsia="Arial" w:hAnsi="Arial"/>
          <w:sz w:val="18"/>
          <w:szCs w:val="18"/>
          <w:color w:val="auto"/>
        </w:rPr>
        <w:t>During the three months ended March 31, 2016, cash used for financing activities was $41.7 million, primarily due to $50.0 million used to repurchase our common stock. This was partially offset by $8.3 million of proceeds from the issuance of common stock, net of taxes paid, related to withholding upon issuance of RSUs.</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During the three months ended March 31, 2015, cash provided by financing activities was $22.4 million as a result of proceeds of $29.0 million from the issuance of common stock under our stock-based compensation plans. This cash inflow was partially offset by $6.6 million of withholding tax payments upon the settlement of RSUs.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There were no material changes outside the ordinary course of business during the three months ended March 31, 2016 to the contractual obligations and commitments disclosed in Management’s Discussion and Analysis of Financial Condition and Results of Operations, set forth in Part II, Item 7, of the Form 10-K. See Note 10 to the notes to the condensed consolidated financial statements included in Part I, Item 1 of this Quarterly Report on Form 10-Q for additional information regarding contractual obligations and commitments.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As of March 31, 2016,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There were no material changes in our market risk during the three months ended March 31, 2016 compared to the disclosures in Part II, Item 7A of the Form 10-K.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 13a-15(e) or 15d-15(e) under the Exchange Act) as of March 31, 2016.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5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March 31, 2016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In July 2015, we completed the acquisition of Meru. We have integrated Meru into our systems and controls environment as of March 31, 2016. There were no changes in our internal control over financial reporting (as defined in Rules 13a-15(f) or 15d-15(f) under the Exchange Act) during the three months ended March 31, 2016 that have materially affected, or are reasonably likely to materially affect, our internal control over financial reporting.</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2" w:right="27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We are subject to various claims, complaints and legal actions that arise from time to time in the normal course of business. We believe that the possibility that any of the current pending claims, complaints or legal proceedings will result in a material loss is remote.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likely to vary significantly and be unpredictable.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of channel partner and end-customer orders and our reliance on a concentration of shipments at the end of each quarter;</w:t>
      </w:r>
    </w:p>
    <w:p>
      <w:pPr>
        <w:spacing w:after="0" w:line="236" w:lineRule="exact"/>
        <w:rPr>
          <w:rFonts w:ascii="Arial" w:cs="Arial" w:eastAsia="Arial" w:hAnsi="Arial"/>
          <w:sz w:val="17"/>
          <w:szCs w:val="17"/>
          <w:color w:val="auto"/>
        </w:rPr>
      </w:pPr>
    </w:p>
    <w:p>
      <w:pPr>
        <w:ind w:left="1300" w:right="360" w:hanging="644"/>
        <w:spacing w:after="0" w:line="308"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of shipments, which may depend on many factors such as inventory levels, logistics, shipping delays, our ability to ship new products on schedule and to accurately forecast inventory requirements, and potential delays in the manufacturing process;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25"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mix of products sold, the mix of revenue between products and services and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purchasing practices and budgeting cycles of our channel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 buying patterns of our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and level of our investments in sales and marketing;</w:t>
      </w:r>
    </w:p>
    <w:p>
      <w:pPr>
        <w:spacing w:after="0" w:line="225"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revenue recognition for our sales, which may be affected by both the mix of sales by our “sell-in” versus our “sell-through” channel partners, and the accuracy and timing of point-of-sale reporting by our “sell-through” channel partners, which impacts our ability to recognize revenue;</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requirements, market needs or buying practices and patterns of distributors, resellers or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markets;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right="4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any other change in the competitive landscape of our industry, including consolidation among our competitors, partners, or end-customers;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deferral of orders from distributors, resellers or end-customers in anticipation of new products or product enhancements announced by us or our competitors;</w:t>
      </w:r>
    </w:p>
    <w:p>
      <w:pPr>
        <w:spacing w:after="0" w:line="170" w:lineRule="exact"/>
        <w:rPr>
          <w:rFonts w:ascii="Arial" w:cs="Arial" w:eastAsia="Arial" w:hAnsi="Arial"/>
          <w:sz w:val="18"/>
          <w:szCs w:val="18"/>
          <w:color w:val="auto"/>
        </w:rPr>
      </w:pPr>
    </w:p>
    <w:p>
      <w:pPr>
        <w:jc w:val="both"/>
        <w:ind w:left="1300" w:right="320" w:hanging="644"/>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or decreases in our billings, revenues and expenses caused by fluctuations in foreign currency exchange rates, as a significant portion of our expenses are incurred and paid in currencies other than the U.S. dollar, and fluctuations may impact the actual prices that partners and customers are willing to pay for our products and services;</w:t>
      </w:r>
    </w:p>
    <w:p>
      <w:pPr>
        <w:spacing w:after="0" w:line="181" w:lineRule="exact"/>
        <w:rPr>
          <w:rFonts w:ascii="Arial" w:cs="Arial" w:eastAsia="Arial" w:hAnsi="Arial"/>
          <w:sz w:val="18"/>
          <w:szCs w:val="18"/>
          <w:color w:val="auto"/>
        </w:rPr>
      </w:pPr>
    </w:p>
    <w:p>
      <w:pPr>
        <w:ind w:left="1300" w:right="8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 competition and increased competitiveness in our market;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customer renewal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payment terms of services contracts or the length of services contracts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estimated annual effective tax rates;</w:t>
      </w:r>
    </w:p>
    <w:p>
      <w:pPr>
        <w:spacing w:after="0" w:line="225" w:lineRule="exact"/>
        <w:rPr>
          <w:rFonts w:ascii="Arial" w:cs="Arial" w:eastAsia="Arial" w:hAnsi="Arial"/>
          <w:sz w:val="18"/>
          <w:szCs w:val="18"/>
          <w:color w:val="auto"/>
        </w:rPr>
      </w:pPr>
    </w:p>
    <w:p>
      <w:pPr>
        <w:ind w:left="1300" w:right="260" w:hanging="644"/>
        <w:spacing w:after="0" w:line="308"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increased expenses, unforeseen liabilities or write-downs and any impact on results of operations from any acquisition consummated;</w:t>
      </w:r>
    </w:p>
    <w:p>
      <w:pPr>
        <w:spacing w:after="0" w:line="236" w:lineRule="exact"/>
        <w:rPr>
          <w:rFonts w:ascii="Arial" w:cs="Arial" w:eastAsia="Arial" w:hAnsi="Arial"/>
          <w:sz w:val="17"/>
          <w:szCs w:val="17"/>
          <w:color w:val="auto"/>
        </w:rPr>
      </w:pPr>
    </w:p>
    <w:p>
      <w:pPr>
        <w:ind w:left="1300" w:right="6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channel partners may have insufficient financial resources and may not be able to withstand changes and challenges in business conditions;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conditions, both in our domestic and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225"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legislative or regulatory changes, such as with respect to privacy, information and cyber security, exports, the environment, and accounting standards.</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and based on forecasted revenue trends. Accordingly, in the event of revenue shortfalls, we are generally unable to mitigate the negative impact on margins in the short term.</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21" w:right="27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weak economic conditions in certain geographies, or a reduction in information technology spending regardless of macro-economic conditions, could adversely impact our business, financial condition and results of operations in a number of ways, including longer sales cycles, lower prices for our products and services, higher default rates among our channel partners, reduced unit sales and slower or declining growth.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and revenue growth may slow or may not continue.</w:t>
      </w:r>
    </w:p>
    <w:p>
      <w:pPr>
        <w:spacing w:after="0" w:line="225"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Billings and revenue growth may slow, or we may experience a decrease in billings and revenue, for a number of reasons, including a slowdown in demand for our products or services, increased competition, a decrease in the growth of our overall market, softness in demand in certain geographies or industry verticals, such as the service provider industry, if we fail for any reason to continue to capitalize on growth opportunities, and due to other risks identified in the “Risk Factors.” Our expenses as a percentage of total revenue may be higher than expected if our revenue is lower than expected and if our investments in sales and marketing and other functional areas do not result in expected billings and revenue growth, and we may not be able to sustain profitability in future periods if we fail to increase billings, revenue or deferred revenue, do not appropriately manage our cost structure, or encounter unanticipated liabilities. Any failure by us to maintain profitability and continue our billings and revenue growth could cause the price of our common stock to materially decline.</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We rely significantly on revenue from FortiGuard security subscription and FortiCare technical support services which may decline, and because we recognize revenue from FortiGuard security subscription and FortiCare technical support services over the term of the relevant service period, downturns or upturns in sales of FortiGuard security subscription and FortiCare technical support services are not immediately reflected in full in our operating results.</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FortiGuard security subscription and FortiCare technical support services revenue has historically accounted for a significant percentage of our total revenue. Sales of new, or renewals of existing, FortiGuard security subscription and FortiCare technical support services contracts may decline and fluctuate as a result of a number of factors, including fluctuations in purchases of FortiGate appliances, end-customers’ level of satisfaction with our products and services, the prices of our products and services, the prices of products and services offered by our competitors or reductions in our customers’ spending levels. If our sales of new, or renewals of existing FortiGuard security subscription and FortiCare technical support services contracts decline, our revenue and revenue growth may decline and our business could suffer. In addition, in the event significant customers require payment terms for FortiGuard security subscription or FortiCare technical support services in arrears or for shorter periods of time than annually, such as monthly or quarterly, this may negatively impact our billings and revenue. Furthermore, we recognize FortiGuard security subscription and FortiCare technical support services revenue monthly over the term of the relevant service period, which is typically from one to three years, and in some instances has been as long as five years. As a result, much of the FortiGuard security subscription and FortiCare technical support services revenue we report each quarter is the recognition of deferred revenue from FortiGuard security subscription and FortiCare technical support services contracts entered into during previous quarters. Consequently, a decline in new or renewed FortiGuard security subscription or FortiCare technical support services contracts in any one quarter will not be fully reflected in revenue in that quarter but will negatively affect our revenue in future quarters. Accordingly, the effect of significant downturns in sales of new, or renewals of existing, FortiGuard security subscription or FortiCare technical support services is not reflected in full in our statements of operations until future periods. Our FortiGuard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We market and sell our products throughout the world and have established sales offices in many parts of the world. Therefore, we are subject to risks associated with having worldwide operations. We are also subject to a number of risks typically associated with international sales and operations, including:</w:t>
      </w:r>
    </w:p>
    <w:p>
      <w:pPr>
        <w:spacing w:after="0" w:line="181"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protectionist policies and penalties, and local laws, requirements, policies and perceptions that may adversely impact U.S. headquartered business’ sales in certain countries outside of the United States;</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complying with U.S. or other foreign laws and regulations for foreign operations, including the U.S. Foreign Corrupt Practices Act, the U.K. Bribery Act 2010, import and export control laws, tariffs, trade barriers and economic sanctions;</w:t>
      </w:r>
    </w:p>
    <w:p>
      <w:pPr>
        <w:spacing w:after="0" w:line="170"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70" w:lineRule="exact"/>
        <w:rPr>
          <w:rFonts w:ascii="Arial" w:cs="Arial" w:eastAsia="Arial" w:hAnsi="Arial"/>
          <w:sz w:val="18"/>
          <w:szCs w:val="18"/>
          <w:color w:val="auto"/>
        </w:rPr>
      </w:pPr>
    </w:p>
    <w:p>
      <w:pPr>
        <w:ind w:left="1300" w:right="180" w:hanging="644"/>
        <w:spacing w:after="0" w:line="259"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effectively implement and maintain adequate internal controls to properly manage our international sales and operations;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for political unrest, terrorism, hostilities, war or natural disasters;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tax, employment and other laws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Product and service sales and employee and contractor matters may be subject to foreign governmental regulations, which vary substantially from country to country. Further, we may be unable to keep up-to-date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70"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An important part of our growth strategy is to increase sales of our products to large and medium-sized enterprises, service providers and government organizations. While we have increased sales in recent periods to large enterprises and service providers, we have experienced less traction selling to certain government organizations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2" w:right="25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right="36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competition from competitors that traditionally target large and medium-sized enterprises, service providers and government organizations and that may already have purchase commitments from those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changes in the capital resources or purchasing behavior of large end-customers, including changes in the volume and frequency of their purchases;</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requirements and increased penalties for any failure to meet support requirements; and</w:t>
      </w:r>
    </w:p>
    <w:p>
      <w:pPr>
        <w:spacing w:after="0" w:line="170"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Large and medium-sized enterprises, service providers and government organizations often undertake a significant evaluation process that results in a lengthy sales cycle, in some cases over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product purchases by large and medium-sized enterprises, service providers and government organizations are frequently subject to budget constraints, multiple approvals and unplanned administrative, processing and other delays. Furthermore, service providers represent our largest industry vertical and consolidation or changes in buying behavior by larger customers within this industry could negatively impact our business. Large and medium-sized enterprises, service providers and government organizations typically have longer implementation cycles, require greater product functionality and scalability, expect a broader range of services, including design services, demand that vendors take on a larger share of risks, require acceptance provisions that can lead to a delay in revenue recognition, and expect greater payment flexibility from vendors.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18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Managing our inventory is complex.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They also may adjust their orders in response to the supply of our products and the products of our competitors that are available to them and in response to seasonal fluctuations in end-customer demand. Furthermore, if the time required to manufacture or ship certain products increases for any reason, inventory shortfalls could result. Management of our inventory is further complicated by the significant number of different products and models that we sell.</w:t>
      </w:r>
    </w:p>
    <w:p>
      <w:pPr>
        <w:spacing w:after="0" w:line="193"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addition, for those channel partners that have rights of return, inventory held by such channel partners affects our results of operations. Our inventory management systems and related supply chain visibility tools may be inadequate to enable us to effectively manage inventory. Inventory management remains an area of focus as we balance the need to maintain inventory levels that are sufficient to ensure competitive lead times against the risk of inventory obsolescence because of rapidly changing technology and customer requirements.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For example, we have in the past experienced inventory shortages due to more demand for certain products than we had forecasted. If we are unable to effectively manage our inventory and that of our channel partners, our results of operations could be adversely affected.</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Our future performance depends on the continued services and continuing contributions of our senior management to execute on our business plan, and to identify and pursue new opportunities and product innovations. The loss of services of</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122" w:right="29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members of senior management, particularly Ken Xie, our Co-Founder, Chairman and Chief Executive Officer, and Michael Xie, our Co-Founder, President and Chief Technology Officer, and any of our senior sales leaders or functional area leaders, could significantly delay or prevent the achievement of our development and strategic objectives. The loss of the services, or distraction, of our senior management for any reason could adversely affect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highly-skilled personnel is frequently intense, especially for qualified employees in network security and especially in the locations where we have a substantial presence and need for highly-skilled personnel, such as the San Francisco Bay Area and Vancouver, Canada.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w:t>
      </w:r>
    </w:p>
    <w:p>
      <w:pPr>
        <w:spacing w:after="0" w:line="18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average sales prices of our products may decrease, which may reduce our gross profits and adversely impact our financial results and the trading price of our common stock.</w:t>
      </w:r>
    </w:p>
    <w:p>
      <w:pPr>
        <w:spacing w:after="0" w:line="170"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The average sales prices for our products may decline for a variety of reasons, including competitive pricing pressures, discounts or promotional programs we offer, a change in our mix of products and anticipation of the introduction of new products. Competition continues to increase in the market segments in which we participate, and we expect competition to further increase in the future, thereby leading to increased pricing pressures. Larger competitors with more diverse product offerings may reduce the price of products that compete with ours in order to promote the sale of other products or may bundle them with other products.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average sales prices and gross profits for our products will decrease over product life cycles. We cannot ensure that we will be successful in developing and introducing new offerings with enhanced functionality on a timely basis, or that our product offerings, if introduced, will enable us to maintain our prices and gross profits at levels that will allow us to maintain profitability.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37"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For example, on average over the past eight quarters, our shipments during the last two weeks of each quarter accounted for 31% of aggregate billings for each quarter. If expected orders at the end of any quarter are delayed for any reason, including the failure of anticipated purchase orders to materialize, our logistics partners’ inability to ship products prior to quarter-end to fulfill purchase orders received near the end of the quarter, our failure to manage inventory to meet demand, our inability to release new products on schedule, any failure of our systems related to order review and processing, any delays in shipments due to trade compliance requirements, labor disputes or logistics changes at shipping ports or otherwise, our billings and revenue for that quarter could fall below our expectations or those of securities analysts and investors, resulting in a decline in our stock price.</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Increased market awareness of our capabilities and products and increased lead generation are essential to our continued growth and our success in all of our markets, particularly for the large enterprise, service provider and government organization market. We have historically had relatively low spending on marketing activities. While we have increased our investments in sales and marketing, it is not clear that these investments will continue to result in increased revenue. If our investments in additional sales personnel or if our marketing programs are not successful in continuing to create market awareness of our company and products and increased lead generation, or if we experience certain turnover and disruption in</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2" w:right="27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our sales and marketing teams, we will not be able to achieve sustained growth, and our business, financial condition and results of operations will be adversely affected.</w:t>
      </w:r>
    </w:p>
    <w:p>
      <w:pPr>
        <w:spacing w:after="0" w:line="17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24"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Substantially all of our revenue is generated through sales by our channel partners, which include distributors and resellers. We depend upon our channel partners to generate sales opportunities and manage the sales process. To the extent our channel partners are unsuccessful in selling our products, or we are unable to enter into arrangements with, and retain, a sufficient number of high quality channel partners in each of the regions in which we sell products, and keep them motivated to sell our products, our ability to sell our products and operating results will be harmed. The termination of our relationship with any significant channel partner may adversely impact our sales and operating results.</w:t>
      </w:r>
    </w:p>
    <w:p>
      <w:pPr>
        <w:spacing w:after="0" w:line="173"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We provide sales channel partners with specific programs to assist them in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In addition, if our channel partners’ financial condition or operations weaken it could negatively impact their ability to sell our product and services. They may also market, sell and support products and services that are competitive with ours, and may devote more resources to the marketing, sales and support of such products.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 During the three months ended March 31, 2016 and March 31, 2015, Exclusive Networks Group, which distributed our solutions to a large group of resellers and end-customers, accounted for 19% and 17% of our total revenue, respectively. 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prevent a virus or security breach, or misuse of our products could harm our reputation and divert resources.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Because our products and services are complex, they have contained and may contain defects or errors that are not detected until after their commercial release and deployment by our customers. Defects or vulnerabilities may impede or block network traffic, cause our products or services to be vulnerable to electronic break-ins or cause them to fail to help secure networks. Different customers deploy and use our products in different ways, and certain deployments and usages may subject our products to adverse conditions that may negatively impact the effectiveness and useful lifetime of our products. We cannot ensure that our products will prevent all security threats. Because the techniques used by computer hackers to access or sabotage networks change frequently and generally are not recognized until launched against a target, we may be unable to anticipate these techniques. In addition, defects or errors in our FortiGuard security subscription updates or our FortiGate appliances could result in a failure of our FortiGuard security subscription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and, in some instances, subject us to potential liability that is not contractually limited. We may not be able to correct any security flaws or vulnerabilities promptly, or at all. Our products may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actual, possible, or perceived defects, errors or vulnerabilities in our products, or misuse of our products, could result in:</w:t>
      </w:r>
    </w:p>
    <w:p>
      <w:pPr>
        <w:spacing w:after="0" w:line="171" w:lineRule="exact"/>
        <w:rPr>
          <w:sz w:val="20"/>
          <w:szCs w:val="20"/>
          <w:color w:val="auto"/>
        </w:rPr>
      </w:pPr>
    </w:p>
    <w:p>
      <w:pPr>
        <w:ind w:left="1300" w:right="32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expenditure of significant financial and product development resources in efforts to analyze, correct, eliminate or work-around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publicity, which will harm our reputation; and</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 and, in some instances, subject us to potential liability that is not contractually limited.</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experienced growth, and if we do not appropriately manage any future growth, or are unable to improve our systems and processes, our operating results will be negatively affected.</w:t>
      </w:r>
    </w:p>
    <w:p>
      <w:pPr>
        <w:spacing w:after="0" w:line="184" w:lineRule="exact"/>
        <w:rPr>
          <w:sz w:val="20"/>
          <w:szCs w:val="20"/>
          <w:color w:val="auto"/>
        </w:rPr>
      </w:pPr>
    </w:p>
    <w:p>
      <w:pPr>
        <w:ind w:right="40" w:firstLine="648"/>
        <w:spacing w:after="0" w:line="303" w:lineRule="auto"/>
        <w:rPr>
          <w:sz w:val="20"/>
          <w:szCs w:val="20"/>
          <w:color w:val="auto"/>
        </w:rPr>
      </w:pPr>
      <w:r>
        <w:rPr>
          <w:rFonts w:ascii="Arial" w:cs="Arial" w:eastAsia="Arial" w:hAnsi="Arial"/>
          <w:sz w:val="16"/>
          <w:szCs w:val="16"/>
          <w:color w:val="auto"/>
        </w:rPr>
        <w:t>Our business has grown over the last several years. We rely heavily on information technology and accounting systems to help manage critical functions such as order processing, revenue recognition, financial forecasts, inventory and supply chain management and trade compliance reviews. Certain of these systems were developed by us for our internal use and as such may have a higher risk of failure or not receive the same level of support as systems purchased from and supported by external technology companies. In addition, we have been slow to adopt and implement certain automated functions, which could have a negative impact on our business. For example, a large part of our order processing relies on the manual processing of emails internally and receipt of customer purchase orders through email and, to a lesser extent, through electronic data interchange from our customers. Combined with the fact that we may receive a majority of our orders in the last few weeks of any given quarter, a significant interruption in our email service or other systems could result in delayed order fulfillment and decreased billings and revenue for that quarter. To manage any future growth effectively, we must continue to improve and expand our information technology and financial, operating and administrative systems and controls, and continue to manage headcount, capital and processes in an efficient manner. We may not be able to successfully implement requisite improvements to these systems, controls and processes, such as system access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 In addition, our systems and processes may not prevent or detect all errors, omissions or fraud.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implementing and maintaining our new enterprise resource planning system.</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are currently implementing a new ERP system. ERP implementations are complex and time-consuming, and involve substantial expenditures on implementation activities and software. The ERP system will be critical to our ability to provide important information to our management, obtain and deliver products, provide services and customer support, send invoices and track payments, fulfill contractual obligations, accurately maintain books and records, provide accurate, timely and reliable reports on our financial and operating results or otherwise operate our business. ERP implementations also require transformation of business and financial processes in order to reap the benefits of the ERP system; any such transformation involves risks inherent in the conversion to a new computer system, including loss of information and potential disruption to our normal operations. The implementation and maintenance of the new ERP system has required, and will continue to require, the investment of significant financial and human resources and the implementation may be subject to delays and cost overruns. In addition, we may not be able to successfully complete the implementation of the new ERP system without experiencing</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2" w:right="25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difficulties. Any disruptions, delays or deficiencies in the design and implementation or the ongoing maintenance of the new ERP system could adversely affect our ability to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we do not effectively implement the ERP system as planned or the system does not operate as intended, the effectiveness of our internal control over financial reporting could be adversely affected or our ability to assess it adequately could be delayed.</w:t>
      </w:r>
    </w:p>
    <w:p>
      <w:pPr>
        <w:spacing w:after="0" w:line="15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and sales return reserves, stock-based compensation expense, valuation of inventory, warranty liabilities, investments, accounting for business combination, goodwill and other long-lived assets, restructuring, accounting for income taxes, and litigation and settlement costs.</w:t>
      </w:r>
    </w:p>
    <w:p>
      <w:pPr>
        <w:spacing w:after="0" w:line="178"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w:t>
      </w:r>
    </w:p>
    <w:p>
      <w:pPr>
        <w:spacing w:after="0" w:line="181"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outsource the manufacturing of our security appliance products to contract manufacturing partners and original design manufacturing partners including Faraday, K-Micro and Renesas. Our reliance on our third-party manufacturers in Asia and elsewhere reduces our control over the manufacturing process, exposing us to risks, including reduced control over quality assurance and product costs,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proprietary FortiASIC, which is the key to the performance of our appliances, is fabricated by contract manufacturers in foundries operated by UMC and TSMC on a purchase order basis, and UMC and TSMC do not guarantee any capacity and could reject orders or could try to increase pricing. Accordingly, the foundries are not obligated to continue to fulfill our supply requirements, and due to the long lead time that a new foundry would require, we could suffer temporary or long term inventory shortages of our FortiASIC as well as increased costs.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ASICs, our business would be harmed.</w:t>
      </w:r>
    </w:p>
    <w:p>
      <w:pPr>
        <w:spacing w:after="0" w:line="17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addition, our reliance on third-party manufacturers and foundries limits our control over environmental regulatory requirements such as the hazardous substance content of our products and therefore our ability to ensure compliance with the European Union’s (“EU”) Restriction of Hazardous Substances Directive (“RoHS”)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the determination of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There can be no assurance that we will be able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18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or loss of sales and customers, or increase component costs resulting in lower gross margins.</w:t>
      </w:r>
    </w:p>
    <w:p>
      <w:pPr>
        <w:spacing w:after="0" w:line="16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central processing units from Intel, network chips from Broadcom Corporation, Marvell Technology Group Ltd. and Intel, and hard drives from Western Digital Technologies, Inc.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9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181"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 significant portion of our operating expenses are incurred outside the United States. These expenses are denominated in foreign currencies and are subject to fluctuations due to changes in foreign currency exchange rates, particularly changes in the Euro and Canadian dollar. While we are not currently engaged in material hedging activities, we have been hedging currency exposures relating to certain balance sheet accounts and, if we stop hedging against any of these risks or if our attempts to hedge against these currency exposures are not successful, our financial condition and results of operations could be adversely affected. In addition,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could increase the real cost of our products to our customers outside of the United States, which could also adversely affect our financial condition and results of operations.</w:t>
      </w:r>
    </w:p>
    <w:p>
      <w:pPr>
        <w:spacing w:after="0" w:line="19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restrictions on sales, and could impair our ability to compete in international markets.</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Because we incorporate encryption technology into our products, certain of our products are subject to U.S. export controls and may be exported outside the United States only with the required export license or through an export license exception, and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(for example,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17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are subject to various environmental laws and regulations including laws governing the hazardous material content of our products and laws relating to the recycling of electrical and electronic equipment. The laws and regulations to which we are subject include the EU RoHS and the EU Waste Electrical and Electronic Equipment Directive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continue to incur costs related to environmental laws and regulations in the future. With respect to the EU RoHS, we and our competitors rely on an exemption for lead in network infrastructure equipment. It is possible this exemption will be revoked in the near future. If this exemption is revoked,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6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organizations, which are subject to a number of challenges and risks.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in past periods, and we may in the future increase sales to government organizations. Sales to government organizations are subject to a number of risks. Selling to government organizations can be highly competitive, expensive and time consuming, often requiring significant upfront time and expense, with long sales cycles and without any assurance of winning a sale.</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70"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25" w:lineRule="exact"/>
        <w:rPr>
          <w:rFonts w:ascii="Arial" w:cs="Arial" w:eastAsia="Arial" w:hAnsi="Arial"/>
          <w:sz w:val="18"/>
          <w:szCs w:val="18"/>
          <w:color w:val="auto"/>
        </w:rPr>
      </w:pPr>
    </w:p>
    <w:p>
      <w:pPr>
        <w:ind w:left="1300" w:right="62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geopolitical matters,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 rules and regulations applicable to sales to government organizations may also negatively impact sales to other organizations. To date, we have had limited traction in sales to U.S. federal government agencies, and any future sales to government organizations is uncertain.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 our future sales to such distributor. Governments routinely investigate and audit government contractors’ administrative processes, and any unfavorable audit could result in the government refusing to continue buying our products and services, a reduction of revenue or fines or civil or criminal liability if the audit uncovers improper or illegal activities. Any such penalties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2" w:right="25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20"/>
        <w:spacing w:after="0" w:line="264" w:lineRule="auto"/>
        <w:rPr>
          <w:sz w:val="20"/>
          <w:szCs w:val="20"/>
          <w:color w:val="auto"/>
        </w:rPr>
      </w:pPr>
      <w:r>
        <w:rPr>
          <w:rFonts w:ascii="Arial" w:cs="Arial" w:eastAsia="Arial" w:hAnsi="Arial"/>
          <w:sz w:val="18"/>
          <w:szCs w:val="18"/>
          <w:color w:val="auto"/>
        </w:rPr>
        <w:t>could adversely impact our results of operations in a material way. Finally, purchases by the U.S. government may require certain products to be manufactured in the United States and other high cost manufacturing locations, and we may not manufacture all products in locations that meet the requirements of the U.S. government.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False detection of vulnerabilities, viruses or security breaches or false identification of spam or spyware could adversely affect our business.</w:t>
      </w:r>
    </w:p>
    <w:p>
      <w:pPr>
        <w:spacing w:after="0" w:line="24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antivirus and our intrusion prevention services may falsely detect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anti-spam and anti-malware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our internal network system or our website is compromised, public perception of our products and services will be harmed, we may become subject to liability, and our business, operating results and stock price may be adversely impacted.</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will not succeed unless the marketplace is confident that we provide effective network security protection. Despite our efforts and processes to prevent breaches of our internal network system and website, we are still vulnerable to computer viruses, break-ins, phishing attacks, attempts to overload our servers with denial-of-service and other cyber-attacks and similar disruptions from unauthorized access to our internal network system or our website. Our security measures may also be breached due to employee error, malfeasance or otherwise, and third parties may attempt to fraudulently induce our employees to disclose information in order to gain access to our network. We cannot assure you that the measures we have taken to protect our network and website will provide absolute security. Moreover, because we provide network security products, we may be a more attractive target for attacks by computer hackers. Although we have not yet experienced significant damages from unauthorized access by a third party of our internal network or website, an actual or perceived breach of network security occurs in our internal systems or website could adversely affect the market perception of our products and services and investor confidence in our company. Any breach of our network system or website could impair our ability to operate our business, including our ability to provide FortiGuard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 system or our website could have an adverse effect on our business, operating results and stock price.</w:t>
      </w:r>
    </w:p>
    <w:p>
      <w:pPr>
        <w:spacing w:after="0" w:line="1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to resolve any issues relating to our products. If we or our channel partners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service provider and government organization end-customers require higher levels of support than smaller end-customers because of their more complex deployments. If we fail to meet the requirements of our larger end-customers, it may be more difficult to execute on our strategy to increase our penetration with large enterprises, service providers and government organizations. As a result, our failure to maintain high quality support services would have a material adverse effect on our business, financial condition and results of operations.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our tax rates, the adoption of new U.S. or international tax legislation, or exposure to additional tax liabilities.</w:t>
      </w:r>
    </w:p>
    <w:p>
      <w:pPr>
        <w:spacing w:after="0" w:line="248"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including:</w:t>
      </w:r>
    </w:p>
    <w:p>
      <w:pPr>
        <w:spacing w:after="0" w:line="147" w:lineRule="exact"/>
        <w:rPr>
          <w:sz w:val="20"/>
          <w:szCs w:val="20"/>
          <w:color w:val="auto"/>
        </w:rPr>
      </w:pPr>
    </w:p>
    <w:p>
      <w:pPr>
        <w:ind w:left="1300" w:right="34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earnings being lower than anticipated in countries that have lower tax rates and higher than anticipated in countries that have higher tax rates;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25"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 write-offs of acquired in-process research and development, and impairment of goodwill;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change in our decision to indefinitely reinvest foreign earnings;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court decisions, tax rulings and interpretations of tax laws, and regulations by international, federal or local governmental authorities; or</w:t>
      </w:r>
    </w:p>
    <w:p>
      <w:pPr>
        <w:spacing w:after="0" w:line="248" w:lineRule="exact"/>
        <w:rPr>
          <w:rFonts w:ascii="Arial" w:cs="Arial" w:eastAsia="Arial" w:hAnsi="Arial"/>
          <w:sz w:val="16"/>
          <w:szCs w:val="16"/>
          <w:color w:val="auto"/>
        </w:rPr>
      </w:pPr>
    </w:p>
    <w:p>
      <w:pPr>
        <w:ind w:left="1300" w:right="14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tax laws and regulations, including possible changes in the United States to the taxation of earnings of our foreign subsidiaries, the deductibility of expenses attributable to foreign income or the foreign tax credit rules, or changes to the U.S. income tax rate, which would necessitate a revaluation of our deferred tax assets and liabilities.</w:t>
      </w:r>
    </w:p>
    <w:p>
      <w:pPr>
        <w:spacing w:after="0" w:line="181"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Significant judgment is required to determine the recognition and measurement attribute prescribed in the Financial Accounting Standards Board standard. In addition, the standard applies to all 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foreign countries is subject to reduced tax rates and, in some cases, is wholly exempt from tax. Our failure to meet these commitments could adversely impact our provision for income taxes. In addition, we are subject to the examination of our income tax returns by the Internal Revenue Service (“IRS”) and other tax authorities. We regularly assess the likelihood of adverse outcomes resulting from such examinations to determine the adequacy of our provision for income taxes.</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Although we currently do not have a valuation allowance, we may in the future be required to establish one. We will continue to assess the need for a valuation allowance on the deferred tax asset by evaluating both positive and negative evidence that may exist.</w:t>
      </w:r>
    </w:p>
    <w:p>
      <w:pPr>
        <w:spacing w:after="0" w:line="170"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In addition, we hold a significant portion of our cash and investments outside of the United States. Potential legislation could result in our transferring this cash and investments back to the United States, and potentially incurring an additional tax obligation.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2" w:right="25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in a given jurisdiction differs from our estimate, our actual tax rate could be materially different than forecasted, which could have a material impact on our results of business, financial condition and results of operations.</w:t>
      </w:r>
    </w:p>
    <w:p>
      <w:pPr>
        <w:spacing w:after="0" w:line="16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7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addition, we are subject to examination of our income tax returns by the IRS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order to remain competitive, we may seek to acquire additional businesses, products, or technologies and intellectual property, such as patents. For example, we closed our acquisition of Meru in the third quarter of 2015. For any past acquisition or possible future acquisition, we may not be successful in negotiating the terms of the acquisition, financing the acquisition, or effectively integrating the acquired business, product, technology or intellectual property into our existing business and operations. We may have difficulty incorporating acquired technologies, intellectual property or products with our existing product lines, integrating reporting systems and procedures, and maintaining uniform standards, controls, procedures and policies. For example, we may experience difficulties integrating an acquired company’s ERP system, sales and support processes and systems, and other processes and systems with our current systems and processes.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including our acquisition of Meru, may be dilutive to revenue growth and earnings and may not result in any synergies or other benefits we had expected to achieve, which could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intellectual property could significantly divert management time and resources.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Our products are very complex and, despite testing prior to their release, have contained and may contain undetected defects or errors, especially when first introduced or when new versions are released.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Although we generally have limitation of liability provisions in our standard terms and conditions of sale, they may not fully or effectively protect us from claims as a result of federal, state or local laws or ordinances or unfavorable judicial decisions in the United States or other countries, and in some circumstances we may be required to indemnify a customer in full, without a limitation on liability, for certain liabilities, including potential liabilities that are not contractually limited. The sale and support of our products also entail the risk of product liability claims. We maintain insurance to protect against certain claims associated with the use of our products, but our insurance coverage may not cover such claim at all or may not adequately cover any claim asserted against us,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civil unrest, labor disruption, and terrorism.</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 significant natural disaster, such as an earthquake, fire, power outage, flood, or other catastrophic event could have a material adverse impact on our business, operating results and financial condition. Our corporate headquarters are located in the San Francisco Bay Area, a region known for seismic activity, and our research and development and data office center in Vancouver, Canada is subject to the risk of flooding. In addition, natural disasters could affect our manufacturing vendors, suppliers or logistics providers’ ability to perform services such as obtaining product components and manufacturing products on a timely basis and assisting with shipments on a timely basis.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civil unrest, labor disruptions, acts of terrorism and other geo-political unrest could cause disruptions in our business or the business of our manufacturers,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delays or cancellations of customer orders, or in the delay of the manufacture, deployment or shipment of our products, our business, financial condition and results of operations would be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2" w:right="25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by developing and releasing and making available on a timely basis new products and services or enhancements that can respond adequately to new security threats, our competitive position and business prospects will be harmed.</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18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6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spend substantial amounts of time and money to research and develop new products and enhanced versions of our existing products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easing of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Sales of most of our products depend on increased demand for incorporating broad security functionality in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enterprise,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48"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 market for network security products is intensely competitive, and we expect competition to intensify in the future. Our competitors include companies such as Blue Coat, Check Point, Cisco, Dell/SonicWall, F5 Networks, FireEye, Intel/McAfee, Juniper, Palo Alto Networks and Sophos.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addition, some of our larger competitors have substantially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2" w:right="25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competitors and potential competitors may also be able to develop products or services that are equal or superior to ours, achieve greater market acceptance of their products and services, and increase sales by utilizing different distribution channels than we do. Our current and potential competitors may also establish cooperative relationships among themselves or with third parties that may further enhance their resources. In addition, current or potential competitors may be acquired by third parties with greater available resources (such as Cisco’s acquisition of SourceFire, Juniper’s acquisition of NetScreen Technologies Inc., Intel’s acquisition of McAfee, Check Point’s acquisition of Nokia Corporations’ security appliance business and Dell’s acquisition of SonicWALL),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39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Large, well-established providers of networking equipment such as Cisco, F5 Networks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assure you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products contain software modules licensed to us by third-party authors under “open source” licenses, including the GNU Public License, the GNU Lesser Public License (LGPL), the BSD License, the Apache License the MIT X License and the Mozilla Public License.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Patent and other intellectual property disputes are common in the network security industry. Third parties are currently asserting, have asserted and may in the future assert claims of infringement of intellectual property rights against us. They have also asserted such claims against our end-customers or channel partners whom we may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7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66"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2" w:right="25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173" w:lineRule="exact"/>
        <w:rPr>
          <w:sz w:val="20"/>
          <w:szCs w:val="20"/>
          <w:color w:val="auto"/>
        </w:rPr>
      </w:pPr>
    </w:p>
    <w:p>
      <w:pPr>
        <w:jc w:val="both"/>
        <w:ind w:right="180" w:firstLine="648"/>
        <w:spacing w:after="0" w:line="302" w:lineRule="auto"/>
        <w:rPr>
          <w:sz w:val="20"/>
          <w:szCs w:val="20"/>
          <w:color w:val="auto"/>
        </w:rPr>
      </w:pPr>
      <w:r>
        <w:rPr>
          <w:rFonts w:ascii="Arial" w:cs="Arial" w:eastAsia="Arial" w:hAnsi="Arial"/>
          <w:sz w:val="16"/>
          <w:szCs w:val="16"/>
          <w:color w:val="auto"/>
        </w:rPr>
        <w:t>We have several on-going patent lawsuits and several non-practicing entity patent holding companies have sent us letters proposing that we license certain of their patents.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Sarbanes-Oxley Act of 2002, the Dodd-Frank Wall Street Reform and Consumer Protection Act of 2010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The Sarbanes-Oxley Act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2015, our internal controls over financial reporting were effective, we cannot predict the outcome of our testing in 2016 or future periods. We may incur additional expenses and commitment of management’s time in connection with further evaluations, both of which could materially increase our operating expenses and accordingly reduce our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 change in accounting standards or practices, and varying interpretations of existing accounting pronouncements, such as changes to standards related to revenue recognition (which are effective for us beginning on January 1, 2018), the increased use of fair value measure, and financial instruments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would have an adverse effect on our business and our ability to meet our reporting obligations.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 us downgrades our stock or publishes inaccurate or unfavorable research about our business, our stock price could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market price of our common stock may be subject to wide fluctuations in response to, among other things, the risk factors described in this periodic report, news about Fortinet and our financial results, news about our competitors and their results, and other factors such as rumors or fluctuations in the valuation of companies perceived by investors to be comparable to us, or announcements regarding any stock repurchase programs and the timing and amount of shares we purchase under such programs. For example, during the three months ended March 31, 2016, the closing price of our common stock ranged from $23.83 to $30.63.</w:t>
      </w:r>
    </w:p>
    <w:p>
      <w:pPr>
        <w:spacing w:after="0" w:line="188" w:lineRule="exact"/>
        <w:rPr>
          <w:sz w:val="20"/>
          <w:szCs w:val="20"/>
          <w:color w:val="auto"/>
        </w:rPr>
      </w:pPr>
    </w:p>
    <w:p>
      <w:pPr>
        <w:ind w:firstLine="531"/>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providing for a classified board of directors whose members serve staggered three-year terms;</w:t>
      </w:r>
    </w:p>
    <w:p>
      <w:pPr>
        <w:spacing w:after="0" w:line="225" w:lineRule="exact"/>
        <w:rPr>
          <w:rFonts w:ascii="Arial" w:cs="Arial" w:eastAsia="Arial" w:hAnsi="Arial"/>
          <w:sz w:val="18"/>
          <w:szCs w:val="18"/>
          <w:color w:val="auto"/>
        </w:rPr>
      </w:pPr>
    </w:p>
    <w:p>
      <w:pPr>
        <w:ind w:left="1300" w:right="52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122" w:right="4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provides information with respect to the shares of common stock we repurchased during the three months ended March 31, 2016 (in thousands, except share and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Total Number of Shares</w:t>
            </w:r>
          </w:p>
        </w:tc>
        <w:tc>
          <w:tcPr>
            <w:tcW w:w="140" w:type="dxa"/>
            <w:vAlign w:val="bottom"/>
          </w:tcPr>
          <w:p>
            <w:pPr>
              <w:spacing w:after="0"/>
              <w:rPr>
                <w:sz w:val="14"/>
                <w:szCs w:val="14"/>
                <w:color w:val="auto"/>
              </w:rPr>
            </w:pPr>
          </w:p>
        </w:tc>
        <w:tc>
          <w:tcPr>
            <w:tcW w:w="192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 Number of Shares</w:t>
            </w:r>
          </w:p>
        </w:tc>
        <w:tc>
          <w:tcPr>
            <w:tcW w:w="11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Average Price</w:t>
            </w: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2060" w:type="dxa"/>
            <w:vAlign w:val="bottom"/>
            <w:gridSpan w:val="2"/>
          </w:tcPr>
          <w:p>
            <w:pPr>
              <w:jc w:val="right"/>
              <w:ind w:right="19"/>
              <w:spacing w:after="0" w:line="149" w:lineRule="exact"/>
              <w:rPr>
                <w:sz w:val="20"/>
                <w:szCs w:val="20"/>
                <w:color w:val="auto"/>
              </w:rPr>
            </w:pPr>
            <w:r>
              <w:rPr>
                <w:rFonts w:ascii="Arial" w:cs="Arial" w:eastAsia="Arial" w:hAnsi="Arial"/>
                <w:sz w:val="14"/>
                <w:szCs w:val="14"/>
                <w:b w:val="1"/>
                <w:bCs w:val="1"/>
                <w:color w:val="auto"/>
                <w:w w:val="97"/>
              </w:rPr>
              <w:t>Purchased Under the Plans or</w:t>
            </w:r>
          </w:p>
        </w:tc>
        <w:tc>
          <w:tcPr>
            <w:tcW w:w="0" w:type="dxa"/>
            <w:vAlign w:val="bottom"/>
          </w:tcPr>
          <w:p>
            <w:pPr>
              <w:spacing w:after="0"/>
              <w:rPr>
                <w:sz w:val="1"/>
                <w:szCs w:val="1"/>
                <w:color w:val="auto"/>
              </w:rPr>
            </w:pPr>
          </w:p>
        </w:tc>
      </w:tr>
      <w:tr>
        <w:trPr>
          <w:trHeight w:val="81"/>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2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Announced Plan or Program</w:t>
            </w:r>
          </w:p>
        </w:tc>
        <w:tc>
          <w:tcPr>
            <w:tcW w:w="140" w:type="dxa"/>
            <w:vAlign w:val="bottom"/>
          </w:tcPr>
          <w:p>
            <w:pPr>
              <w:spacing w:after="0"/>
              <w:rPr>
                <w:sz w:val="7"/>
                <w:szCs w:val="7"/>
                <w:color w:val="auto"/>
              </w:rPr>
            </w:pPr>
          </w:p>
        </w:tc>
        <w:tc>
          <w:tcPr>
            <w:tcW w:w="192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05"/>
        </w:trPr>
        <w:tc>
          <w:tcPr>
            <w:tcW w:w="378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9"/>
                <w:szCs w:val="9"/>
                <w:color w:val="auto"/>
              </w:rPr>
            </w:pPr>
          </w:p>
        </w:tc>
        <w:tc>
          <w:tcPr>
            <w:tcW w:w="2060" w:type="dxa"/>
            <w:vAlign w:val="bottom"/>
            <w:vMerge w:val="restart"/>
          </w:tcPr>
          <w:p>
            <w:pPr>
              <w:jc w:val="right"/>
              <w:ind w:right="617"/>
              <w:spacing w:after="0"/>
              <w:rPr>
                <w:sz w:val="20"/>
                <w:szCs w:val="20"/>
                <w:color w:val="auto"/>
              </w:rPr>
            </w:pPr>
            <w:r>
              <w:rPr>
                <w:rFonts w:ascii="Arial" w:cs="Arial" w:eastAsia="Arial" w:hAnsi="Arial"/>
                <w:sz w:val="14"/>
                <w:szCs w:val="14"/>
                <w:b w:val="1"/>
                <w:bCs w:val="1"/>
                <w:color w:val="auto"/>
              </w:rPr>
              <w:t>Purchased</w:t>
            </w:r>
          </w:p>
        </w:tc>
        <w:tc>
          <w:tcPr>
            <w:tcW w:w="120" w:type="dxa"/>
            <w:vAlign w:val="bottom"/>
            <w:vMerge w:val="restart"/>
          </w:tcPr>
          <w:p>
            <w:pPr>
              <w:spacing w:after="0"/>
              <w:rPr>
                <w:sz w:val="9"/>
                <w:szCs w:val="9"/>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Paid per Share</w:t>
            </w:r>
          </w:p>
        </w:tc>
        <w:tc>
          <w:tcPr>
            <w:tcW w:w="100" w:type="dxa"/>
            <w:vAlign w:val="bottom"/>
            <w:vMerge w:val="restart"/>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7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20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04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 January 31, 2016</w:t>
            </w:r>
          </w:p>
        </w:tc>
        <w:tc>
          <w:tcPr>
            <w:tcW w:w="2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February 1 to February 29, 2016</w:t>
            </w:r>
          </w:p>
        </w:tc>
        <w:tc>
          <w:tcPr>
            <w:tcW w:w="2060" w:type="dxa"/>
            <w:vAlign w:val="bottom"/>
          </w:tcPr>
          <w:p>
            <w:pPr>
              <w:jc w:val="right"/>
              <w:ind w:right="37"/>
              <w:spacing w:after="0"/>
              <w:rPr>
                <w:sz w:val="20"/>
                <w:szCs w:val="20"/>
                <w:color w:val="auto"/>
              </w:rPr>
            </w:pPr>
            <w:r>
              <w:rPr>
                <w:rFonts w:ascii="Arial" w:cs="Arial" w:eastAsia="Arial" w:hAnsi="Arial"/>
                <w:sz w:val="18"/>
                <w:szCs w:val="18"/>
                <w:color w:val="auto"/>
              </w:rPr>
              <w:t>2,002,020</w:t>
            </w:r>
          </w:p>
        </w:tc>
        <w:tc>
          <w:tcPr>
            <w:tcW w:w="120" w:type="dxa"/>
            <w:vAlign w:val="bottom"/>
          </w:tcPr>
          <w:p>
            <w:pPr>
              <w:spacing w:after="0"/>
              <w:rPr>
                <w:sz w:val="21"/>
                <w:szCs w:val="21"/>
                <w:color w:val="auto"/>
              </w:rPr>
            </w:pPr>
          </w:p>
        </w:tc>
        <w:tc>
          <w:tcPr>
            <w:tcW w:w="320" w:type="dxa"/>
            <w:vAlign w:val="bottom"/>
          </w:tcPr>
          <w:p>
            <w:pPr>
              <w:jc w:val="right"/>
              <w:ind w:right="117"/>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21"/>
                <w:szCs w:val="21"/>
                <w:color w:val="auto"/>
              </w:rPr>
            </w:pPr>
          </w:p>
        </w:tc>
        <w:tc>
          <w:tcPr>
            <w:tcW w:w="2040" w:type="dxa"/>
            <w:vAlign w:val="bottom"/>
          </w:tcPr>
          <w:p>
            <w:pPr>
              <w:jc w:val="right"/>
              <w:ind w:right="19"/>
              <w:spacing w:after="0"/>
              <w:rPr>
                <w:sz w:val="20"/>
                <w:szCs w:val="20"/>
                <w:color w:val="auto"/>
              </w:rPr>
            </w:pPr>
            <w:r>
              <w:rPr>
                <w:rFonts w:ascii="Arial" w:cs="Arial" w:eastAsia="Arial" w:hAnsi="Arial"/>
                <w:sz w:val="18"/>
                <w:szCs w:val="18"/>
                <w:color w:val="auto"/>
              </w:rPr>
              <w:t>2,002,020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9"/>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March 1 to March 31, 2016</w:t>
            </w:r>
          </w:p>
        </w:tc>
        <w:tc>
          <w:tcPr>
            <w:tcW w:w="2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7"/>
        </w:trPr>
        <w:tc>
          <w:tcPr>
            <w:tcW w:w="3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exhibits listed in the accompanying Exhibit Index are filed or incorporated by reference as part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2016</w:t>
      </w:r>
    </w:p>
    <w:p>
      <w:pPr>
        <w:spacing w:after="0" w:line="35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6720" w:val="left"/>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Del Matto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40"/>
        <w:spacing w:after="0"/>
        <w:rPr>
          <w:sz w:val="20"/>
          <w:szCs w:val="20"/>
          <w:color w:val="auto"/>
        </w:rPr>
      </w:pPr>
      <w:r>
        <w:rPr>
          <w:rFonts w:ascii="Arial" w:cs="Arial" w:eastAsia="Arial" w:hAnsi="Arial"/>
          <w:sz w:val="16"/>
          <w:szCs w:val="16"/>
          <w:b w:val="1"/>
          <w:bCs w:val="1"/>
          <w:color w:val="auto"/>
        </w:rPr>
        <w:t>Andrew Del Matto, Chief Financial Officer</w:t>
      </w:r>
    </w:p>
    <w:p>
      <w:pPr>
        <w:spacing w:after="0" w:line="154" w:lineRule="exact"/>
        <w:rPr>
          <w:sz w:val="20"/>
          <w:szCs w:val="20"/>
          <w:color w:val="auto"/>
        </w:rPr>
      </w:pPr>
    </w:p>
    <w:p>
      <w:pPr>
        <w:jc w:val="center"/>
        <w:ind w:left="4140"/>
        <w:spacing w:after="0"/>
        <w:rPr>
          <w:sz w:val="20"/>
          <w:szCs w:val="20"/>
          <w:color w:val="auto"/>
        </w:rPr>
      </w:pPr>
      <w:r>
        <w:rPr>
          <w:rFonts w:ascii="Arial" w:cs="Arial" w:eastAsia="Arial" w:hAnsi="Arial"/>
          <w:sz w:val="16"/>
          <w:szCs w:val="16"/>
          <w:b w:val="1"/>
          <w:bCs w:val="1"/>
          <w:color w:val="auto"/>
        </w:rPr>
        <w:t>(Duly Authorized Officer and Principal Financial Officer)</w:t>
      </w:r>
    </w:p>
    <w:p>
      <w:pPr>
        <w:spacing w:after="0" w:line="200" w:lineRule="exact"/>
        <w:rPr>
          <w:sz w:val="20"/>
          <w:szCs w:val="20"/>
          <w:color w:val="auto"/>
        </w:rPr>
      </w:pPr>
    </w:p>
    <w:p>
      <w:pPr>
        <w:spacing w:after="0" w:line="30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7120" w:val="left"/>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40"/>
        <w:spacing w:after="0"/>
        <w:rPr>
          <w:sz w:val="20"/>
          <w:szCs w:val="20"/>
          <w:color w:val="auto"/>
        </w:rPr>
      </w:pPr>
      <w:r>
        <w:rPr>
          <w:rFonts w:ascii="Arial" w:cs="Arial" w:eastAsia="Arial" w:hAnsi="Arial"/>
          <w:sz w:val="16"/>
          <w:szCs w:val="16"/>
          <w:b w:val="1"/>
          <w:bCs w:val="1"/>
          <w:color w:val="auto"/>
        </w:rPr>
        <w:t>Keith Jensen, Chief Accounting Officer</w:t>
      </w:r>
    </w:p>
    <w:p>
      <w:pPr>
        <w:spacing w:after="0" w:line="154" w:lineRule="exact"/>
        <w:rPr>
          <w:sz w:val="20"/>
          <w:szCs w:val="20"/>
          <w:color w:val="auto"/>
        </w:rPr>
      </w:pPr>
    </w:p>
    <w:p>
      <w:pPr>
        <w:jc w:val="center"/>
        <w:ind w:left="4140"/>
        <w:spacing w:after="0"/>
        <w:rPr>
          <w:sz w:val="20"/>
          <w:szCs w:val="20"/>
          <w:color w:val="auto"/>
        </w:rPr>
      </w:pPr>
      <w:r>
        <w:rPr>
          <w:rFonts w:ascii="Arial" w:cs="Arial" w:eastAsia="Arial" w:hAnsi="Arial"/>
          <w:sz w:val="16"/>
          <w:szCs w:val="16"/>
          <w:b w:val="1"/>
          <w:b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40"/>
          </w:cols>
          <w:pgMar w:left="240" w:top="122" w:right="71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260"/>
          </w:cols>
          <w:pgMar w:left="240" w:top="122" w:right="399" w:bottom="1440" w:gutter="0" w:footer="0" w:header="0"/>
        </w:sectPr>
      </w:pP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388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3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29"/>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10.1</w:t>
            </w:r>
            <w:r>
              <w:rPr>
                <w:rFonts w:ascii="Arial" w:cs="Arial" w:eastAsia="Arial" w:hAnsi="Arial"/>
                <w:sz w:val="8"/>
                <w:szCs w:val="8"/>
                <w:color w:val="auto"/>
              </w:rPr>
              <w:t>†</w:t>
            </w:r>
          </w:p>
        </w:tc>
        <w:tc>
          <w:tcPr>
            <w:tcW w:w="3880" w:type="dxa"/>
            <w:vAlign w:val="bottom"/>
          </w:tcPr>
          <w:p>
            <w:pPr>
              <w:ind w:left="20"/>
              <w:spacing w:after="0"/>
              <w:rPr>
                <w:sz w:val="20"/>
                <w:szCs w:val="20"/>
                <w:color w:val="auto"/>
              </w:rPr>
            </w:pPr>
            <w:r>
              <w:rPr>
                <w:rFonts w:ascii="Arial" w:cs="Arial" w:eastAsia="Arial" w:hAnsi="Arial"/>
                <w:sz w:val="14"/>
                <w:szCs w:val="14"/>
                <w:color w:val="auto"/>
                <w:w w:val="92"/>
              </w:rPr>
              <w:t>Amended and Restated Change of Control Agreement, dated as of</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80" w:type="dxa"/>
            <w:vAlign w:val="bottom"/>
          </w:tcPr>
          <w:p>
            <w:pPr>
              <w:ind w:left="20"/>
              <w:spacing w:after="0"/>
              <w:rPr>
                <w:sz w:val="20"/>
                <w:szCs w:val="20"/>
                <w:color w:val="auto"/>
              </w:rPr>
            </w:pPr>
            <w:r>
              <w:rPr>
                <w:rFonts w:ascii="Arial" w:cs="Arial" w:eastAsia="Arial" w:hAnsi="Arial"/>
                <w:sz w:val="14"/>
                <w:szCs w:val="14"/>
                <w:color w:val="auto"/>
              </w:rPr>
              <w:t>February 4, 2016, between the Company and Ken Xie</w:t>
            </w:r>
          </w:p>
        </w:tc>
        <w:tc>
          <w:tcPr>
            <w:tcW w:w="0" w:type="dxa"/>
            <w:vAlign w:val="bottom"/>
          </w:tcPr>
          <w:p>
            <w:pPr>
              <w:spacing w:after="0"/>
              <w:rPr>
                <w:sz w:val="1"/>
                <w:szCs w:val="1"/>
                <w:color w:val="auto"/>
              </w:rPr>
            </w:pPr>
          </w:p>
        </w:tc>
      </w:tr>
      <w:tr>
        <w:trPr>
          <w:trHeight w:val="344"/>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10.2</w:t>
            </w:r>
            <w:r>
              <w:rPr>
                <w:rFonts w:ascii="Arial" w:cs="Arial" w:eastAsia="Arial" w:hAnsi="Arial"/>
                <w:sz w:val="8"/>
                <w:szCs w:val="8"/>
                <w:color w:val="auto"/>
              </w:rPr>
              <w:t>†</w:t>
            </w:r>
          </w:p>
        </w:tc>
        <w:tc>
          <w:tcPr>
            <w:tcW w:w="3880" w:type="dxa"/>
            <w:vAlign w:val="bottom"/>
          </w:tcPr>
          <w:p>
            <w:pPr>
              <w:ind w:left="20"/>
              <w:spacing w:after="0"/>
              <w:rPr>
                <w:sz w:val="20"/>
                <w:szCs w:val="20"/>
                <w:color w:val="auto"/>
              </w:rPr>
            </w:pPr>
            <w:r>
              <w:rPr>
                <w:rFonts w:ascii="Arial" w:cs="Arial" w:eastAsia="Arial" w:hAnsi="Arial"/>
                <w:sz w:val="14"/>
                <w:szCs w:val="14"/>
                <w:color w:val="auto"/>
                <w:w w:val="92"/>
              </w:rPr>
              <w:t>Amended and Restated Change of Control Agreement, dated as of</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80" w:type="dxa"/>
            <w:vAlign w:val="bottom"/>
          </w:tcPr>
          <w:p>
            <w:pPr>
              <w:ind w:left="20"/>
              <w:spacing w:after="0"/>
              <w:rPr>
                <w:sz w:val="20"/>
                <w:szCs w:val="20"/>
                <w:color w:val="auto"/>
              </w:rPr>
            </w:pPr>
            <w:r>
              <w:rPr>
                <w:rFonts w:ascii="Arial" w:cs="Arial" w:eastAsia="Arial" w:hAnsi="Arial"/>
                <w:sz w:val="14"/>
                <w:szCs w:val="14"/>
                <w:color w:val="auto"/>
              </w:rPr>
              <w:t>February 4, 2016, between the Company and Michael Xie</w:t>
            </w:r>
          </w:p>
        </w:tc>
        <w:tc>
          <w:tcPr>
            <w:tcW w:w="0" w:type="dxa"/>
            <w:vAlign w:val="bottom"/>
          </w:tcPr>
          <w:p>
            <w:pPr>
              <w:spacing w:after="0"/>
              <w:rPr>
                <w:sz w:val="1"/>
                <w:szCs w:val="1"/>
                <w:color w:val="auto"/>
              </w:rPr>
            </w:pPr>
          </w:p>
        </w:tc>
      </w:tr>
      <w:tr>
        <w:trPr>
          <w:trHeight w:val="344"/>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10.3</w:t>
            </w:r>
            <w:r>
              <w:rPr>
                <w:rFonts w:ascii="Arial" w:cs="Arial" w:eastAsia="Arial" w:hAnsi="Arial"/>
                <w:sz w:val="8"/>
                <w:szCs w:val="8"/>
                <w:color w:val="auto"/>
              </w:rPr>
              <w:t>†</w:t>
            </w:r>
          </w:p>
        </w:tc>
        <w:tc>
          <w:tcPr>
            <w:tcW w:w="3880" w:type="dxa"/>
            <w:vAlign w:val="bottom"/>
          </w:tcPr>
          <w:p>
            <w:pPr>
              <w:ind w:left="20"/>
              <w:spacing w:after="0"/>
              <w:rPr>
                <w:sz w:val="20"/>
                <w:szCs w:val="20"/>
                <w:color w:val="auto"/>
              </w:rPr>
            </w:pPr>
            <w:r>
              <w:rPr>
                <w:rFonts w:ascii="Arial" w:cs="Arial" w:eastAsia="Arial" w:hAnsi="Arial"/>
                <w:sz w:val="14"/>
                <w:szCs w:val="14"/>
                <w:color w:val="auto"/>
                <w:w w:val="92"/>
              </w:rPr>
              <w:t>Amended and Restated Change of Control Agreement, dated as of</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80" w:type="dxa"/>
            <w:vAlign w:val="bottom"/>
          </w:tcPr>
          <w:p>
            <w:pPr>
              <w:ind w:left="20"/>
              <w:spacing w:after="0"/>
              <w:rPr>
                <w:sz w:val="20"/>
                <w:szCs w:val="20"/>
                <w:color w:val="auto"/>
              </w:rPr>
            </w:pPr>
            <w:r>
              <w:rPr>
                <w:rFonts w:ascii="Arial" w:cs="Arial" w:eastAsia="Arial" w:hAnsi="Arial"/>
                <w:sz w:val="14"/>
                <w:szCs w:val="14"/>
                <w:color w:val="auto"/>
              </w:rPr>
              <w:t>February 4, 2016, between the Company and John Whittle</w:t>
            </w:r>
          </w:p>
        </w:tc>
        <w:tc>
          <w:tcPr>
            <w:tcW w:w="0" w:type="dxa"/>
            <w:vAlign w:val="bottom"/>
          </w:tcPr>
          <w:p>
            <w:pPr>
              <w:spacing w:after="0"/>
              <w:rPr>
                <w:sz w:val="1"/>
                <w:szCs w:val="1"/>
                <w:color w:val="auto"/>
              </w:rPr>
            </w:pPr>
          </w:p>
        </w:tc>
      </w:tr>
      <w:tr>
        <w:trPr>
          <w:trHeight w:val="344"/>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10.4</w:t>
            </w:r>
            <w:r>
              <w:rPr>
                <w:rFonts w:ascii="Arial" w:cs="Arial" w:eastAsia="Arial" w:hAnsi="Arial"/>
                <w:sz w:val="8"/>
                <w:szCs w:val="8"/>
                <w:color w:val="auto"/>
              </w:rPr>
              <w:t>†</w:t>
            </w:r>
          </w:p>
        </w:tc>
        <w:tc>
          <w:tcPr>
            <w:tcW w:w="3880" w:type="dxa"/>
            <w:vAlign w:val="bottom"/>
          </w:tcPr>
          <w:p>
            <w:pPr>
              <w:ind w:left="20"/>
              <w:spacing w:after="0"/>
              <w:rPr>
                <w:sz w:val="20"/>
                <w:szCs w:val="20"/>
                <w:color w:val="auto"/>
              </w:rPr>
            </w:pPr>
            <w:r>
              <w:rPr>
                <w:rFonts w:ascii="Arial" w:cs="Arial" w:eastAsia="Arial" w:hAnsi="Arial"/>
                <w:sz w:val="14"/>
                <w:szCs w:val="14"/>
                <w:color w:val="auto"/>
                <w:w w:val="92"/>
              </w:rPr>
              <w:t>Amended and Restated Change of Control Agreement, dated as of</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80" w:type="dxa"/>
            <w:vAlign w:val="bottom"/>
          </w:tcPr>
          <w:p>
            <w:pPr>
              <w:ind w:left="20"/>
              <w:spacing w:after="0"/>
              <w:rPr>
                <w:sz w:val="20"/>
                <w:szCs w:val="20"/>
                <w:color w:val="auto"/>
              </w:rPr>
            </w:pPr>
            <w:r>
              <w:rPr>
                <w:rFonts w:ascii="Arial" w:cs="Arial" w:eastAsia="Arial" w:hAnsi="Arial"/>
                <w:sz w:val="14"/>
                <w:szCs w:val="14"/>
                <w:color w:val="auto"/>
                <w:w w:val="96"/>
              </w:rPr>
              <w:t>February 4, 2016, between the Company and Andrew Del Matto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center"/>
        <w:ind w:left="-559"/>
        <w:spacing w:after="0"/>
        <w:rPr>
          <w:sz w:val="20"/>
          <w:szCs w:val="20"/>
          <w:color w:val="auto"/>
        </w:rPr>
      </w:pPr>
      <w:r>
        <w:rPr>
          <w:rFonts w:ascii="Arial" w:cs="Arial" w:eastAsia="Arial" w:hAnsi="Arial"/>
          <w:sz w:val="13"/>
          <w:szCs w:val="13"/>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31115</wp:posOffset>
            </wp:positionV>
            <wp:extent cx="24612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95" w:lineRule="exact"/>
        <w:rPr>
          <w:sz w:val="20"/>
          <w:szCs w:val="20"/>
          <w:color w:val="auto"/>
        </w:rPr>
      </w:pPr>
    </w:p>
    <w:p>
      <w:pPr>
        <w:jc w:val="center"/>
        <w:ind w:left="-559"/>
        <w:spacing w:after="0"/>
        <w:rPr>
          <w:sz w:val="20"/>
          <w:szCs w:val="20"/>
          <w:color w:val="auto"/>
        </w:rPr>
      </w:pPr>
      <w:r>
        <w:rPr>
          <w:rFonts w:ascii="Arial" w:cs="Arial" w:eastAsia="Arial" w:hAnsi="Arial"/>
          <w:sz w:val="14"/>
          <w:szCs w:val="14"/>
          <w:b w:val="1"/>
          <w:bCs w:val="1"/>
          <w:color w:val="auto"/>
        </w:rPr>
        <w:t>Form</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Annual Report on Form 10-K (File No. 011-34511)</w:t>
      </w:r>
    </w:p>
    <w:p>
      <w:pPr>
        <w:spacing w:after="0" w:line="377" w:lineRule="exact"/>
        <w:rPr>
          <w:sz w:val="20"/>
          <w:szCs w:val="20"/>
          <w:color w:val="auto"/>
        </w:rPr>
      </w:pPr>
    </w:p>
    <w:p>
      <w:pPr>
        <w:spacing w:after="0"/>
        <w:rPr>
          <w:sz w:val="20"/>
          <w:szCs w:val="20"/>
          <w:color w:val="auto"/>
        </w:rPr>
      </w:pPr>
      <w:r>
        <w:rPr>
          <w:rFonts w:ascii="Arial" w:cs="Arial" w:eastAsia="Arial" w:hAnsi="Arial"/>
          <w:sz w:val="13"/>
          <w:szCs w:val="13"/>
          <w:color w:val="auto"/>
        </w:rPr>
        <w:t>Annual Report on Form 10-K (File No. 011-34511)</w:t>
      </w:r>
    </w:p>
    <w:p>
      <w:pPr>
        <w:spacing w:after="0" w:line="377" w:lineRule="exact"/>
        <w:rPr>
          <w:sz w:val="20"/>
          <w:szCs w:val="20"/>
          <w:color w:val="auto"/>
        </w:rPr>
      </w:pPr>
    </w:p>
    <w:p>
      <w:pPr>
        <w:spacing w:after="0"/>
        <w:rPr>
          <w:sz w:val="20"/>
          <w:szCs w:val="20"/>
          <w:color w:val="auto"/>
        </w:rPr>
      </w:pPr>
      <w:r>
        <w:rPr>
          <w:rFonts w:ascii="Arial" w:cs="Arial" w:eastAsia="Arial" w:hAnsi="Arial"/>
          <w:sz w:val="13"/>
          <w:szCs w:val="13"/>
          <w:color w:val="auto"/>
        </w:rPr>
        <w:t>Annual Report on Form 10-K (File No. 011-34511)</w:t>
      </w:r>
    </w:p>
    <w:p>
      <w:pPr>
        <w:spacing w:after="0" w:line="377" w:lineRule="exact"/>
        <w:rPr>
          <w:sz w:val="20"/>
          <w:szCs w:val="20"/>
          <w:color w:val="auto"/>
        </w:rPr>
      </w:pPr>
    </w:p>
    <w:p>
      <w:pPr>
        <w:spacing w:after="0"/>
        <w:rPr>
          <w:sz w:val="20"/>
          <w:szCs w:val="20"/>
          <w:color w:val="auto"/>
        </w:rPr>
      </w:pPr>
      <w:r>
        <w:rPr>
          <w:rFonts w:ascii="Arial" w:cs="Arial" w:eastAsia="Arial" w:hAnsi="Arial"/>
          <w:sz w:val="13"/>
          <w:szCs w:val="13"/>
          <w:color w:val="auto"/>
        </w:rPr>
        <w:t>Annual Report on Form 10-K (File No. 011-34511)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Date</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86"/>
        </w:trPr>
        <w:tc>
          <w:tcPr>
            <w:tcW w:w="1320" w:type="dxa"/>
            <w:vAlign w:val="bottom"/>
            <w:vMerge w:val="continue"/>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Arial" w:cs="Arial" w:eastAsia="Arial" w:hAnsi="Arial"/>
                <w:sz w:val="14"/>
                <w:szCs w:val="14"/>
                <w:color w:val="auto"/>
              </w:rPr>
              <w:t>February 26, 2016</w:t>
            </w:r>
          </w:p>
        </w:tc>
        <w:tc>
          <w:tcPr>
            <w:tcW w:w="940" w:type="dxa"/>
            <w:vAlign w:val="bottom"/>
          </w:tcPr>
          <w:p>
            <w:pPr>
              <w:jc w:val="right"/>
              <w:ind w:right="288"/>
              <w:spacing w:after="0"/>
              <w:rPr>
                <w:sz w:val="20"/>
                <w:szCs w:val="20"/>
                <w:color w:val="auto"/>
              </w:rPr>
            </w:pPr>
            <w:r>
              <w:rPr>
                <w:rFonts w:ascii="Arial" w:cs="Arial" w:eastAsia="Arial" w:hAnsi="Arial"/>
                <w:sz w:val="14"/>
                <w:szCs w:val="14"/>
                <w:color w:val="auto"/>
              </w:rPr>
              <w:t>10.15</w:t>
            </w:r>
          </w:p>
        </w:tc>
        <w:tc>
          <w:tcPr>
            <w:tcW w:w="0" w:type="dxa"/>
            <w:vAlign w:val="bottom"/>
          </w:tcPr>
          <w:p>
            <w:pPr>
              <w:spacing w:after="0"/>
              <w:rPr>
                <w:sz w:val="1"/>
                <w:szCs w:val="1"/>
                <w:color w:val="auto"/>
              </w:rPr>
            </w:pPr>
          </w:p>
        </w:tc>
      </w:tr>
      <w:tr>
        <w:trPr>
          <w:trHeight w:val="527"/>
        </w:trPr>
        <w:tc>
          <w:tcPr>
            <w:tcW w:w="1320" w:type="dxa"/>
            <w:vAlign w:val="bottom"/>
          </w:tcPr>
          <w:p>
            <w:pPr>
              <w:spacing w:after="0"/>
              <w:rPr>
                <w:sz w:val="20"/>
                <w:szCs w:val="20"/>
                <w:color w:val="auto"/>
              </w:rPr>
            </w:pPr>
            <w:r>
              <w:rPr>
                <w:rFonts w:ascii="Arial" w:cs="Arial" w:eastAsia="Arial" w:hAnsi="Arial"/>
                <w:sz w:val="14"/>
                <w:szCs w:val="14"/>
                <w:color w:val="auto"/>
              </w:rPr>
              <w:t>February 26, 2016</w:t>
            </w:r>
          </w:p>
        </w:tc>
        <w:tc>
          <w:tcPr>
            <w:tcW w:w="940" w:type="dxa"/>
            <w:vAlign w:val="bottom"/>
          </w:tcPr>
          <w:p>
            <w:pPr>
              <w:jc w:val="right"/>
              <w:ind w:right="288"/>
              <w:spacing w:after="0"/>
              <w:rPr>
                <w:sz w:val="20"/>
                <w:szCs w:val="20"/>
                <w:color w:val="auto"/>
              </w:rPr>
            </w:pPr>
            <w:r>
              <w:rPr>
                <w:rFonts w:ascii="Arial" w:cs="Arial" w:eastAsia="Arial" w:hAnsi="Arial"/>
                <w:sz w:val="14"/>
                <w:szCs w:val="14"/>
                <w:color w:val="auto"/>
              </w:rPr>
              <w:t>10.16</w:t>
            </w:r>
          </w:p>
        </w:tc>
        <w:tc>
          <w:tcPr>
            <w:tcW w:w="0" w:type="dxa"/>
            <w:vAlign w:val="bottom"/>
          </w:tcPr>
          <w:p>
            <w:pPr>
              <w:spacing w:after="0"/>
              <w:rPr>
                <w:sz w:val="1"/>
                <w:szCs w:val="1"/>
                <w:color w:val="auto"/>
              </w:rPr>
            </w:pPr>
          </w:p>
        </w:tc>
      </w:tr>
      <w:tr>
        <w:trPr>
          <w:trHeight w:val="527"/>
        </w:trPr>
        <w:tc>
          <w:tcPr>
            <w:tcW w:w="1320" w:type="dxa"/>
            <w:vAlign w:val="bottom"/>
          </w:tcPr>
          <w:p>
            <w:pPr>
              <w:spacing w:after="0"/>
              <w:rPr>
                <w:sz w:val="20"/>
                <w:szCs w:val="20"/>
                <w:color w:val="auto"/>
              </w:rPr>
            </w:pPr>
            <w:r>
              <w:rPr>
                <w:rFonts w:ascii="Arial" w:cs="Arial" w:eastAsia="Arial" w:hAnsi="Arial"/>
                <w:sz w:val="14"/>
                <w:szCs w:val="14"/>
                <w:color w:val="auto"/>
              </w:rPr>
              <w:t>February 26, 2016</w:t>
            </w:r>
          </w:p>
        </w:tc>
        <w:tc>
          <w:tcPr>
            <w:tcW w:w="940" w:type="dxa"/>
            <w:vAlign w:val="bottom"/>
          </w:tcPr>
          <w:p>
            <w:pPr>
              <w:jc w:val="right"/>
              <w:ind w:right="288"/>
              <w:spacing w:after="0"/>
              <w:rPr>
                <w:sz w:val="20"/>
                <w:szCs w:val="20"/>
                <w:color w:val="auto"/>
              </w:rPr>
            </w:pPr>
            <w:r>
              <w:rPr>
                <w:rFonts w:ascii="Arial" w:cs="Arial" w:eastAsia="Arial" w:hAnsi="Arial"/>
                <w:sz w:val="14"/>
                <w:szCs w:val="14"/>
                <w:color w:val="auto"/>
              </w:rPr>
              <w:t>10.17</w:t>
            </w:r>
          </w:p>
        </w:tc>
        <w:tc>
          <w:tcPr>
            <w:tcW w:w="0" w:type="dxa"/>
            <w:vAlign w:val="bottom"/>
          </w:tcPr>
          <w:p>
            <w:pPr>
              <w:spacing w:after="0"/>
              <w:rPr>
                <w:sz w:val="1"/>
                <w:szCs w:val="1"/>
                <w:color w:val="auto"/>
              </w:rPr>
            </w:pPr>
          </w:p>
        </w:tc>
      </w:tr>
      <w:tr>
        <w:trPr>
          <w:trHeight w:val="527"/>
        </w:trPr>
        <w:tc>
          <w:tcPr>
            <w:tcW w:w="1320" w:type="dxa"/>
            <w:vAlign w:val="bottom"/>
          </w:tcPr>
          <w:p>
            <w:pPr>
              <w:spacing w:after="0"/>
              <w:rPr>
                <w:sz w:val="20"/>
                <w:szCs w:val="20"/>
                <w:color w:val="auto"/>
              </w:rPr>
            </w:pPr>
            <w:r>
              <w:rPr>
                <w:rFonts w:ascii="Arial" w:cs="Arial" w:eastAsia="Arial" w:hAnsi="Arial"/>
                <w:sz w:val="14"/>
                <w:szCs w:val="14"/>
                <w:color w:val="auto"/>
              </w:rPr>
              <w:t>February 26, 2016</w:t>
            </w:r>
          </w:p>
        </w:tc>
        <w:tc>
          <w:tcPr>
            <w:tcW w:w="940" w:type="dxa"/>
            <w:vAlign w:val="bottom"/>
          </w:tcPr>
          <w:p>
            <w:pPr>
              <w:jc w:val="right"/>
              <w:ind w:right="288"/>
              <w:spacing w:after="0"/>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-1432560</wp:posOffset>
            </wp:positionV>
            <wp:extent cx="15779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348" w:lineRule="exact"/>
        <w:rPr>
          <w:sz w:val="20"/>
          <w:szCs w:val="20"/>
          <w:color w:val="auto"/>
        </w:rPr>
      </w:pPr>
    </w:p>
    <w:p>
      <w:pPr>
        <w:sectPr>
          <w:pgSz w:w="11900" w:h="16838" w:orient="portrait"/>
          <w:cols w:equalWidth="0" w:num="3">
            <w:col w:w="4820" w:space="160"/>
            <w:col w:w="3260" w:space="720"/>
            <w:col w:w="2300"/>
          </w:cols>
          <w:pgMar w:left="240" w:top="122" w:right="399" w:bottom="1440" w:gutter="0" w:footer="0" w:header="0"/>
          <w:type w:val="continuous"/>
        </w:sectPr>
      </w:pPr>
    </w:p>
    <w:p>
      <w:pPr>
        <w:spacing w:after="0" w:line="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4"/>
          <w:szCs w:val="14"/>
          <w:color w:val="auto"/>
        </w:rPr>
        <w:t>31.1*</w:t>
      </w:r>
      <w:r>
        <w:rPr>
          <w:sz w:val="20"/>
          <w:szCs w:val="20"/>
          <w:color w:val="auto"/>
        </w:rPr>
        <w:tab/>
      </w:r>
      <w:r>
        <w:rPr>
          <w:rFonts w:ascii="Arial" w:cs="Arial" w:eastAsia="Arial" w:hAnsi="Arial"/>
          <w:sz w:val="13"/>
          <w:szCs w:val="13"/>
          <w:color w:val="auto"/>
        </w:rPr>
        <w:t>Certification of Chief Executive Officer pursuant to Exchange Act Rules 13a-14(a) and 15d-14(a), as adopted pursuant to Section 302 of the Sarbanes-Oxley Act of 2002</w:t>
      </w:r>
    </w:p>
    <w:p>
      <w:pPr>
        <w:spacing w:after="0" w:line="23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4"/>
          <w:szCs w:val="14"/>
          <w:color w:val="auto"/>
        </w:rPr>
        <w:t>31.2*</w:t>
      </w:r>
      <w:r>
        <w:rPr>
          <w:sz w:val="20"/>
          <w:szCs w:val="20"/>
          <w:color w:val="auto"/>
        </w:rPr>
        <w:tab/>
      </w:r>
      <w:r>
        <w:rPr>
          <w:rFonts w:ascii="Arial" w:cs="Arial" w:eastAsia="Arial" w:hAnsi="Arial"/>
          <w:sz w:val="13"/>
          <w:szCs w:val="13"/>
          <w:color w:val="auto"/>
        </w:rPr>
        <w:t>Certification of Chief Financial Officer pursuant to Exchange Act Rules 13a-14(a) and 15d-14(a), as adopted pursuant to Section 302 of the Sarbanes-Oxley Act of 2002</w:t>
      </w:r>
    </w:p>
    <w:p>
      <w:pPr>
        <w:spacing w:after="0" w:line="23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4"/>
          <w:szCs w:val="14"/>
          <w:color w:val="auto"/>
        </w:rPr>
        <w:t>32.1*</w:t>
      </w:r>
      <w:r>
        <w:rPr>
          <w:sz w:val="20"/>
          <w:szCs w:val="20"/>
          <w:color w:val="auto"/>
        </w:rPr>
        <w:tab/>
      </w:r>
      <w:r>
        <w:rPr>
          <w:rFonts w:ascii="Arial" w:cs="Arial" w:eastAsia="Arial" w:hAnsi="Arial"/>
          <w:sz w:val="13"/>
          <w:szCs w:val="13"/>
          <w:color w:val="auto"/>
        </w:rPr>
        <w:t>Certifications of Chief Executive Officer and Chief Financial Officer pursuant to 18 U.S.C. Section 1350, as adopted pursuant to Section 906 of the Sarbanes-Oxley Act of 2002</w:t>
      </w:r>
    </w:p>
    <w:p>
      <w:pPr>
        <w:spacing w:after="0" w:line="23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4"/>
          <w:szCs w:val="14"/>
          <w:color w:val="auto"/>
        </w:rPr>
        <w:t>101.SCH*</w:t>
      </w:r>
      <w:r>
        <w:rPr>
          <w:sz w:val="20"/>
          <w:szCs w:val="20"/>
          <w:color w:val="auto"/>
        </w:rPr>
        <w:tab/>
      </w:r>
      <w:r>
        <w:rPr>
          <w:rFonts w:ascii="Arial" w:cs="Arial" w:eastAsia="Arial" w:hAnsi="Arial"/>
          <w:sz w:val="13"/>
          <w:szCs w:val="13"/>
          <w:color w:val="auto"/>
        </w:rPr>
        <w:t>XBRL Taxonomy Extension Schema Document</w:t>
      </w:r>
    </w:p>
    <w:p>
      <w:pPr>
        <w:spacing w:after="0" w:line="23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4"/>
          <w:szCs w:val="14"/>
          <w:color w:val="auto"/>
        </w:rPr>
        <w:t>101.CAL*</w:t>
      </w:r>
      <w:r>
        <w:rPr>
          <w:sz w:val="20"/>
          <w:szCs w:val="20"/>
          <w:color w:val="auto"/>
        </w:rPr>
        <w:tab/>
      </w:r>
      <w:r>
        <w:rPr>
          <w:rFonts w:ascii="Arial" w:cs="Arial" w:eastAsia="Arial" w:hAnsi="Arial"/>
          <w:sz w:val="13"/>
          <w:szCs w:val="13"/>
          <w:color w:val="auto"/>
        </w:rPr>
        <w:t>XBRL Taxonomy Extension Calculation Linkbase Document</w:t>
      </w:r>
    </w:p>
    <w:p>
      <w:pPr>
        <w:spacing w:after="0" w:line="23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4"/>
          <w:szCs w:val="14"/>
          <w:color w:val="auto"/>
        </w:rPr>
        <w:t>101.PRE*</w:t>
      </w:r>
      <w:r>
        <w:rPr>
          <w:sz w:val="20"/>
          <w:szCs w:val="20"/>
          <w:color w:val="auto"/>
        </w:rPr>
        <w:tab/>
      </w:r>
      <w:r>
        <w:rPr>
          <w:rFonts w:ascii="Arial" w:cs="Arial" w:eastAsia="Arial" w:hAnsi="Arial"/>
          <w:sz w:val="13"/>
          <w:szCs w:val="13"/>
          <w:color w:val="auto"/>
        </w:rPr>
        <w:t>XBRL Taxonomy Extension Presentation Linkbase Document</w:t>
      </w:r>
    </w:p>
    <w:p>
      <w:pPr>
        <w:spacing w:after="0" w:line="23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4"/>
          <w:szCs w:val="14"/>
          <w:color w:val="auto"/>
        </w:rPr>
        <w:t>101.DEF*</w:t>
      </w:r>
      <w:r>
        <w:rPr>
          <w:sz w:val="20"/>
          <w:szCs w:val="20"/>
          <w:color w:val="auto"/>
        </w:rPr>
        <w:tab/>
      </w:r>
      <w:r>
        <w:rPr>
          <w:rFonts w:ascii="Arial" w:cs="Arial" w:eastAsia="Arial" w:hAnsi="Arial"/>
          <w:sz w:val="13"/>
          <w:szCs w:val="13"/>
          <w:color w:val="auto"/>
        </w:rPr>
        <w:t>XBRL Taxonomy Extension Definition Linkbase Document</w:t>
      </w:r>
    </w:p>
    <w:p>
      <w:pPr>
        <w:spacing w:after="0" w:line="23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4"/>
          <w:szCs w:val="14"/>
          <w:color w:val="auto"/>
        </w:rPr>
        <w:t>101.LAB*</w:t>
      </w:r>
      <w:r>
        <w:rPr>
          <w:sz w:val="20"/>
          <w:szCs w:val="20"/>
          <w:color w:val="auto"/>
        </w:rPr>
        <w:tab/>
      </w:r>
      <w:r>
        <w:rPr>
          <w:rFonts w:ascii="Arial" w:cs="Arial" w:eastAsia="Arial" w:hAnsi="Arial"/>
          <w:sz w:val="13"/>
          <w:szCs w:val="13"/>
          <w:color w:val="auto"/>
        </w:rPr>
        <w:t>XBRL Taxonomy Extension Label Linkbase Document</w:t>
      </w:r>
    </w:p>
    <w:p>
      <w:pPr>
        <w:spacing w:after="0" w:line="23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4"/>
          <w:szCs w:val="14"/>
          <w:color w:val="auto"/>
        </w:rPr>
        <w:t>101.INS*</w:t>
      </w:r>
      <w:r>
        <w:rPr>
          <w:sz w:val="20"/>
          <w:szCs w:val="20"/>
          <w:color w:val="auto"/>
        </w:rPr>
        <w:tab/>
      </w:r>
      <w:r>
        <w:rPr>
          <w:rFonts w:ascii="Arial" w:cs="Arial" w:eastAsia="Arial" w:hAnsi="Arial"/>
          <w:sz w:val="13"/>
          <w:szCs w:val="13"/>
          <w:color w:val="auto"/>
        </w:rPr>
        <w:t>XBRL Instance Document</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190" w:lineRule="exact"/>
        <w:rPr>
          <w:sz w:val="20"/>
          <w:szCs w:val="20"/>
          <w:color w:val="auto"/>
        </w:rPr>
      </w:pPr>
    </w:p>
    <w:p>
      <w:pPr>
        <w:ind w:right="7260" w:firstLine="8"/>
        <w:spacing w:after="0" w:line="221" w:lineRule="auto"/>
        <w:tabs>
          <w:tab w:leader="none" w:pos="94" w:val="left"/>
        </w:tabs>
        <w:numPr>
          <w:ilvl w:val="0"/>
          <w:numId w:val="22"/>
        </w:numPr>
        <w:rPr>
          <w:rFonts w:ascii="Arial" w:cs="Arial" w:eastAsia="Arial" w:hAnsi="Arial"/>
          <w:sz w:val="23"/>
          <w:szCs w:val="23"/>
          <w:color w:val="auto"/>
          <w:vertAlign w:val="superscript"/>
        </w:rPr>
      </w:pPr>
      <w:r>
        <w:rPr>
          <w:rFonts w:ascii="Arial" w:cs="Arial" w:eastAsia="Arial" w:hAnsi="Arial"/>
          <w:sz w:val="13"/>
          <w:szCs w:val="13"/>
          <w:color w:val="auto"/>
        </w:rPr>
        <w:t xml:space="preserve">Indicates management compensatory plan, contract or arrangement. </w:t>
      </w:r>
      <w:r>
        <w:rPr>
          <w:rFonts w:ascii="Arial" w:cs="Arial" w:eastAsia="Arial" w:hAnsi="Arial"/>
          <w:sz w:val="17"/>
          <w:szCs w:val="17"/>
          <w:color w:val="auto"/>
        </w:rPr>
        <w:t xml:space="preserve">* </w:t>
      </w:r>
      <w:r>
        <w:rPr>
          <w:rFonts w:ascii="Arial" w:cs="Arial" w:eastAsia="Arial" w:hAnsi="Arial"/>
          <w:sz w:val="13"/>
          <w:szCs w:val="13"/>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60"/>
          </w:cols>
          <w:pgMar w:left="240" w:top="122" w:right="399" w:bottom="1440" w:gutter="0" w:footer="0" w:header="0"/>
          <w:type w:val="continuous"/>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6,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Ken Xie</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 and Chairman</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Andrew Del Matto, certify that:</w:t>
      </w:r>
    </w:p>
    <w:p>
      <w:pPr>
        <w:spacing w:after="0" w:line="17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6,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Andrew Del Matto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Andrew Del Matto</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Quarterly Report on Form 10-Q of Fortinet, Inc. for the quarter ended March 31, 2016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80" w:type="dxa"/>
            <w:vAlign w:val="bottom"/>
          </w:tcPr>
          <w:p>
            <w:pPr>
              <w:ind w:left="224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Ken Xie</w:t>
            </w:r>
          </w:p>
        </w:tc>
      </w:tr>
      <w:tr>
        <w:trPr>
          <w:trHeight w:val="27"/>
        </w:trPr>
        <w:tc>
          <w:tcPr>
            <w:tcW w:w="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40"/>
              <w:spacing w:after="0"/>
              <w:rPr>
                <w:sz w:val="20"/>
                <w:szCs w:val="20"/>
                <w:color w:val="auto"/>
              </w:rPr>
            </w:pPr>
            <w:r>
              <w:rPr>
                <w:rFonts w:ascii="Arial" w:cs="Arial" w:eastAsia="Arial" w:hAnsi="Arial"/>
                <w:sz w:val="18"/>
                <w:szCs w:val="18"/>
                <w:color w:val="auto"/>
              </w:rPr>
              <w:t>May 6, 2016</w:t>
            </w:r>
          </w:p>
        </w:tc>
        <w:tc>
          <w:tcPr>
            <w:tcW w:w="2880" w:type="dxa"/>
            <w:vAlign w:val="bottom"/>
          </w:tcPr>
          <w:p>
            <w:pPr>
              <w:ind w:left="224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Ken Xie</w:t>
            </w:r>
          </w:p>
        </w:tc>
      </w:tr>
      <w:tr>
        <w:trPr>
          <w:trHeight w:val="256"/>
        </w:trPr>
        <w:tc>
          <w:tcPr>
            <w:tcW w:w="54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80" w:type="dxa"/>
            <w:vAlign w:val="bottom"/>
          </w:tcPr>
          <w:p>
            <w:pPr>
              <w:ind w:left="224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I, Andrew Del Matto, certify, pursuant to 18 U.S.C. Section 1350, as adopted pursuant to Section 906 of the Sarbanes-Oxley Act of 2002, that the Quarterly Report on Form 10-Q of Fortinet, Inc. for the quarter ended March 31, 2016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80" w:type="dxa"/>
            <w:vAlign w:val="bottom"/>
          </w:tcPr>
          <w:p>
            <w:pPr>
              <w:ind w:left="224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Andrew Del Matto</w:t>
            </w:r>
          </w:p>
        </w:tc>
      </w:tr>
      <w:tr>
        <w:trPr>
          <w:trHeight w:val="27"/>
        </w:trPr>
        <w:tc>
          <w:tcPr>
            <w:tcW w:w="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40"/>
              <w:spacing w:after="0"/>
              <w:rPr>
                <w:sz w:val="20"/>
                <w:szCs w:val="20"/>
                <w:color w:val="auto"/>
              </w:rPr>
            </w:pPr>
            <w:r>
              <w:rPr>
                <w:rFonts w:ascii="Arial" w:cs="Arial" w:eastAsia="Arial" w:hAnsi="Arial"/>
                <w:sz w:val="18"/>
                <w:szCs w:val="18"/>
                <w:color w:val="auto"/>
              </w:rPr>
              <w:t>May 6, 2016</w:t>
            </w:r>
          </w:p>
        </w:tc>
        <w:tc>
          <w:tcPr>
            <w:tcW w:w="2880" w:type="dxa"/>
            <w:vAlign w:val="bottom"/>
          </w:tcPr>
          <w:p>
            <w:pPr>
              <w:ind w:left="224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Andrew Del Matto</w:t>
            </w:r>
          </w:p>
        </w:tc>
      </w:tr>
      <w:tr>
        <w:trPr>
          <w:trHeight w:val="256"/>
        </w:trPr>
        <w:tc>
          <w:tcPr>
            <w:tcW w:w="54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80" w:type="dxa"/>
            <w:vAlign w:val="bottom"/>
          </w:tcPr>
          <w:p>
            <w:pPr>
              <w:ind w:left="224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bl>
    <w:p>
      <w:pPr>
        <w:spacing w:after="0" w:line="39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2019-12-29T11:59:07Z</dcterms:created>
  <dcterms:modified xsi:type="dcterms:W3CDTF">2019-12-29T11:59:07Z</dcterms:modified>
</cp:coreProperties>
</file>