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1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11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ind w:left="5080"/>
        <w:spacing w:after="0"/>
        <w:rPr>
          <w:sz w:val="20"/>
          <w:szCs w:val="20"/>
          <w:color w:val="auto"/>
        </w:rPr>
      </w:pPr>
      <w:r>
        <w:rPr>
          <w:rFonts w:ascii="Arial" w:cs="Arial" w:eastAsia="Arial" w:hAnsi="Arial"/>
          <w:sz w:val="23"/>
          <w:szCs w:val="23"/>
          <w:b w:val="1"/>
          <w:bCs w:val="1"/>
          <w:color w:val="auto"/>
        </w:rPr>
        <w:t>FORM 10-K</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4020" w:right="1120" w:hanging="3985"/>
        <w:spacing w:after="0" w:line="461" w:lineRule="auto"/>
        <w:tabs>
          <w:tab w:leader="none" w:pos="39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spacing w:after="0" w:line="2"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5980" w:type="dxa"/>
            <w:vAlign w:val="bottom"/>
          </w:tcPr>
          <w:p>
            <w:pPr>
              <w:ind w:left="3600"/>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84"/>
        </w:trPr>
        <w:tc>
          <w:tcPr>
            <w:tcW w:w="8620" w:type="dxa"/>
            <w:vAlign w:val="bottom"/>
            <w:gridSpan w:val="5"/>
          </w:tcPr>
          <w:p>
            <w:pPr>
              <w:jc w:val="center"/>
              <w:ind w:left="2171"/>
              <w:spacing w:after="0"/>
              <w:rPr>
                <w:sz w:val="20"/>
                <w:szCs w:val="20"/>
                <w:color w:val="auto"/>
              </w:rPr>
            </w:pPr>
            <w:r>
              <w:rPr>
                <w:rFonts w:ascii="Arial" w:cs="Arial" w:eastAsia="Arial" w:hAnsi="Arial"/>
                <w:sz w:val="18"/>
                <w:szCs w:val="18"/>
                <w:b w:val="1"/>
                <w:bCs w:val="1"/>
                <w:color w:val="auto"/>
                <w:w w:val="89"/>
              </w:rPr>
              <w:t>Commission file number: 001-34511</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7"/>
        </w:trPr>
        <w:tc>
          <w:tcPr>
            <w:tcW w:w="7300" w:type="dxa"/>
            <w:vAlign w:val="bottom"/>
            <w:gridSpan w:val="4"/>
          </w:tcPr>
          <w:p>
            <w:pPr>
              <w:jc w:val="center"/>
              <w:ind w:left="3471"/>
              <w:spacing w:after="0"/>
              <w:rPr>
                <w:sz w:val="20"/>
                <w:szCs w:val="20"/>
                <w:color w:val="auto"/>
              </w:rPr>
            </w:pPr>
            <w:r>
              <w:rPr>
                <w:rFonts w:ascii="Arial" w:cs="Arial" w:eastAsia="Arial" w:hAnsi="Arial"/>
                <w:sz w:val="18"/>
                <w:szCs w:val="18"/>
                <w:color w:val="auto"/>
                <w:w w:val="89"/>
              </w:rPr>
              <w:t>______________________________________</w:t>
            </w: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29"/>
        </w:trPr>
        <w:tc>
          <w:tcPr>
            <w:tcW w:w="6520" w:type="dxa"/>
            <w:vAlign w:val="bottom"/>
            <w:gridSpan w:val="2"/>
          </w:tcPr>
          <w:p>
            <w:pPr>
              <w:jc w:val="center"/>
              <w:ind w:left="4291"/>
              <w:spacing w:after="0"/>
              <w:rPr>
                <w:sz w:val="20"/>
                <w:szCs w:val="20"/>
                <w:color w:val="auto"/>
              </w:rPr>
            </w:pPr>
            <w:r>
              <w:rPr>
                <w:rFonts w:ascii="Arial" w:cs="Arial" w:eastAsia="Arial" w:hAnsi="Arial"/>
                <w:sz w:val="25"/>
                <w:szCs w:val="25"/>
                <w:b w:val="1"/>
                <w:bCs w:val="1"/>
                <w:color w:val="auto"/>
              </w:rPr>
              <w:t>FORTINET, INC.</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8"/>
        </w:trPr>
        <w:tc>
          <w:tcPr>
            <w:tcW w:w="8620" w:type="dxa"/>
            <w:vAlign w:val="bottom"/>
            <w:gridSpan w:val="5"/>
          </w:tcPr>
          <w:p>
            <w:pPr>
              <w:jc w:val="center"/>
              <w:ind w:left="215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6"/>
        </w:trPr>
        <w:tc>
          <w:tcPr>
            <w:tcW w:w="7300" w:type="dxa"/>
            <w:vAlign w:val="bottom"/>
            <w:gridSpan w:val="4"/>
          </w:tcPr>
          <w:p>
            <w:pPr>
              <w:jc w:val="center"/>
              <w:ind w:left="3491"/>
              <w:spacing w:after="0"/>
              <w:rPr>
                <w:sz w:val="20"/>
                <w:szCs w:val="20"/>
                <w:color w:val="auto"/>
              </w:rPr>
            </w:pPr>
            <w:r>
              <w:rPr>
                <w:rFonts w:ascii="Arial" w:cs="Arial" w:eastAsia="Arial" w:hAnsi="Arial"/>
                <w:sz w:val="16"/>
                <w:szCs w:val="16"/>
                <w:color w:val="auto"/>
                <w:w w:val="91"/>
              </w:rPr>
              <w:t>______________________________________</w:t>
            </w: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587"/>
        </w:trPr>
        <w:tc>
          <w:tcPr>
            <w:tcW w:w="65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25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77-0560389</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43"/>
        </w:trPr>
        <w:tc>
          <w:tcPr>
            <w:tcW w:w="6520" w:type="dxa"/>
            <w:vAlign w:val="bottom"/>
            <w:gridSpan w:val="2"/>
          </w:tcPr>
          <w:p>
            <w:pPr>
              <w:jc w:val="center"/>
              <w:ind w:right="1340"/>
              <w:spacing w:after="0"/>
              <w:rPr>
                <w:sz w:val="20"/>
                <w:szCs w:val="20"/>
                <w:color w:val="auto"/>
              </w:rPr>
            </w:pPr>
            <w:r>
              <w:rPr>
                <w:rFonts w:ascii="Arial" w:cs="Arial" w:eastAsia="Arial" w:hAnsi="Arial"/>
                <w:sz w:val="16"/>
                <w:szCs w:val="16"/>
                <w:b w:val="1"/>
                <w:bCs w:val="1"/>
                <w:color w:val="auto"/>
                <w:w w:val="91"/>
              </w:rPr>
              <w:t>(State or other jurisdiction of</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2"/>
          </w:tcPr>
          <w:p>
            <w:pPr>
              <w:jc w:val="center"/>
              <w:ind w:left="97"/>
              <w:spacing w:after="0"/>
              <w:rPr>
                <w:sz w:val="20"/>
                <w:szCs w:val="20"/>
                <w:color w:val="auto"/>
              </w:rPr>
            </w:pPr>
            <w:r>
              <w:rPr>
                <w:rFonts w:ascii="Arial" w:cs="Arial" w:eastAsia="Arial" w:hAnsi="Arial"/>
                <w:sz w:val="16"/>
                <w:szCs w:val="16"/>
                <w:b w:val="1"/>
                <w:bCs w:val="1"/>
                <w:color w:val="auto"/>
                <w:w w:val="96"/>
              </w:rPr>
              <w:t>(I.R.S. Employer</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10"/>
        </w:trPr>
        <w:tc>
          <w:tcPr>
            <w:tcW w:w="652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92"/>
              </w:rPr>
              <w:t>incorporation or organization)</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gridSpan w:val="2"/>
          </w:tcPr>
          <w:p>
            <w:pPr>
              <w:jc w:val="center"/>
              <w:ind w:left="97"/>
              <w:spacing w:after="0"/>
              <w:rPr>
                <w:sz w:val="20"/>
                <w:szCs w:val="20"/>
                <w:color w:val="auto"/>
              </w:rPr>
            </w:pPr>
            <w:r>
              <w:rPr>
                <w:rFonts w:ascii="Arial" w:cs="Arial" w:eastAsia="Arial" w:hAnsi="Arial"/>
                <w:sz w:val="16"/>
                <w:szCs w:val="16"/>
                <w:b w:val="1"/>
                <w:bCs w:val="1"/>
                <w:color w:val="auto"/>
                <w:w w:val="93"/>
              </w:rPr>
              <w:t>Identification No.)</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3"/>
        </w:trPr>
        <w:tc>
          <w:tcPr>
            <w:tcW w:w="652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93"/>
              </w:rPr>
              <w:t>899 Kifer Road</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4"/>
        </w:trPr>
        <w:tc>
          <w:tcPr>
            <w:tcW w:w="65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1"/>
              </w:rPr>
              <w:t>Sunnyvale, California</w:t>
            </w:r>
          </w:p>
        </w:tc>
        <w:tc>
          <w:tcPr>
            <w:tcW w:w="2100" w:type="dxa"/>
            <w:vAlign w:val="bottom"/>
            <w:gridSpan w:val="3"/>
          </w:tcPr>
          <w:p>
            <w:pPr>
              <w:jc w:val="right"/>
              <w:ind w:right="17"/>
              <w:spacing w:after="0"/>
              <w:rPr>
                <w:sz w:val="20"/>
                <w:szCs w:val="20"/>
                <w:color w:val="auto"/>
              </w:rPr>
            </w:pPr>
            <w:r>
              <w:rPr>
                <w:rFonts w:ascii="Arial" w:cs="Arial" w:eastAsia="Arial" w:hAnsi="Arial"/>
                <w:sz w:val="18"/>
                <w:szCs w:val="18"/>
                <w:b w:val="1"/>
                <w:bCs w:val="1"/>
                <w:color w:val="auto"/>
              </w:rPr>
              <w:t>94086</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1"/>
        </w:trPr>
        <w:tc>
          <w:tcPr>
            <w:tcW w:w="652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2"/>
          </w:tcPr>
          <w:p>
            <w:pPr>
              <w:jc w:val="center"/>
              <w:ind w:left="97"/>
              <w:spacing w:after="0"/>
              <w:rPr>
                <w:sz w:val="20"/>
                <w:szCs w:val="20"/>
                <w:color w:val="auto"/>
              </w:rPr>
            </w:pPr>
            <w:r>
              <w:rPr>
                <w:rFonts w:ascii="Arial" w:cs="Arial" w:eastAsia="Arial" w:hAnsi="Arial"/>
                <w:sz w:val="16"/>
                <w:szCs w:val="16"/>
                <w:b w:val="1"/>
                <w:bCs w:val="1"/>
                <w:color w:val="auto"/>
                <w:w w:val="93"/>
              </w:rPr>
              <w:t>(Zip Code)</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5"/>
        </w:trPr>
        <w:tc>
          <w:tcPr>
            <w:tcW w:w="6520" w:type="dxa"/>
            <w:vAlign w:val="bottom"/>
            <w:gridSpan w:val="2"/>
          </w:tcPr>
          <w:p>
            <w:pPr>
              <w:jc w:val="center"/>
              <w:ind w:left="4271"/>
              <w:spacing w:after="0"/>
              <w:rPr>
                <w:sz w:val="20"/>
                <w:szCs w:val="20"/>
                <w:color w:val="auto"/>
              </w:rPr>
            </w:pPr>
            <w:r>
              <w:rPr>
                <w:rFonts w:ascii="Arial" w:cs="Arial" w:eastAsia="Arial" w:hAnsi="Arial"/>
                <w:sz w:val="18"/>
                <w:szCs w:val="18"/>
                <w:b w:val="1"/>
                <w:bCs w:val="1"/>
                <w:color w:val="auto"/>
                <w:w w:val="90"/>
              </w:rPr>
              <w:t>(408) 235-7700</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0"/>
        </w:trPr>
        <w:tc>
          <w:tcPr>
            <w:tcW w:w="8620" w:type="dxa"/>
            <w:vAlign w:val="bottom"/>
            <w:gridSpan w:val="5"/>
          </w:tcPr>
          <w:p>
            <w:pPr>
              <w:jc w:val="center"/>
              <w:ind w:left="215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8"/>
        </w:trPr>
        <w:tc>
          <w:tcPr>
            <w:tcW w:w="8620" w:type="dxa"/>
            <w:vAlign w:val="bottom"/>
            <w:gridSpan w:val="5"/>
          </w:tcPr>
          <w:p>
            <w:pPr>
              <w:jc w:val="center"/>
              <w:ind w:left="2171"/>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65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Common Stock, $0.001 Par Value</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534"/>
        </w:trPr>
        <w:tc>
          <w:tcPr>
            <w:tcW w:w="6520" w:type="dxa"/>
            <w:vAlign w:val="bottom"/>
            <w:gridSpan w:val="2"/>
          </w:tcPr>
          <w:p>
            <w:pPr>
              <w:jc w:val="center"/>
              <w:ind w:right="1120"/>
              <w:spacing w:after="0"/>
              <w:rPr>
                <w:sz w:val="20"/>
                <w:szCs w:val="20"/>
                <w:color w:val="auto"/>
              </w:rPr>
            </w:pPr>
            <w:r>
              <w:rPr>
                <w:rFonts w:ascii="Arial" w:cs="Arial" w:eastAsia="Arial" w:hAnsi="Arial"/>
                <w:sz w:val="16"/>
                <w:szCs w:val="16"/>
                <w:b w:val="1"/>
                <w:bCs w:val="1"/>
                <w:color w:val="auto"/>
                <w:w w:val="88"/>
              </w:rPr>
              <w:t>(Title of each class)</w:t>
            </w:r>
          </w:p>
        </w:tc>
        <w:tc>
          <w:tcPr>
            <w:tcW w:w="240" w:type="dxa"/>
            <w:vAlign w:val="bottom"/>
          </w:tcPr>
          <w:p>
            <w:pPr>
              <w:spacing w:after="0"/>
              <w:rPr>
                <w:sz w:val="24"/>
                <w:szCs w:val="24"/>
                <w:color w:val="auto"/>
              </w:rPr>
            </w:pPr>
          </w:p>
        </w:tc>
        <w:tc>
          <w:tcPr>
            <w:tcW w:w="3260" w:type="dxa"/>
            <w:vAlign w:val="bottom"/>
            <w:gridSpan w:val="5"/>
          </w:tcPr>
          <w:p>
            <w:pPr>
              <w:jc w:val="center"/>
              <w:ind w:left="419"/>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411"/>
        </w:trPr>
        <w:tc>
          <w:tcPr>
            <w:tcW w:w="8620" w:type="dxa"/>
            <w:vAlign w:val="bottom"/>
            <w:gridSpan w:val="5"/>
          </w:tcPr>
          <w:p>
            <w:pPr>
              <w:jc w:val="center"/>
              <w:ind w:left="2171"/>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480" w:type="dxa"/>
            <w:vAlign w:val="bottom"/>
          </w:tcPr>
          <w:p>
            <w:pPr>
              <w:spacing w:after="0"/>
              <w:rPr>
                <w:sz w:val="20"/>
                <w:szCs w:val="20"/>
                <w:color w:val="auto"/>
              </w:rPr>
            </w:pPr>
            <w:r>
              <w:rPr>
                <w:rFonts w:ascii="Arial" w:cs="Arial" w:eastAsia="Arial" w:hAnsi="Arial"/>
                <w:sz w:val="18"/>
                <w:szCs w:val="18"/>
                <w:color w:val="auto"/>
              </w:rPr>
              <w:t>Yes x</w:t>
            </w:r>
          </w:p>
        </w:tc>
        <w:tc>
          <w:tcPr>
            <w:tcW w:w="420" w:type="dxa"/>
            <w:vAlign w:val="bottom"/>
          </w:tcPr>
          <w:p>
            <w:pPr>
              <w:ind w:left="140"/>
              <w:spacing w:after="0"/>
              <w:rPr>
                <w:sz w:val="20"/>
                <w:szCs w:val="20"/>
                <w:color w:val="auto"/>
              </w:rPr>
            </w:pPr>
            <w:r>
              <w:rPr>
                <w:rFonts w:ascii="Arial" w:cs="Arial" w:eastAsia="Arial" w:hAnsi="Arial"/>
                <w:sz w:val="18"/>
                <w:szCs w:val="18"/>
                <w:color w:val="auto"/>
              </w:rPr>
              <w:t>No</w:t>
            </w:r>
          </w:p>
        </w:tc>
        <w:tc>
          <w:tcPr>
            <w:tcW w:w="500" w:type="dxa"/>
            <w:vAlign w:val="bottom"/>
          </w:tcPr>
          <w:p>
            <w:pPr>
              <w:ind w:left="40"/>
              <w:spacing w:after="0"/>
              <w:rPr>
                <w:sz w:val="20"/>
                <w:szCs w:val="20"/>
                <w:color w:val="auto"/>
              </w:rPr>
            </w:pPr>
            <w:r>
              <w:rPr>
                <w:rFonts w:ascii="Arial" w:cs="Arial" w:eastAsia="Arial" w:hAnsi="Arial"/>
                <w:sz w:val="18"/>
                <w:szCs w:val="18"/>
                <w:color w:val="auto"/>
              </w:rPr>
              <w:t>o</w:t>
            </w:r>
          </w:p>
        </w:tc>
      </w:tr>
      <w:tr>
        <w:trPr>
          <w:trHeight w:val="378"/>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8"/>
                <w:szCs w:val="18"/>
                <w:color w:val="auto"/>
                <w:w w:val="96"/>
              </w:rPr>
              <w:t>Yes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o No</w:t>
            </w:r>
          </w:p>
        </w:tc>
        <w:tc>
          <w:tcPr>
            <w:tcW w:w="500" w:type="dxa"/>
            <w:vAlign w:val="bottom"/>
          </w:tcPr>
          <w:p>
            <w:pPr>
              <w:ind w:left="60"/>
              <w:spacing w:after="0"/>
              <w:rPr>
                <w:sz w:val="20"/>
                <w:szCs w:val="20"/>
                <w:color w:val="auto"/>
              </w:rPr>
            </w:pPr>
            <w:r>
              <w:rPr>
                <w:rFonts w:ascii="Arial" w:cs="Arial" w:eastAsia="Arial" w:hAnsi="Arial"/>
                <w:sz w:val="18"/>
                <w:szCs w:val="18"/>
                <w:color w:val="auto"/>
              </w:rPr>
              <w:t>x</w:t>
            </w:r>
          </w:p>
        </w:tc>
      </w:tr>
    </w:tbl>
    <w:p>
      <w:pPr>
        <w:sectPr>
          <w:pgSz w:w="11900" w:h="16838" w:orient="portrait"/>
          <w:cols w:equalWidth="0" w:num="1">
            <w:col w:w="10300"/>
          </w:cols>
          <w:pgMar w:left="240" w:top="229" w:right="135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127" w:lineRule="exact"/>
        <w:rPr>
          <w:sz w:val="20"/>
          <w:szCs w:val="20"/>
          <w:color w:val="auto"/>
        </w:rPr>
      </w:pPr>
    </w:p>
    <w:p>
      <w:pPr>
        <w:ind w:right="100"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21" w:right="259" w:bottom="1440" w:gutter="0" w:footer="0" w:header="0"/>
        </w:sectPr>
      </w:pP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0"/>
          <w:szCs w:val="20"/>
          <w:color w:val="auto"/>
        </w:rPr>
      </w:pPr>
    </w:p>
    <w:p>
      <w:pPr>
        <w:sectPr>
          <w:pgSz w:w="11900" w:h="16838" w:orient="portrait"/>
          <w:cols w:equalWidth="0" w:num="4">
            <w:col w:w="2000" w:space="720"/>
            <w:col w:w="4780" w:space="720"/>
            <w:col w:w="1960" w:space="720"/>
            <w:col w:w="500"/>
          </w:cols>
          <w:pgMar w:left="240" w:top="121" w:right="259" w:bottom="1440" w:gutter="0" w:footer="0" w:header="0"/>
          <w:type w:val="continuous"/>
        </w:sect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0"/>
          <w:szCs w:val="20"/>
          <w:color w:val="auto"/>
        </w:rPr>
      </w:pPr>
    </w:p>
    <w:p>
      <w:pPr>
        <w:sectPr>
          <w:pgSz w:w="11900" w:h="16838" w:orient="portrait"/>
          <w:cols w:equalWidth="0" w:num="4">
            <w:col w:w="2000" w:space="720"/>
            <w:col w:w="4780" w:space="720"/>
            <w:col w:w="1960" w:space="720"/>
            <w:col w:w="500"/>
          </w:cols>
          <w:pgMar w:left="240" w:top="121" w:right="2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Yes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 x</w:t>
      </w:r>
    </w:p>
    <w:p>
      <w:pPr>
        <w:spacing w:after="0" w:line="171" w:lineRule="exact"/>
        <w:rPr>
          <w:sz w:val="20"/>
          <w:szCs w:val="20"/>
          <w:color w:val="auto"/>
        </w:rPr>
      </w:pPr>
    </w:p>
    <w:p>
      <w:pPr>
        <w:sectPr>
          <w:pgSz w:w="11900" w:h="16838" w:orient="portrait"/>
          <w:cols w:equalWidth="0" w:num="3">
            <w:col w:w="7700" w:space="180"/>
            <w:col w:w="440" w:space="220"/>
            <w:col w:w="2860"/>
          </w:cols>
          <w:pgMar w:left="240" w:top="121" w:right="259" w:bottom="1440" w:gutter="0" w:footer="0" w:header="0"/>
          <w:type w:val="continuous"/>
        </w:sectPr>
      </w:pPr>
    </w:p>
    <w:p>
      <w:pPr>
        <w:ind w:right="60" w:firstLine="270"/>
        <w:spacing w:after="0" w:line="257" w:lineRule="auto"/>
        <w:rPr>
          <w:sz w:val="20"/>
          <w:szCs w:val="20"/>
          <w:color w:val="auto"/>
        </w:rPr>
      </w:pPr>
      <w:r>
        <w:rPr>
          <w:rFonts w:ascii="Arial" w:cs="Arial" w:eastAsia="Arial" w:hAnsi="Arial"/>
          <w:sz w:val="18"/>
          <w:szCs w:val="18"/>
          <w:color w:val="auto"/>
        </w:rPr>
        <w:t>The aggregate market value of voting stock held by non-affiliates of the registrant, as of June 30, 2015, the last business day of the registrant’s most recently completed second quarter, was $5,300,165,895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134" w:lineRule="exact"/>
        <w:rPr>
          <w:sz w:val="20"/>
          <w:szCs w:val="20"/>
          <w:color w:val="auto"/>
        </w:rPr>
      </w:pPr>
    </w:p>
    <w:p>
      <w:pPr>
        <w:jc w:val="right"/>
        <w:ind w:left="280" w:right="3740"/>
        <w:spacing w:after="0" w:line="438" w:lineRule="auto"/>
        <w:rPr>
          <w:sz w:val="20"/>
          <w:szCs w:val="20"/>
          <w:color w:val="auto"/>
        </w:rPr>
      </w:pPr>
      <w:r>
        <w:rPr>
          <w:rFonts w:ascii="Arial" w:cs="Arial" w:eastAsia="Arial" w:hAnsi="Arial"/>
          <w:sz w:val="18"/>
          <w:szCs w:val="18"/>
          <w:color w:val="auto"/>
        </w:rPr>
        <w:t>As of February 19, 2016, there were 171,603,611 shares of the registrant’s common stock outstanding. DOCUMENTS INCORPORATED BY REFERENCE</w:t>
      </w:r>
    </w:p>
    <w:p>
      <w:pPr>
        <w:spacing w:after="0" w:line="1"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Portions of the registrant’s definitive Proxy Statement relating to its 2016 Annual Meeting of Stockholders are incorporated by reference into Part III of this Annual Report on Form 10-K where indicated. Such Proxy Statement will be filed with the United States Securities and Exchange Commission (“SEC”) within 120 days after the end of the fiscal year to which this report relates.</w:t>
      </w:r>
    </w:p>
    <w:p>
      <w:pPr>
        <w:sectPr>
          <w:pgSz w:w="11900" w:h="16838" w:orient="portrait"/>
          <w:cols w:equalWidth="0" w:num="1">
            <w:col w:w="11400"/>
          </w:cols>
          <w:pgMar w:left="240" w:top="121"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6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rPr>
              <w:t>FORTINET, INC.</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9"/>
              </w:rPr>
              <w:t>ANNUAL REPORT ON FORM 10-K</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0"/>
              </w:rPr>
              <w:t>For the Year Ended December 31, 2015</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6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89"/>
              </w:rPr>
              <w:t>Table of Contents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gridSpan w:val="5"/>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gridSpan w:val="6"/>
            <w:vMerge w:val="restart"/>
          </w:tcPr>
          <w:p>
            <w:pPr>
              <w:jc w:val="center"/>
              <w:ind w:right="4340"/>
              <w:spacing w:after="0"/>
              <w:rPr>
                <w:sz w:val="20"/>
                <w:szCs w:val="20"/>
                <w:color w:val="auto"/>
              </w:rPr>
            </w:pPr>
            <w:r>
              <w:rPr>
                <w:rFonts w:ascii="Arial" w:cs="Arial" w:eastAsia="Arial" w:hAnsi="Arial"/>
                <w:sz w:val="18"/>
                <w:szCs w:val="18"/>
                <w:b w:val="1"/>
                <w:bCs w:val="1"/>
                <w:color w:val="auto"/>
              </w:rPr>
              <w:t>Part I</w:t>
            </w: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140" w:type="dxa"/>
            <w:vAlign w:val="bottom"/>
            <w:gridSpan w:val="19"/>
          </w:tcPr>
          <w:p>
            <w:pPr>
              <w:spacing w:after="0"/>
              <w:rPr>
                <w:sz w:val="24"/>
                <w:szCs w:val="24"/>
                <w:color w:val="auto"/>
              </w:rPr>
            </w:pPr>
          </w:p>
        </w:tc>
        <w:tc>
          <w:tcPr>
            <w:tcW w:w="56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8880" w:type="dxa"/>
            <w:vAlign w:val="bottom"/>
            <w:gridSpan w:val="16"/>
          </w:tcPr>
          <w:p>
            <w:pPr>
              <w:spacing w:after="0"/>
              <w:rPr>
                <w:sz w:val="21"/>
                <w:szCs w:val="21"/>
                <w:color w:val="auto"/>
              </w:rPr>
            </w:pPr>
          </w:p>
        </w:tc>
        <w:tc>
          <w:tcPr>
            <w:tcW w:w="56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Unresolved Staff Comments</w:t>
              </w:r>
            </w:hyperlink>
          </w:p>
        </w:tc>
        <w:tc>
          <w:tcPr>
            <w:tcW w:w="774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774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8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78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 Purchases of Equity Securities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1720" w:type="dxa"/>
            <w:vAlign w:val="bottom"/>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Quantitative and Qualitative Disclosures about Market Risk</w:t>
              </w:r>
            </w:hyperlink>
          </w:p>
        </w:tc>
        <w:tc>
          <w:tcPr>
            <w:tcW w:w="3320" w:type="dxa"/>
            <w:vAlign w:val="bottom"/>
            <w:gridSpan w:val="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5480" w:type="dxa"/>
            <w:vAlign w:val="bottom"/>
            <w:gridSpan w:val="6"/>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780" w:type="dxa"/>
            <w:vAlign w:val="bottom"/>
            <w:gridSpan w:val="2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96">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6500" w:type="dxa"/>
            <w:vAlign w:val="bottom"/>
            <w:gridSpan w:val="17"/>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Controls and Procedures</w:t>
              </w:r>
            </w:hyperlink>
          </w:p>
        </w:tc>
        <w:tc>
          <w:tcPr>
            <w:tcW w:w="3280" w:type="dxa"/>
            <w:vAlign w:val="bottom"/>
            <w:gridSpan w:val="3"/>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97">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Other Information</w:t>
              </w:r>
            </w:hyperlink>
          </w:p>
        </w:tc>
        <w:tc>
          <w:tcPr>
            <w:tcW w:w="8020" w:type="dxa"/>
            <w:vAlign w:val="bottom"/>
            <w:gridSpan w:val="13"/>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78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Directors, Executive Officers and Corporate Governance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1"/>
                <w:szCs w:val="21"/>
                <w:color w:val="auto"/>
              </w:rPr>
            </w:pPr>
          </w:p>
        </w:tc>
        <w:tc>
          <w:tcPr>
            <w:tcW w:w="5700" w:type="dxa"/>
            <w:vAlign w:val="bottom"/>
            <w:gridSpan w:val="7"/>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78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Certain Relationships and Related Transactions, and Director Independence</w:t>
              </w:r>
            </w:hyperlink>
          </w:p>
        </w:tc>
        <w:tc>
          <w:tcPr>
            <w:tcW w:w="2500" w:type="dxa"/>
            <w:vAlign w:val="bottom"/>
            <w:gridSpan w:val="2"/>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5"/>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Principal Accounting Fees and Services</w:t>
              </w:r>
            </w:hyperlink>
          </w:p>
        </w:tc>
        <w:tc>
          <w:tcPr>
            <w:tcW w:w="4340" w:type="dxa"/>
            <w:vAlign w:val="bottom"/>
            <w:gridSpan w:val="5"/>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gridSpan w:val="11"/>
          </w:tcPr>
          <w:p>
            <w:pPr>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Exhibits, Financial Statement Schedules</w:t>
              </w:r>
            </w:hyperlink>
          </w:p>
        </w:tc>
        <w:tc>
          <w:tcPr>
            <w:tcW w:w="6880" w:type="dxa"/>
            <w:vAlign w:val="bottom"/>
            <w:gridSpan w:val="9"/>
          </w:tcPr>
          <w:p>
            <w:pPr>
              <w:spacing w:after="0"/>
              <w:rPr>
                <w:sz w:val="24"/>
                <w:szCs w:val="24"/>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02">
              <w:r>
                <w:rPr>
                  <w:rFonts w:ascii="Arial" w:cs="Arial" w:eastAsia="Arial" w:hAnsi="Arial"/>
                  <w:sz w:val="18"/>
                  <w:szCs w:val="18"/>
                  <w:color w:val="0000EE"/>
                  <w:w w:val="85"/>
                </w:rPr>
                <w:t>Signatures</w:t>
              </w:r>
            </w:hyperlink>
          </w:p>
        </w:tc>
        <w:tc>
          <w:tcPr>
            <w:tcW w:w="2140" w:type="dxa"/>
            <w:vAlign w:val="bottom"/>
            <w:gridSpan w:val="8"/>
          </w:tcPr>
          <w:p>
            <w:pPr>
              <w:spacing w:after="0"/>
              <w:rPr>
                <w:sz w:val="21"/>
                <w:szCs w:val="21"/>
                <w:color w:val="auto"/>
              </w:rPr>
            </w:pPr>
          </w:p>
        </w:tc>
        <w:tc>
          <w:tcPr>
            <w:tcW w:w="6880" w:type="dxa"/>
            <w:vAlign w:val="bottom"/>
            <w:gridSpan w:val="9"/>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100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Fortinet is a global leader and innovator in network security. We provide high performance cybersecurity solutions to a wide variety of enterprises, service providers and government organizations of all sizes across the globe, including a majority of the 2015 Fortune 100. We provide protection against cyberattacks and the technology to take on increasing security performance requirements of the network. We offer a broad range of security products and solutions, providing customers with an end-to-end platform and a single source of threat intelligence to minimize security gaps.</w:t>
      </w:r>
    </w:p>
    <w:p>
      <w:pPr>
        <w:spacing w:after="0" w:line="15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cyber threat environment is unprecedented both in terms of volume and sophistication of attacks. As a result, cyber security has increased in priority and management complexity for enterprises. Fortinet offers an end-to-end solution, which ensures ongoing security efficacy through a single source of threat intelligence and minimizes complexity and risk. Our cyber security platform provides a broad range of security products and solutions focused on the needs around enterprise firewall, advanced threat protection, data center security, cloud security, secure access and connected unified threat management (“UTM”).</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flagship integrated network security solution consists of our FortiGate physical, virtual machine and cloud platforms, which are deployable in the business environments of large and medium-sized enterprise, service providers and small and medium-sized businesses, as well as government organizations. These platforms provide a broad array of integrated security and networking functions to help protect data, applications and users from network- and content-level security threats. These functions, which can be integrated in a variety of ways, include firewall, intrusion prevention (“IPS”) anti-malware, application control, virtual private network (“VPN”), web-filtering, vulnerability management, anti-spam, mobile security, wireless controller and wide area network (“WAN”) acceleration. Our FortiGate appliance platform may be deployed as core firewalls, internal segmentation firewalls, next generation firewalls (“NGFW”), distributed firewalls, virtual firewalls, cloud firewalls, carrier class firewalls, data center firewalls (“DCFW”) and connected UTM systems. For access networks, we offer our wireless access points and switch appliances, which integrate secure wireless and wired access capabilities into the FortiGate network security platform. The FortiGate products integrate our FortiASICs, which are specifically designed for accelerated processing of security and networking functions, and our FortiOS operating system, which provide a feature-rich foundation for all FortiGate security functions. Our FortiManager and FortiAnalyzer products work in conjunction with our FortiGate virtual and physical appliances. FortiManager provides customers with centralized management of multiple FortiGates, and FortiAnalyzer provides a single point of network log data collection. These products enable customers to implement security policies across large networks.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Fortinet’s cybersecurity platform also includes an array of products that further complement our FortiGate products to offer additional protection from security threats across networks. These products include our FortiMail email security, FortiSandbox advanced threat protection (“ATP”), FortiWeb web application firewall, FortiDDos, and FortiDB database security appliances, as well as our FortiClient endpoint security software, FortiAP secure wireless access points and FortiSwitch secure switch connectivity products.</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Supporting virtual and cloud-based deployments, we offer virtual appliances for the FortiGate, FortiManager, FortiAnalyzer, FortiWeb, FortiMail, FortiSandbox, FortiCache and FortiADC product lines that can be used in conjunction with traditional Fortinet physical appliances to help ensure the visibility, management and protection of physical and virtual environments. We also offer on-demand cloud-based versions of FortiGate and FortiWeb.</w:t>
      </w:r>
    </w:p>
    <w:p>
      <w:pPr>
        <w:spacing w:after="0" w:line="14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addition, we complement our cybersecurity platform with subscription, customer support, and training services. Our FortiGuard security subscription uses global threat feeds to create real time threat intelligence and security updates to complement Fortinet products. Our global FortiCare customer support team provides global technical support for all Fortinet products. We also provide a range of technical training for customers and partners under the Network Security Expert Program.</w:t>
      </w:r>
    </w:p>
    <w:p>
      <w:pPr>
        <w:spacing w:after="0" w:line="187"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We typically sell our security solutions to channel partners, who in turn sell to end-customers. We also sell directly to end users. Our end users include businesses and enterprises, government organizations, and service providers, across a wide range of industries, including telecommunications, technology, government, financial services, education, retail, manufacturing and healthcare.</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During our year ended December 31, 2015, we generated total revenue of $1.01 billion and net income of $8.0 million. See Part II, Item 8 of this Annual Report on Form 10-K for more information on our consolidated balance sheets as of December 31, 2015 and 2014 and our consolidated statements of operations, comprehensive income, stockholders’ equity, and cash flows for each of the three years ended December 31, 2015, 2014, and 2013.</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122" w:right="29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were incorporated in Delaware in November 2000. Our principal executive office is located at 899 Kifer Road, Sunnyvale, California 94086 and our telephone number at that location is (408) 235-7700.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Architecture</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Our proprietary FortiASIC hardware architecture, FortiOS operating system and associated security and networking functions combine to form a platform that integrates security features and enables our products to perform sophisticated security processing for networks with high throughput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FortiASIC</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proprietary FortiASIC family of Application-Specific Integrated Circuits (“ASICs”) is comprised of three main lines of processors: (i) the FortiASIC content processor (“CP”), (ii) the FortiASIC network processor (“NP”), and (iii) the FortiASIC system-on-a-chip (“SOC”). Our proprietary ASICs are designed to enhance the sophisticated security processing capabilities implemented in software by accelerating computationally intensive tasks such as firewall policy enforcement or IPS threat detection. This architecture provides the flexibility of implementing accelerated processing of new threat detection without requiring a new ASIC. The FortiASIC CP is currently included in most of our entry-level and all of our mid-range and high-end FortiGate appliances. The FortiASIC NP is currently included in some of our mid-range and high-end FortiGate appliances, delivering additional accelerated firewall and VPN performance. Entry-level FortiGate products (FortiGate 20 to 100 series) often use the SOC2. Mid-range FortiGate products (FortiGate 200 to 900 series) use a central processing unit (“CPU”) and include the NP and CP. The high-end FortiGate products (FortiGate 1000 to 5000 series) use multiple CPUs, CPs and NPs.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FortiOS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proprietary FortiOS operating system provides the foundation for the operation of all FortiGate appliances, from the core kernel functions to the security processing feature sets. FortiOS provides (i) multiple layers of security including a hardened kernel layer providing protection for the FortiGate system, (ii) a network security layer providing security for end-customers’ network infrastructures and (iii) application content protection providing security for end-customers’ workstations and applications. FortiOS directs the operations of processors and ASICs and provides system management functions such as command-line and graphical user interfaces.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high-level functions and capabilities of FortiOS include:</w:t>
      </w:r>
    </w:p>
    <w:p>
      <w:pPr>
        <w:spacing w:after="0" w:line="225" w:lineRule="exact"/>
        <w:rPr>
          <w:sz w:val="20"/>
          <w:szCs w:val="20"/>
          <w:color w:val="auto"/>
        </w:rPr>
      </w:pPr>
    </w:p>
    <w:p>
      <w:pPr>
        <w:ind w:left="1300" w:right="440" w:hanging="644"/>
        <w:spacing w:after="0" w:line="258"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helping enable FortiGate appliances to be configured into different security environments such as our Internal Network Firewall, Next Generation Firewall and the Data Center Firewall;</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configuration of the physical aspects of the appliance such as ports, Wi-Fi and switching;</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key network functions such as routing and deployment modes (network routing, transparent, sniffer, etc.);</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implementation of security updates delivering advanced threat protection, such as IPS, antivirus, and application control;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to cloud-based web and email filtering databases;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 integration with both cloud and on premises FortiSandbox technology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policy objects and enforcement;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leak prevention and document finger printing;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real-time reporting and logging.</w:t>
      </w:r>
    </w:p>
    <w:p>
      <w:pPr>
        <w:spacing w:after="0" w:line="21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make updates to FortiOS available through our FortiCare technical support services. FortiOS also enables advanced, integrated routing and switching, allowing end-customers to deploy FortiGate devices within a wide variety of networks, as well as providing a direct replacement solution option for legacy switching and routing equipment. FortiOS implements a suite of commonly used standards-based routing protocols as well as address translation technologies, allowing the FortiGate appliance to integrate and operate in a wide variety of network environments. Additional features include Virtual Domain (“VDOM”), capabilities and traffic queuing and shaping. These features enable administrators to set the appropriate configurations and policies that meet their infrastructure needs. FortiOS also provides capabilities for logging of traffic for forensic analysis purposes which are particularly important for regulatory compliance initiatives like payment card industry data security standard (“PCI DSS”). FortiOS is designed to help control network traffic in order to optimize performance by including functionality such as packet classification, queue disciplines, policy enforcement, congestion management, WAN optimization and caching.</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core product offerings consist of our FortiGate product family, along with our FortiManager central management and FortiAnalyzer central logging and reporting product families, both of which are typically purchased to complement commercial and enterprise deployments. Our FortiGate physical and virtual appliance ships with a set of broad security services. These security services are enabled by FortiGuard which provides extensive threat research and a global cloud network to deliver protection services to each FortiGate appliance.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FortiGate</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flagship FortiGate physical and virtual appliances offer a broad set of security and networking functions, including firewall, intrusion prevention, anti-malware, VPN, application control, web filtering, anti-spam and WAN acceleration. All FortiGate models run on our FortiOS operating system. Typically, the FortiGate physical appliances include our FortiASICs to accelerate content and network security features implemented within FortiOS. FortiGate platforms can be centrally managed through both embedded web-based and command line interfaces, as well as through FortiManager, which provides central management architecture for thousands of FortiGate physical and virtual appliances across a range of hypervisor platforms.</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By combining multiple network security functions in our purpose-built security platform, the FortiGate appliances provide broad, high quality protection capabilities and deployment flexibility while reducing the operational burden and costs associated with managing multiple point products. With over 30 models in the FortiGate product line, FortiGate is designed to address security requirements for small- to medium-sized businesses, large enterprises, service providers and government organizations worldwide.</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All FortiGate models run on our FortiOS operating system. Typically, all FortiGate physical appliances include our FortiASICs to accelerate content and network security features implemented within FortiOS. The significant differences between each model are the performance and scalability targets each model is designed to meet, while the security features and associated services offered are common throughout all models. The FortiGate-20 through -100 series models are designed for perimeter protection for small- to medium-sized businesses. The FortiGate-200 through -900 series models are designed for perimeter deployment in medium-sized to large enterprise networks. The FortiGate-1000 through -5000 series models deliver high performance and scalable network security functionality for perimeter, data center and core deployment in large enterprise and service provider networks.</w:t>
      </w:r>
    </w:p>
    <w:p>
      <w:pPr>
        <w:spacing w:after="0" w:line="16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We also incorporate additional technologies within FortiGate appliances that differentiate our solutions, including data leakage protection (“DLP”), traffic optimization, SSL inspection, threat vulnerability management and wireless controller technology. In addition to these in-built features, we offer a full range of wireless access points and controllers, complementing FortiGate with the flexibility of wireless LAN access.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Fortinet Management and Analysis Products</w:t>
      </w:r>
    </w:p>
    <w:p>
      <w:pPr>
        <w:spacing w:after="0" w:line="22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Our FortiManager and FortiAnalyzer physical and virtual products are typically sold in conjunction with most commercial and enterprise deployments.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FortiManager. </w:t>
      </w:r>
      <w:r>
        <w:rPr>
          <w:rFonts w:ascii="Arial" w:cs="Arial" w:eastAsia="Arial" w:hAnsi="Arial"/>
          <w:sz w:val="18"/>
          <w:szCs w:val="18"/>
          <w:color w:val="auto"/>
        </w:rPr>
        <w:t>Our FortiManager family of products provides a central and scalable management solution for our FortiGate products,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updates, configuration, policy settings and security updates. One FortiManager product is capable of managing thousands of FortiGate units, and also provides central management for FortiClient software. FortiManager facilitates the coordination of policy-based provisioning, device configuration and operating system revision management, as well as network security monitoring and device control.</w:t>
      </w:r>
    </w:p>
    <w:p>
      <w:pPr>
        <w:spacing w:after="0" w:line="18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i w:val="1"/>
          <w:iCs w:val="1"/>
          <w:color w:val="auto"/>
        </w:rPr>
        <w:t xml:space="preserve">FortiAnalyzer. </w:t>
      </w:r>
      <w:r>
        <w:rPr>
          <w:rFonts w:ascii="Arial" w:cs="Arial" w:eastAsia="Arial" w:hAnsi="Arial"/>
          <w:sz w:val="16"/>
          <w:szCs w:val="16"/>
          <w:color w:val="auto"/>
        </w:rPr>
        <w:t>Our FortiAnalyzer family of products provides centralized network logging, analyzing and reporting solutions that securely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and log data from our FortiGate devices and other Fortinet products as well as third-party devices to enable network logging, analysis and reporting.</w:t>
      </w:r>
    </w:p>
    <w:p>
      <w:pPr>
        <w:spacing w:after="0" w:line="124"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We also offer other physical and virtual appliances and software products that protect our end-customers from security threats to other critical areas in the enterprise, such as messaging, web-based applications and databases, and employees’ computers or mobile devices.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1" w:right="27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FortiGuard Security Subscription Services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Security requirements are dynamic due to the constantly changing nature of threats. Our FortiGuard Labs global threat research team uses automated and manual processes to identify emerging threats, collects threat samples, and replicates, reviews, characterizes and collates attack data. Based on this research, we develop updates for virus signatures, attack definitions, scanning engines and other security solution components to distribute to end-customers. Our FortiGuard security subscription services are designed to allow us to quickly deliver new threat detection capabilities to end-customers worldwide as new threats evolve. End-customers purchase FortiGuard security subscription services in advance, typically with terms of one to three years, to obtain access to regular updates for application control, antivirus, intrusion prevention, web filtering and anti-spam functions for our FortiGate products; antivirus, web filtering and VPN functions for our FortiClient software; antivirus and anti-spam functions for our FortiMail products; vulnerability management for our FortiGate, FortiAnalyzer and FortiMonitor products; database functions for our FortiDB appliance; web functions for our FortiWeb appliances; and advanced threat protection for our FortiSandbox on premise and cloud products. FortiSandbox is a key part of Fortinet’s integrated and automated advanced threat protection solution and offers inspection of all protocols and functions in one appliance. It is designed to detect and analyze advanced attacks designed to bypass traditional security defenses. We provide FortiGuard security subscription services 24 hours a day, seven days a week.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FortiCare Technical Support Services</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Our FortiCare services include technical support as well as an extended product warranty. In addition to our standard support service offering, we offer a premium service that offers enhanced technical support and warranty response times and semi-dedicated support oriented towards mission-critical applications.</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For our standard technical support , channel partners often provide first level support to the end-customer, especially for small- and medium-sized end-customers. Fortinet also provides all levels of support to our end-customers, as well as second- and third-level support to our partners where appropriate. We also provide knowledge management tools and customer self-help portals to help augment our support capabilities in an efficient and scalable manner. We deliver technical support to partners and end-customers 24 hours a day, seven days a week through regional technical support centers located worldwide.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offer professional services to end-customers primarily for large implementations where expert technical resources are required. Our professional services consultants help in the design of deployments of our products and work closely with end-customer engineers, managers and other project team members to implement our products according to design, utilizing network analysis tools, attack simulation software and scripts.</w:t>
      </w:r>
    </w:p>
    <w:p>
      <w:pPr>
        <w:spacing w:after="0" w:line="166"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Dedicated support engineers are available to help identify and eliminate issues before problems arise. These Technical Account Managers (“TAMs”) are seasoned professionals with broad and deep experience in the security and networking arena. Each TAM acts as a single point of contact and customer advocate within Fortinet, and is focused on building and maintaining a deep understanding of the customer business and their security requirements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Training Services</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offer training services to our end-customers and channel partners through our training department and authorized training partners. We have also implemented a training certification program, Network Security Expert, to help ensure an understanding of our products and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typically sell our security solutions to channel partners, who in turn sell to end-customers of various sizes and, at times, we also sell directly to end users. Our end users include small businesses, large enterprises, government organizations, and service providers, across a wide range of industries, including telecommunications, technology, government, financial services, education, retail, manufacturing and healthcare. An end-customer deployment may involve one of our appliances or thousands, depending on our end-customer’s size and security requirements. We also offer access to our products via the cloud through certain cloud providers. Many of our customers also purchase our FortiGuard security subscription services and FortiCare technical support services. For information regarding our revenue by customer based on billing address, see Note 14 to our consolidated financial statements in Part II, Item 8 of this Annual Report on Form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One distributor, Exclusive Networks Group, which distributed our solutions to a large group of resellers and end-customers, accounted for 18%, 15% and 12% of total revenue during 2015,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primarily sell our products and services through a distribution model. We sell to distributors that sell to networking security and enterprise-focused resellers and service providers, who, in turn, sell to our end-customers. In certain cases, we sell directly to government-focused resellers, as well as to very large service providers who have large purchasing power and unique customer deployment demands. We work with many technology distributors, including Exclusive Networks Group, Fine Tec Computer, Ingram Micro Inc. and Arrow Electronics, Inc., and enterprise security-focused resellers including Westcon and Tech Data.</w:t>
      </w:r>
    </w:p>
    <w:p>
      <w:pPr>
        <w:spacing w:after="0" w:line="18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support our channel partners with a dedicated team of experienced channel account managers, sales professionals and sales engineers who provide business planning, joint marketing strategy, and pre-sales and operational sales support. Additionally, our sales team often helps drive and support large enterprise and service provider sales through a direct touch model. Our sales professionals and engineers typically work closely with our channel partners and directly engage with large end-customers to help address their unique security and deployment requirements. Our sales cycle for an initial end-customer purchase may require approximately six months but can be longer for large enterprises, service providers and government organizations. To support our broadly dispersed global channel and end-customer base, we have sales offices in over 70 countries around the world.</w:t>
      </w:r>
    </w:p>
    <w:p>
      <w:pPr>
        <w:spacing w:after="0" w:line="16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Our marketing strategy is focused on building our brand and driving end-customer demand for our security solutions. We use a combination of internal marketing professionals and a network of regional and global channel partners. Our internal marketing organization is responsible for messaging, branding, product marketing, channel marketing, event marketing, communications and sales support programs. We focus our resources on programs, tools and activities that can be leveraged by partners worldwide to extend our marketing reach, such as sales tools and collateral, product awards and technical certifications, media engagement, training, regional seminars and conferences, webinars and various other demand-generation activities.</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2015, we continued to invest in sales and marketing to capture market share, particularly in the enterprise market where enterprise customers tend to have a higher lifetime value, and to accelerate our growth. We intend to continue investing in sales and marketing in order to capture additional market share in the enterprise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Suppliers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outsource the manufacturing of our security appliance products to a variety of contract manufacturers and original design manufacturers. Our current manufacturing partners include Flextronics International Ltd., Micro-Star International Co., Ltd., Adlink Technology, Inc., Senao Networks, Inc., and a number of Taiwan-based manufacturers. We submit purchase orders to our contract manufacturers that describe the type and quantities of our products to be manufactured, the delivery date and other delivery terms. Once our products are manufactured, they are sent to either our warehouse in California, or to our logistics partner in Taoyuan City, Taiwan, where accessory packaging and quality-control testing are performed. We believe that outsourcing our manufacturing and a substantial portion of our logistics enables us to focus resources on our core competencies. Our proprietary FortiASICs, which are the key to the performance of our appliances, are built by contract manufacturers including Faraday Technology Corporation, Kawasaki Microelectronics America, Inc. (“K-Micro”), and Renesas Electronics Corporation (“Renesas”). These contract manufacturers use foundries operated by either United Microelectronics Corporation (“UMC”) or Taiwan Semiconductor Manufacturing Company Limited (“TSMC”).</w:t>
      </w:r>
    </w:p>
    <w:p>
      <w:pPr>
        <w:spacing w:after="0" w:line="18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components included in our products are sourced from various suppliers by us or more frequently by our contract manufacturers. Some of the components important to our business, including specific types of CPUs from Intel Corporation (“Intel”), network chips from Broadcom Corporation (“Broadcom”), Marvell Technology Group Ltd. (“Marvell”) and Intel, and solid-state drives (silicon-based storage devices) from OCZ Technology Group, Inc. and Samsung Electronics Co., Ltd., are available from a limited or sole source of supply.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no long-term contracts related to the manufacturing of our ASICs or other components that guarantee any capacity or pricing terms.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focus our research and development efforts on developing new products and systems, and adding new features to existing products and systems. Our development strategy is to identify features, products and systems for both software and hardware that are, or are expected to be, important to our end-customers. Our success in designing, developing, manufacturing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selling new or enhanced products will depend on a variety of factors, including the identification of market demand for new products, product selection, timely implementation of product design and development, product performance, effective manufacturing and assembly processes and sales and marketing.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We rely primarily on patent, trademark, copyright and trade secrets laws, confidentiality procedures and contractual provisions to protect our technology. As of December 31, 2015, we had 278 issued U.S. and foreign patents and 236 pending U.S. and foreign patent applications. We also license software from third parties for inclusion in our products, including open source software and other software available on commercially reasonable terms.</w:t>
      </w:r>
    </w:p>
    <w:p>
      <w:pPr>
        <w:spacing w:after="0" w:line="14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Despite our efforts to protect our rights in our technology, unauthorized parties may attempt to copy aspects of our products or obtain and use information that we regard as proprietary. We generally enter into confidentiality agreements with our employees, consultants, vendors and customers, and generally limit access to and distribution of our proprietary information. However, we cannot provide assurance that the steps we take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spacing w:after="0" w:line="15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Our industry is characterized by the existence of a large number of patents and frequent claims and related litigation regarding patent and other intellectual property rights. Third parties have asserted, are currently asserting and may in the future assert patent, copyright, trademark or other intellectual property rights against us, our channel partners or our end-customers. Successful claims of infringement by a third party could prevent us from distributing certain products or performing certain services or require us to pay substantial damages (including treble damages if we are found to have willfully infringed patents or copyrights), royalties or other fees. Even if third parties may offer a license to their technology, the terms of any offered license may not be acceptable and the failure to obtain a license or the costs associated with any license could cause our business, operating results or financial condition to be materially and adversely affected. We typically indemnify our end-customers, distributors and certain resellers against claims that our products infringe the intellectual property of third parties.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right="80" w:firstLine="1040"/>
        <w:spacing w:after="0" w:line="264" w:lineRule="auto"/>
        <w:rPr>
          <w:sz w:val="20"/>
          <w:szCs w:val="20"/>
          <w:color w:val="auto"/>
        </w:rPr>
      </w:pPr>
      <w:r>
        <w:rPr>
          <w:rFonts w:ascii="Arial" w:cs="Arial" w:eastAsia="Arial" w:hAnsi="Arial"/>
          <w:sz w:val="18"/>
          <w:szCs w:val="18"/>
          <w:color w:val="auto"/>
        </w:rPr>
        <w:t>For information regarding seasonality in our sales, see the section entitled “Management’s Discussion and Analysis of Financial Condition and Results of Operations—Quarterly Results of Operations—Seasonality, Cyclicality and Quarterly Revenue Trends” in Part II, Item 7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markets for our products are extremely competitive and are characterized by rapid technological change. The principal competitive factors in our markets include the following:</w:t>
      </w:r>
    </w:p>
    <w:p>
      <w:pPr>
        <w:spacing w:after="0" w:line="197" w:lineRule="exact"/>
        <w:rPr>
          <w:sz w:val="20"/>
          <w:szCs w:val="20"/>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performance, features, effectiveness, interoperability and reliability;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add and integrate new networking and security features and technological expertise;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of products and services and total cost of ownership;</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and distribution capabilities;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size and financial stability of operations; 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23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Among others, our competitors include BlueCoat Systems, Inc. (“BlueCoat”), Check Point Software Technologies Ltd. (“Check Point”), Cisco Systems, Inc. (“Cisco”) (through its acquisition of SourceFire, Inc. (“SourceFire”)), Dell Inc. (through its acquisition of SonicWALL, Inc. (“SonicWALL”)), F5 Networks, Inc. (“F5 Networks”), FireEye, Inc. (“FireEye”), Intel (through its acquisition of McAfee, Inc. (“McAfee”)), Juniper Networks, Inc. (“Juniper”), Palo Alto Networks, Inc. (“Palo Alto Networks”) and Sophos Group Plc (“Sophos”).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we compete favorably based on our products’ performance, reliability and breadth, our ability to add and integrate new networking and security features and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leverage their relationships based on other products or incorporate functionality into existing products in a manner that discourages users from purchasing our products. Based in part on these competitive pressures, we may lower prices or attempt to add incremental features and functionality.</w:t>
      </w:r>
    </w:p>
    <w:p>
      <w:pPr>
        <w:spacing w:after="0" w:line="14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Conditions in our markets could change rapidly and significantly as a result of technological advancements or continuing market consolidation. The development and market acceptance of alternative technologies could decrease the demand for our products or render them obsolete. Our competitors may introduce products that are less costly, provide superior performance, market their products better, or achieve greater market acceptance than us. In addition, our larger competitors often have broader product lines and are in a better position to withstand any significant reduction in capital spending by end-customers in these markets, 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As of December 31, 2015, our total headcount was 4,018 employees and contractors. None of our U.S. employees are represented by a labor union; however, our employees in certain European countries have the right to be represented by external labor organizations if they maintain up-to-date union membership. We have not experienced any work stoppages, and we consider our relations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web site is located at www.fortinet.com, and our investor relations web site is located at http://investor.fortinet.com. The information posted on our website is not incorporated by reference into this Annual Report on Form 10-K. Our Annual Report on Form 10-K, Quarterly Reports on Form 10-Q, Current Reports on Form 8-K and amendments to reports filed or furnished pursuant to Sections 13(a) and 15(d) of the Securities Act, are available free of charge on our investor relations web site as soon as reasonably practicable after we electronically file such material with, or furnish it to, the SEC. You may also access all of our public filings through the SEC’s website at www.sec.gov. Further, a copy of this Annual Report on Form 10-K is located at the SEC’s Public Reference Room at 100 F Street, NE, Washington, D.C. 20549. Information on the operation of the Public Reference Room can be obtained by calling the SEC at 1-800-SEC-0330.</w:t>
      </w:r>
    </w:p>
    <w:p>
      <w:pPr>
        <w:spacing w:after="0" w:line="18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 site. Additionally, we provide notifications of news or announcements regarding our financial performance, including SEC filings, investor events, press and earnings releases, as part of our investor relations web site. The contents of these web sites are not intended to be incorporated by reference into this report or in any other report or document we file.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Annual Report on Form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380" w:hanging="644"/>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logistics, shipping delays,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and level of our investments in sales and marketing;</w:t>
      </w:r>
    </w:p>
    <w:p>
      <w:pPr>
        <w:spacing w:after="0" w:line="225"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the accuracy and timing of point-of-sale reporting by our “sell-through” channel partners, which impacts our ability to recognize revenue;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distributors, resellers or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markets;</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partners, or end-customers;</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jc w:val="both"/>
        <w:ind w:left="1300" w:right="36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or decreases in our billings, revenues and expenses caused by fluctuations in foreign currency exchange rates, as a significant portion of our expenses are incurred and paid in currencies other than the U.S. dollar, and fluctuations may impact the actual prices that partners and customers are willing to pay for our products and services;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8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right="6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channel partners may have insufficient financial resources and may not be able to withstand changes and challenges in business conditions;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 security, exports, the environment, and accounting standards.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slower or declining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Billings and revenue growth may slow, or we may experience a decrease in billings and revenue, for a number of reasons, including a slowdown in demand for our products or services, increased competition, a decrease in the growth of our overall market, softness in demand in certain geographies or industry verticals, such as the service provider industry, if we fail for any reason to continue to capitalize on growth opportunities, and due to other risks identified in the “Risk Factors.” Our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expenses as a percentage of total revenue may be higher than expected if our revenue is lower than expected and if our investments in sales and marketing and other functional areas do not result in expected billings and revenue growth, and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security subscription and FortiCare technical support services which may decline, and because we recognize revenue from FortiGuard security subscription and FortiCare technical support services over the term of the relevant service period, downturns or upturns in sales of FortiGuard security subscription and FortiCare technical support services are not immediately reflected in full in our operating results.</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security subscription and FortiCare technical support services revenue has historically accounted for a significant percentage of our total revenue. Sales of new, or renewals of existing, FortiGuard security subscription and FortiCare technical support services contracts may decline and fluctuate as a result of a number of factors, including fluctuations in purchases of FortiGate appliances, end-customers’ level of satisfaction with our products and services, the prices of our products and services, the prices of products and services offered by our competitors or reductions in our customers’ spending levels. If our sales of new, or renewals of existing FortiGuard security subscription and FortiCare technical support services contracts decline, our revenue and revenue growth may decline and our business could suffer. In addition, in the event significant customers require payment terms for FortiGuard security subscription or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and in some instances has been as long as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Consequently, a decline in new or renewed FortiGuard security subscription or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or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U.S. headquartered business’ sales in certain countries outside of the United States;</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complying with U.S. or other foreign laws and regulations for foreign operations, including the U.S. Foreign Corrupt Practices Act, the U.K. Bribery Act 2010, import and export control laws, tariffs, trade barriers and economic sanctions;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4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employment and other laws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An important part of our growth strategy is to increase sales of our products to large and medium-sized enterprises, service providers and government organizations. While we have increased sales in recent periods to large enterprises and service providers, we have experienced less traction selling to certain government organizations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71" w:lineRule="exact"/>
        <w:rPr>
          <w:sz w:val="20"/>
          <w:szCs w:val="20"/>
          <w:color w:val="auto"/>
        </w:rPr>
      </w:pPr>
    </w:p>
    <w:p>
      <w:pPr>
        <w:ind w:left="1300" w:right="4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enterprises,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68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 and</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Large and medium-sized enterprises, service providers and government organizations often undertake a significant evaluation process that results in a lengthy sales cycle, in some cases over 12 months. Although we have a channel sales model,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product purchases by large and medium-sized enterprises, service providers and government organizations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Large and medium-sized enterprises, service providers and government organizations typically have longer implementation cycles, require greater product functionality and scalability, expect a broader range of services, including design services, demand that vendors take on a larger share of risks, require acceptance provisions that can lead to a delay in revenue recognition, and expect greater payment flexibility from vendors.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w:t>
      </w:r>
    </w:p>
    <w:p>
      <w:pPr>
        <w:spacing w:after="0" w:line="193"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due to more demand for certain products than we had forecasted. If we are unable to effectively manage our inventory and that of our channel partners, our results of operations could be adversely affected.</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Chairman and Chief Executive Officer and Michael Xie, our Co-Founder, President and Chief Technology Officer, and any of our senior sales leaders or functional area leaders, could significantly delay or prevent the achievement of our development and strategic objectives. The loss of the services, or distraction, of our senior management for any reason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for qualified employees in network security and especially in the locations where we have a substantial presence and need for highly-skilled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2" w:right="27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divulged proprietary or other confidential information.</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The average sales prices for our products may decline for a variety of reasons, including competitive pricing pressures, discounts or promotional programs we offer, a change in our mix of products and anticipation of the introduction of new products.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average sales prices and gross profits for our products will decrease over product life cycles. We cannot ensure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shipments during the last two weeks of each quarter accounted for 31%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Increased market awareness of our capabilities and products and increased lead generation are essential to our continued growth and our success in all of our markets, particularly for the large enterprise,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if our marketing programs are not successful in continuing to create market awareness of our company and products and increased lead generation, we will not be able to achieve sustained growth, and our business, financial condition and results of operations will be adversely affected.</w:t>
      </w:r>
    </w:p>
    <w:p>
      <w:pPr>
        <w:spacing w:after="0" w:line="19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They may also</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market, sell and support products and services that are competitive with ours, and may devote more resources to the marketing, sales and support of such products.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During 2015, 2014 and 2013, Exclusive Networks Group, which distributed our solutions to a large group of resellers and end-customers, accounted for 18%, 15% and 12% of our total revenue, respectively.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Different customers deploy and use our products in different ways, and certain deployments and usages may subject our products to adverse conditions that may negatively impact the effectiveness and useful lifetime of our products.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security subscription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92" w:lineRule="exact"/>
        <w:rPr>
          <w:sz w:val="20"/>
          <w:szCs w:val="20"/>
          <w:color w:val="auto"/>
        </w:rPr>
      </w:pPr>
    </w:p>
    <w:p>
      <w:pPr>
        <w:ind w:left="1300" w:right="3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84"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color w:val="auto"/>
        </w:rPr>
        <w:t>Our business has grown over the last several years. We rely heavily on information technology and accounting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the manual processing of emails internally and receipt of customer purchase orders through email and, to a lesser extent, through electronic data interchange from our customers. Combined with the fact that we may receive a majority of our orders in the last few weeks of any given quarter, a significant interruption in our email service or other systems could result in delayed order fulfillment and decreased billings and revenue for that quarter. To manage any future growth effectively, we must continue to improve and expand our information technology and financial, operating and administrative systems and controls, and continue to manage headcount, capital and processes in an efficient manner. We may not be able to successfully implement requisite improvements to these systems, controls and processes, such as system access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implementing and maintaining our new enterprise resource planning system.</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purchased a new enterprise resource planning (“ERP”) system and are currently implementing the new system. ERP implementations are complex and time-consuming, and involve substantial expenditures on system software and implementation activities. The ERP system will be critical to our ability to provide important information to our management, obtain and deliver products, provide services and customer support, send invoices and track payments, fulfill contractual obligations, accurately maintain books and records, provide accurate, timely and reliable reports on our financial and operating results or otherwise operate our business. ERP implementations also require transformation of business and financial processes in order to reap the benefits of the ERP system; any such transformation involves risks inherent in the conversion to a new computer system, including loss of information and potential disruption to our normal operations. The implementation and maintenance of the new ERP system has required, and will continue to require, the investment of significant financial and human resources and the implementation may be subject to delays and cost overruns. In addition, we may not be able to successfully complete the implementation of the new ERP system without experiencing difficulties. Any disruptions, delays or deficiencies in the design and implementation or the ongoing maintenance of the new ERP system could adversely affect our ability to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we do not effectively implement the ERP system as planned or the system does not operate as intended, the effectiveness of our internal control over financial reporting could be adversely affected or our ability to assess it adequately could be delayed.</w:t>
      </w:r>
    </w:p>
    <w:p>
      <w:pPr>
        <w:spacing w:after="0" w:line="18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Annual Report on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Significant assumptions and estimates used in preparing our consolidated financial statements include those related to revenue recognition and sales return reserves, stock-based compensation expense, valuation of inventory, warranty liabilities, investments, accounting for business combination, goodwill and other long-lived assets, restructuring, accounting for income taxes, and litigation and settlement costs.</w:t>
      </w:r>
    </w:p>
    <w:p>
      <w:pPr>
        <w:spacing w:after="0" w:line="18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Faraday, K-Micro and Renesas. Our reliance on our third-party manufacturers in Asia and elsewhere reduces our control over the manufacturing process, exposing us to risks, including reduced control over quality assurance and product costs,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UMC and TSMC on a purchase order basis, and UMC and TSMC do not guarantee any capacity and could reject orders or could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78"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specialized disclosure report on Form SD covering the prior calendar year. We have incurred and expect to incur additional costs to comply with the rules, including costs related to the determination of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There can be no assurance that we will be able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16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or loss of sales and customers, or increase component costs resulting in lower gross margins.</w:t>
      </w:r>
    </w:p>
    <w:p>
      <w:pPr>
        <w:spacing w:after="0" w:line="16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While we are not currently engaged in material hedging activities, we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have been hedging currency exposures relating to certain balance sheet accounts and,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could increase the real cost of our products to our customers outside of the United States, which could also adversely affect our financial condition and results of operations.</w:t>
      </w:r>
    </w:p>
    <w:p>
      <w:pPr>
        <w:spacing w:after="0" w:line="15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example,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internal network system or our website is compromised, public perception of our products and services will be harmed, we may become subject to liability, and our business, operating results and stock price may be adversely impacted.</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and third parties may attempt to fraudulently induce our employees to disclose information in order to gain access to our network. We cannot assure you that the measures we have taken to protect our network and website will provide absolute security. Moreover, because we provide network security products, we may be a more attractive target for attacks by computer hackers. Although we have not yet experienced significant damages from unauthorized access by a third party of our internal network or website, an actual or perceived breach of network security occurs in our internal systems or website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1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 organization end-customers require higher levels of support than smaller end-customers because of their more complex deployments. If we fail to meet the requirements of our larger end-customers, it may be more difficult to execute on our strategy to increase our penetration with large enterprises, service providers and government organizations. As a result, our failure to maintain high quality support services would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147" w:lineRule="exact"/>
        <w:rPr>
          <w:sz w:val="20"/>
          <w:szCs w:val="20"/>
          <w:color w:val="auto"/>
        </w:rPr>
      </w:pPr>
    </w:p>
    <w:p>
      <w:pPr>
        <w:ind w:left="1300" w:right="36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court decisions, tax rulings and interpretations of tax laws, and regulations by international, federal or local governmental authorities; or</w:t>
      </w:r>
    </w:p>
    <w:p>
      <w:pPr>
        <w:spacing w:after="0" w:line="248" w:lineRule="exact"/>
        <w:rPr>
          <w:rFonts w:ascii="Arial" w:cs="Arial" w:eastAsia="Arial" w:hAnsi="Arial"/>
          <w:sz w:val="16"/>
          <w:szCs w:val="16"/>
          <w:color w:val="auto"/>
        </w:rPr>
      </w:pPr>
    </w:p>
    <w:p>
      <w:pPr>
        <w:ind w:left="1300" w:right="14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Significant judgment is required to determine the recognition and measurement attribute prescribed in the Financial Accounting Standards Board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Internal Revenue Service (“IRS”) and other tax authorities. We regularly assess the likelihood of adverse outcomes resulting from such examinations to determine the adequacy of our provision for income taxes.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In addition, we hold a significant portion of our cash and investments outside of the United States. Potential legislation could result in our transferring this cash and investments back to the United States, and potentially incurring an additional tax obligation.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w:t>
      </w:r>
    </w:p>
    <w:p>
      <w:pPr>
        <w:spacing w:after="0" w:line="16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we are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For example, we recently closed our acquisition of Meru. For any past acquisition or possible future acquisition,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Meru’s ERP system or sales and support processes and systems with our current ERP system or our sales and support processes and systems.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including our acquisition of Meru,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Although we generally have limitation of liability provisions in our standard terms and conditions of sale, they may not fully or effectively protect us from claims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office center in Vancouver, Canada is subject to the risk of flooding.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delays or cancellations of customer orders, or in the delay of the manufacture, deployment or shipment of our products, our business, financial condition and results of operations would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Sales of most of our products depend on increased demand for incorporating broad security functionality in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enterprise,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market for network security products is intensely competitive, and we expect competition to intensify in the future. Our competitors include companies such as Blue Coat, Check Point, Cisco/SourceFire, Dell/SonicWall, F5 Networks, FireEye, Intel/McAfee, Juniper, Palo Alto Networks and Sophos.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Cisco’s acquisition of SourceFire, Juniper’s acquisition of NetScreen Technologies Inc., Intel’s acquisition of McAfee, Check Point’s acquisition of Nokia Corporations’ security appliance business and Dell’s acquisition of SonicWALL),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solutions. These competitive pressures in our market or our failure to compete effectively may result in price reductions, fewer customer orders, reduced revenue and gross margins and loss of market share.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products contain software modules licensed to us by third-party authors under “open source” licenses, including the GNU Public License, the GNU Lesser Public License (LGPL), the BSD License, the Apache License the MIT X License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We have several on-going patent lawsuits and several non-practicing entity patent holding companies have sent us letters proposing that we license certain of their patents.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Sarbanes-Oxley Act of 2002, the Dodd-Frank Wall Street Reform and Consumer Protection Act of 2010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2015, our internal controls over financial reporting were effective, we cannot predict the outcome of our testing in 2016 or future periods. We may incur additional expenses and commitment of management’s time in connection with further evaluations, both of which could materially increase our operating expenses and accordingly reduce our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 change in accounting standards or practices, and varying interpretations of existing accounting pronouncements, such as changes to standards related to revenue recognition (which are effective for us beginning on January 1, 2018), the increased use of fair value measure, and financial instruments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Fortinet and our financial results, news about our competitors and their results, and other factors such as rumors or fluctuations in the valuation of companies perceived by investors to be comparable to us, or announcements regarding any stock repurchase programs and the timing and amount of shares we purchase under such programs. For example, over the past twelve months through the filing of this Report, the closing price of our common stock ranged from $23.83 to $48.83.</w:t>
      </w:r>
    </w:p>
    <w:p>
      <w:pPr>
        <w:spacing w:after="0" w:line="188" w:lineRule="exact"/>
        <w:rPr>
          <w:sz w:val="20"/>
          <w:szCs w:val="20"/>
          <w:color w:val="auto"/>
        </w:rPr>
      </w:pPr>
    </w:p>
    <w:p>
      <w:pPr>
        <w:ind w:firstLine="531"/>
        <w:spacing w:after="0" w:line="264"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political and market conditions, such as recessions, interest rate changes or international currency fluctuations, may negatively affect the market price of our common stock.</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31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corporate headquarters is located in Sunnyvale, California and comprises approximately 164,000 square feet of office and building space. In addition, during 2015, we purchased certain land and buildings adjacent to our corporate headquarters, totaling approximately 96,000 square feet and in Sophia, France totaling approximately 38,000 square feet, to support growth in our business operations. In February 2016, we purchased certain property in Union City, California totaling approximately 200,000 square feet.</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1" w:right="29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also lease approximately 130,000 square feet of space in Burnaby, Canada under lease agreements that expire at various dates through 2020 to support our research and development and operations. We maintain additional offices throughout the United States and various international locations, including France, the United Kingdom, China, Mexico, Germany, Japan and the Czech Republic. We believe that our existing properties are sufficient and suitable to meet our current needs. We intend to expand our facilities or add new facilities as we add employees and enter new geographic markets, and we believe that suitable additional or alternative space will be available as needed to accommodate ongoing operations and any such growth. However, we expect to incur additional expenses in connection with such new or expanded facilities.</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information regarding the geographical location of our property and equipment, see Note 14 to our consolidated financial statements in Part II, Item 8 of this Annual Report on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believe that the possibility that any of the current pending claims, complaints or legal proceedings will result in a material loss is remote.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“FTNT.” The following table sets forth, for the time periods indicated, the high and low closing sales price of our common stock, as reported on the NASDAQ Global Select Market.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4"/>
              </w:rPr>
              <w:t>2015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4"/>
              </w:rPr>
              <w:t>2014</w:t>
            </w:r>
          </w:p>
        </w:tc>
        <w:tc>
          <w:tcPr>
            <w:tcW w:w="86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12"/>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Low</w:t>
            </w:r>
          </w:p>
        </w:tc>
        <w:tc>
          <w:tcPr>
            <w:tcW w:w="260" w:type="dxa"/>
            <w:vAlign w:val="bottom"/>
          </w:tcPr>
          <w:p>
            <w:pPr>
              <w:spacing w:after="0"/>
              <w:rPr>
                <w:sz w:val="20"/>
                <w:szCs w:val="20"/>
                <w:color w:val="auto"/>
              </w:rPr>
            </w:pPr>
          </w:p>
        </w:tc>
        <w:tc>
          <w:tcPr>
            <w:tcW w:w="780" w:type="dxa"/>
            <w:vAlign w:val="bottom"/>
          </w:tcPr>
          <w:p>
            <w:pPr>
              <w:jc w:val="right"/>
              <w:ind w:right="212"/>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2"/>
              <w:spacing w:after="0"/>
              <w:rPr>
                <w:sz w:val="20"/>
                <w:szCs w:val="20"/>
                <w:color w:val="auto"/>
              </w:rPr>
            </w:pPr>
            <w:r>
              <w:rPr>
                <w:rFonts w:ascii="Arial" w:cs="Arial" w:eastAsia="Arial" w:hAnsi="Arial"/>
                <w:sz w:val="16"/>
                <w:szCs w:val="16"/>
                <w:b w:val="1"/>
                <w:bCs w:val="1"/>
                <w:color w:val="auto"/>
              </w:rPr>
              <w:t>Low</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48.83</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26.78</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23.69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35.48</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23.86</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19.02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February 19, 2016, there were 62 holders of record of our common stock. A substantially greater number of holders of our common stock are “street name” or beneficial holders, whose shares are held by banks, brokers and other financial institutions.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We have never declared or paid cash dividends on our capital stock.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This performance graph shall not be deemed “filed” for purposes of Section 18 of the Exchange Act, or incorporated by reference into any filing of Fortinet under the Securities Act of 1933, as amended (the “Securities Act</w:t>
      </w:r>
      <w:r>
        <w:rPr>
          <w:rFonts w:ascii="Arial" w:cs="Arial" w:eastAsia="Arial" w:hAnsi="Arial"/>
          <w:sz w:val="18"/>
          <w:szCs w:val="18"/>
          <w:color w:val="auto"/>
        </w:rPr>
        <w:t>”</w:t>
      </w:r>
      <w:r>
        <w:rPr>
          <w:rFonts w:ascii="Arial" w:cs="Arial" w:eastAsia="Arial" w:hAnsi="Arial"/>
          <w:sz w:val="18"/>
          <w:szCs w:val="18"/>
          <w:i w:val="1"/>
          <w:iCs w:val="1"/>
          <w:color w:val="auto"/>
        </w:rPr>
        <w:t>), or the Exchange Act, except as shall be expressly set forth by specific reference in such filing.</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following graph compares the cumulative five-year total return for our common stock, the NASDAQ Composite Index and the NASDAQ Computer Index. Such returns are based on historical results and are not intended to suggest future performance. Data for the NASDAQ Composite Index and the NASDAQ Computer Index assume reinvestment of dividends. We have never declared or paid cash dividends on our capital stock, nor do we anticipate paying any such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Fortinet, Inc., The NASDAQ Composite Index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5848985" cy="3207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color w:val="auto"/>
              </w:rPr>
              <w:t>December</w:t>
            </w:r>
          </w:p>
        </w:tc>
        <w:tc>
          <w:tcPr>
            <w:tcW w:w="16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color w:val="auto"/>
              </w:rPr>
              <w:t>December</w:t>
            </w:r>
          </w:p>
        </w:tc>
        <w:tc>
          <w:tcPr>
            <w:tcW w:w="16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color w:val="auto"/>
              </w:rPr>
              <w:t>December</w:t>
            </w: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color w:val="auto"/>
              </w:rPr>
              <w:t>December</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color w:val="auto"/>
              </w:rPr>
              <w:t>December</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6"/>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14"/>
              <w:spacing w:after="0"/>
              <w:rPr>
                <w:sz w:val="20"/>
                <w:szCs w:val="20"/>
                <w:color w:val="auto"/>
              </w:rPr>
            </w:pPr>
            <w:r>
              <w:rPr>
                <w:rFonts w:ascii="Arial" w:cs="Arial" w:eastAsia="Arial" w:hAnsi="Arial"/>
                <w:sz w:val="16"/>
                <w:szCs w:val="16"/>
                <w:color w:val="auto"/>
              </w:rPr>
              <w:t>2010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54"/>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54"/>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w w:val="93"/>
              </w:rPr>
              <w:t>December 2015</w:t>
            </w:r>
          </w:p>
        </w:tc>
      </w:tr>
      <w:tr>
        <w:trPr>
          <w:trHeight w:val="3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Fortinet, Inc.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NASDAQ Composite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2"/>
                <w:szCs w:val="22"/>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NASDAQ Computer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18"/>
        </w:trPr>
        <w:tc>
          <w:tcPr>
            <w:tcW w:w="4580" w:type="dxa"/>
            <w:vAlign w:val="bottom"/>
          </w:tcPr>
          <w:p>
            <w:pPr>
              <w:jc w:val="right"/>
              <w:ind w:right="3064"/>
              <w:spacing w:after="0"/>
              <w:rPr>
                <w:sz w:val="20"/>
                <w:szCs w:val="20"/>
                <w:color w:val="auto"/>
              </w:rPr>
            </w:pPr>
            <w:r>
              <w:rPr>
                <w:rFonts w:ascii="Arial" w:cs="Arial" w:eastAsia="Arial" w:hAnsi="Arial"/>
                <w:sz w:val="18"/>
                <w:szCs w:val="18"/>
                <w:b w:val="1"/>
                <w:bCs w:val="1"/>
                <w:color w:val="auto"/>
                <w:w w:val="88"/>
              </w:rPr>
              <w:t>________________</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ind w:right="480" w:firstLine="8"/>
        <w:spacing w:after="0" w:line="259" w:lineRule="auto"/>
        <w:tabs>
          <w:tab w:leader="none" w:pos="1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Assumes that $100 was invested on December 31, 2010 in stock or index, including reinvestment of dividends. Stockholder returns over the indicated period should not be considered indicative of future stockholder returns.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6, 2013, our board of directors authorized a Share Repurchase Program (the “Program”), to repurchase up to $200.0 million of our outstanding common stock. Under the Program, share repurchases may be made by us from time to time in privately negotiated transactions or in open market transactions. The Program does not require us to purchase a minimum number of shares, and may be suspended, modified or discontinued at any time without prior notice. In 2015, we repurchased 1.8 million shares of common stock under the Program in open market transactions for an aggregate purchase price of $60.0 million. The timing and amounts of these purchases were based on factors such as market conditions, price and regulatory requirements. The share repurchases were financed by available cash balances. The Program expired on December 31, 2015 with an unused balance under the Program of $62.5 million.</w:t>
      </w:r>
    </w:p>
    <w:p>
      <w:pPr>
        <w:spacing w:after="0" w:line="18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during the three months ended December 31, 2015 (in thousands, except share and per share amounts):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39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0"/>
        </w:trPr>
        <w:tc>
          <w:tcPr>
            <w:tcW w:w="102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 Shares</w:t>
            </w:r>
          </w:p>
        </w:tc>
        <w:tc>
          <w:tcPr>
            <w:tcW w:w="140" w:type="dxa"/>
            <w:vAlign w:val="bottom"/>
          </w:tcPr>
          <w:p>
            <w:pPr>
              <w:spacing w:after="0"/>
              <w:rPr>
                <w:sz w:val="24"/>
                <w:szCs w:val="24"/>
                <w:color w:val="auto"/>
              </w:rPr>
            </w:pPr>
          </w:p>
        </w:tc>
        <w:tc>
          <w:tcPr>
            <w:tcW w:w="1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 Number of Shares</w:t>
            </w: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Announced Plan or Program</w:t>
            </w:r>
          </w:p>
        </w:tc>
        <w:tc>
          <w:tcPr>
            <w:tcW w:w="140" w:type="dxa"/>
            <w:vAlign w:val="bottom"/>
          </w:tcPr>
          <w:p>
            <w:pPr>
              <w:spacing w:after="0"/>
              <w:rPr>
                <w:sz w:val="7"/>
                <w:szCs w:val="7"/>
                <w:color w:val="auto"/>
              </w:rPr>
            </w:pPr>
          </w:p>
        </w:tc>
        <w:tc>
          <w:tcPr>
            <w:tcW w:w="19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05"/>
        </w:trPr>
        <w:tc>
          <w:tcPr>
            <w:tcW w:w="1020" w:type="dxa"/>
            <w:vAlign w:val="bottom"/>
          </w:tcPr>
          <w:p>
            <w:pPr>
              <w:spacing w:after="0"/>
              <w:rPr>
                <w:sz w:val="9"/>
                <w:szCs w:val="9"/>
                <w:color w:val="auto"/>
              </w:rPr>
            </w:pPr>
          </w:p>
        </w:tc>
        <w:tc>
          <w:tcPr>
            <w:tcW w:w="27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9"/>
                <w:szCs w:val="9"/>
                <w:color w:val="auto"/>
              </w:rPr>
            </w:pPr>
          </w:p>
        </w:tc>
        <w:tc>
          <w:tcPr>
            <w:tcW w:w="2060" w:type="dxa"/>
            <w:vAlign w:val="bottom"/>
            <w:vMerge w:val="restart"/>
          </w:tcPr>
          <w:p>
            <w:pPr>
              <w:jc w:val="right"/>
              <w:ind w:right="617"/>
              <w:spacing w:after="0"/>
              <w:rPr>
                <w:sz w:val="20"/>
                <w:szCs w:val="20"/>
                <w:color w:val="auto"/>
              </w:rPr>
            </w:pPr>
            <w:r>
              <w:rPr>
                <w:rFonts w:ascii="Arial" w:cs="Arial" w:eastAsia="Arial" w:hAnsi="Arial"/>
                <w:sz w:val="14"/>
                <w:szCs w:val="14"/>
                <w:b w:val="1"/>
                <w:bCs w:val="1"/>
                <w:color w:val="auto"/>
              </w:rPr>
              <w:t>Purchased</w:t>
            </w:r>
          </w:p>
        </w:tc>
        <w:tc>
          <w:tcPr>
            <w:tcW w:w="120" w:type="dxa"/>
            <w:vAlign w:val="bottom"/>
            <w:vMerge w:val="restart"/>
          </w:tcPr>
          <w:p>
            <w:pPr>
              <w:spacing w:after="0"/>
              <w:rPr>
                <w:sz w:val="9"/>
                <w:szCs w:val="9"/>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vMerge w:val="restart"/>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02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04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October 1 - October 31, 2015</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281,558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34.42</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281,558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112,803</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November 1 - November 30, 2015</w:t>
            </w:r>
          </w:p>
        </w:tc>
        <w:tc>
          <w:tcPr>
            <w:tcW w:w="2060" w:type="dxa"/>
            <w:vAlign w:val="bottom"/>
          </w:tcPr>
          <w:p>
            <w:pPr>
              <w:jc w:val="right"/>
              <w:ind w:right="37"/>
              <w:spacing w:after="0"/>
              <w:rPr>
                <w:sz w:val="20"/>
                <w:szCs w:val="20"/>
                <w:color w:val="auto"/>
              </w:rPr>
            </w:pPr>
            <w:r>
              <w:rPr>
                <w:rFonts w:ascii="Arial" w:cs="Arial" w:eastAsia="Arial" w:hAnsi="Arial"/>
                <w:sz w:val="18"/>
                <w:szCs w:val="18"/>
                <w:color w:val="auto"/>
              </w:rPr>
              <w:t>1,348,450</w:t>
            </w:r>
          </w:p>
        </w:tc>
        <w:tc>
          <w:tcPr>
            <w:tcW w:w="12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1,348,450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66,950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December 1 - December 31, 2015</w:t>
            </w:r>
          </w:p>
        </w:tc>
        <w:tc>
          <w:tcPr>
            <w:tcW w:w="2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128,613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34.64</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128,613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January 2016, our board of directors approved a new Share Repurchase Program (the “New Program”), which authorizes the repurchase of up to $200.0 million of our outstanding common stock through December 31, 2017. Subsequent to December 31, 2015, through the filing of this Report, we have repurchased 2.0 million shares of our common stock under the New Program at an average price of $24.97 per share, for an aggregate purchase price of $50.0 million. We have $150.0 million in authorized funds remaining under the New Program as of the filing date.</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following selected consolidated financial data set forth below was derived from our historical audited consolidated financial statements and should be read in conjunction with the section titled “Management’s Discussion and Analysis of Financial Condition and Results of Operations” and “Financial Statements and Supplementary Data,” and other financial data included elsewhere in this Annual Report on Form 10-K. Our historical results of operations are not indicative of our future results of operations.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gridSpan w:val="4"/>
          </w:tcPr>
          <w:p>
            <w:pPr>
              <w:jc w:val="center"/>
              <w:ind w:left="593"/>
              <w:spacing w:after="0"/>
              <w:rPr>
                <w:sz w:val="20"/>
                <w:szCs w:val="20"/>
                <w:color w:val="auto"/>
              </w:rPr>
            </w:pPr>
            <w:r>
              <w:rPr>
                <w:rFonts w:ascii="Arial" w:cs="Arial" w:eastAsia="Arial" w:hAnsi="Arial"/>
                <w:sz w:val="16"/>
                <w:szCs w:val="16"/>
                <w:b w:val="1"/>
                <w:bCs w:val="1"/>
                <w:color w:val="auto"/>
                <w:w w:val="91"/>
              </w:rPr>
              <w:t>Year Ended December 31,</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20"/>
                <w:szCs w:val="20"/>
                <w:color w:val="auto"/>
              </w:rPr>
            </w:pPr>
          </w:p>
        </w:tc>
        <w:tc>
          <w:tcPr>
            <w:tcW w:w="10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20"/>
                <w:szCs w:val="20"/>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2013</w:t>
            </w:r>
          </w:p>
        </w:tc>
        <w:tc>
          <w:tcPr>
            <w:tcW w:w="36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2012</w:t>
            </w:r>
          </w:p>
        </w:tc>
        <w:tc>
          <w:tcPr>
            <w:tcW w:w="4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2011</w:t>
            </w: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80" w:type="dxa"/>
            <w:vAlign w:val="bottom"/>
            <w:gridSpan w:val="5"/>
          </w:tcPr>
          <w:p>
            <w:pPr>
              <w:jc w:val="center"/>
              <w:ind w:right="271"/>
              <w:spacing w:after="0"/>
              <w:rPr>
                <w:sz w:val="20"/>
                <w:szCs w:val="20"/>
                <w:color w:val="auto"/>
              </w:rPr>
            </w:pPr>
            <w:r>
              <w:rPr>
                <w:rFonts w:ascii="Arial" w:cs="Arial" w:eastAsia="Arial" w:hAnsi="Arial"/>
                <w:sz w:val="16"/>
                <w:szCs w:val="16"/>
                <w:b w:val="1"/>
                <w:bCs w:val="1"/>
                <w:color w:val="auto"/>
                <w:w w:val="88"/>
              </w:rPr>
              <w:t>(in thousands, except per share amounts)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1,009,268</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770,364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615,297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533,639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433,576</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14,877</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72,090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100,475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88,904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7,987</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25,343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44,273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66,836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62,492</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8"/>
                <w:szCs w:val="18"/>
                <w:color w:val="auto"/>
                <w:vertAlign w:val="subscript"/>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60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0.27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0.42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0.41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0.26</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170,385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163,831</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162,435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158,074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152,581</w:t>
            </w:r>
          </w:p>
        </w:tc>
      </w:tr>
      <w:tr>
        <w:trPr>
          <w:trHeight w:val="243"/>
        </w:trPr>
        <w:tc>
          <w:tcPr>
            <w:tcW w:w="4120" w:type="dxa"/>
            <w:vAlign w:val="bottom"/>
          </w:tcPr>
          <w:p>
            <w:pPr>
              <w:ind w:left="60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176,141</w:t>
            </w:r>
          </w:p>
        </w:tc>
        <w:tc>
          <w:tcPr>
            <w:tcW w:w="4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169,289</w:t>
            </w: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168,183</w:t>
            </w:r>
          </w:p>
        </w:tc>
        <w:tc>
          <w:tcPr>
            <w:tcW w:w="3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166,329</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163,781</w:t>
            </w:r>
          </w:p>
        </w:tc>
      </w:tr>
      <w:tr>
        <w:trPr>
          <w:trHeight w:val="575"/>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20"/>
                <w:szCs w:val="20"/>
                <w:color w:val="auto"/>
              </w:rPr>
            </w:pPr>
          </w:p>
        </w:tc>
        <w:tc>
          <w:tcPr>
            <w:tcW w:w="10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20"/>
                <w:szCs w:val="20"/>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2013</w:t>
            </w:r>
          </w:p>
        </w:tc>
        <w:tc>
          <w:tcPr>
            <w:tcW w:w="36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2012</w:t>
            </w:r>
          </w:p>
        </w:tc>
        <w:tc>
          <w:tcPr>
            <w:tcW w:w="4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2011</w:t>
            </w: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center"/>
              <w:ind w:right="132"/>
              <w:spacing w:after="0"/>
              <w:rPr>
                <w:sz w:val="20"/>
                <w:szCs w:val="20"/>
                <w:color w:val="auto"/>
              </w:rPr>
            </w:pPr>
            <w:r>
              <w:rPr>
                <w:rFonts w:ascii="Arial" w:cs="Arial" w:eastAsia="Arial" w:hAnsi="Arial"/>
                <w:sz w:val="16"/>
                <w:szCs w:val="16"/>
                <w:b w:val="1"/>
                <w:bCs w:val="1"/>
                <w:color w:val="auto"/>
                <w:w w:val="88"/>
              </w:rPr>
              <w:t>(in thousands)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1,164,310</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991,744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843,045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739,586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538,687</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1,790,510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1,424,774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1,168,464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975,497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734,747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755,377</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675,966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585,760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510,934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358,354</w:t>
            </w:r>
          </w:p>
        </w:tc>
      </w:tr>
      <w:tr>
        <w:trPr>
          <w:trHeight w:val="702"/>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27A of the Securities Act and Section 21E of the Exchange Act. These statements include, among other things, statements concerning our expectations regarding:</w:t>
      </w:r>
    </w:p>
    <w:p>
      <w:pPr>
        <w:spacing w:after="0" w:line="124"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w:t>
      </w:r>
    </w:p>
    <w:p>
      <w:pPr>
        <w:spacing w:after="0" w:line="225" w:lineRule="exact"/>
        <w:rPr>
          <w:rFonts w:ascii="Arial" w:cs="Arial" w:eastAsia="Arial" w:hAnsi="Arial"/>
          <w:sz w:val="18"/>
          <w:szCs w:val="18"/>
          <w:i w:val="1"/>
          <w:iCs w:val="1"/>
          <w:color w:val="auto"/>
        </w:rPr>
      </w:pPr>
    </w:p>
    <w:p>
      <w:pPr>
        <w:ind w:left="1300" w:right="4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and other revenue, and the mix of billings between products and services;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growing our sales to enterprise, service provider and government organizations, and the impact of sales to these organizations on our long-term growth, expansion, and operating results;</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growing our channel partner relationships, especially with enterprise resellers;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research and development expense, sales and marketing expense, general and administrative expense, and expectations regarding these expenses as a percentage of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sales and marketing, and the impact of those investments;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capital expenditures;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integration of acquired companies and technologies;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implementation of a new enterprise resource planning (“ERP”) system;</w:t>
      </w:r>
    </w:p>
    <w:p>
      <w:pPr>
        <w:spacing w:after="0" w:line="225" w:lineRule="exact"/>
        <w:rPr>
          <w:rFonts w:ascii="Arial" w:cs="Arial" w:eastAsia="Arial" w:hAnsi="Arial"/>
          <w:sz w:val="18"/>
          <w:szCs w:val="18"/>
          <w:i w:val="1"/>
          <w:iCs w:val="1"/>
          <w:color w:val="auto"/>
        </w:rPr>
      </w:pPr>
    </w:p>
    <w:p>
      <w:pPr>
        <w:ind w:left="1300" w:right="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intentions regarding repatriation of cash, cash equivalents and investments held by our international subsidiaries and the sufficiency of our existing cash, cash equivalents and investments to meet our cash needs for at least the next 12 months;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Part I, Item 1A of this Annual Report on Form 10-K and those discussed in other documents we file with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provide high performance cybersecurity solutions to a wide variety of enterprises, service providers and government organizations of all sizes across the globe, including a majority of the 2015 Fortune 100. Our cybersecurity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solutions are fast, secure and designed to provide broad, rapid protection against dynamic security threats while simplifying the IT infrastructure of our end-customers worldwide.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core product platform is the FortiGate physical and virtual appliance, which ships with a set of broad security services, including firewall, VPN, application control, intrusion prevention, web filtering and advanced threat protection (“ATP”). These security services are enabled by FortiGuard which provides extensive threat research and a global cloud network to deliver protection services to each FortiGate appliance. FortiGate also has extensive networking capability such as switching, routing, native internet protocol version 6 and different modes of deployment. FortiManager provides central management and FortiAnalyzer provides reporting and analytics. The FortiGate platform can be extended to provide enhanced capabilities. For example, it can be used as a wireless controller for access points. An external sandbox can also be attached for local ATP analysis.</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Customers select the functions or combination of functions that best meet their specific security requirements such as a high-speed DCFW at the network core, a NGFW at the edge or a broad UTM solution at branch sites. We derive a substantial majority of product sales from our FortiGate appliances, which range from the FortiGate-20 to -100 series, designed for small businesses, FortiGate-200 to -900 series for mid-sized enterprises, to the FortiGate-1000 to -5000 series for large enterprises and service providers. Our network security platform also includes our FortiGuard security subscription services, to which end-customers can subscribe in order to obtain access to dynamic updates to application control, anti-virus, intrusion prevention, web filtering, and anti-spam functionality. End-customers can also choose to purchase FortiCare technical support services for our products. End-customers also often use FortiManager and FortiAnalyzer products in conjunction with a FortiGate deployment to provide centralized management and analysis and reporting capabilities.</w:t>
      </w:r>
    </w:p>
    <w:p>
      <w:pPr>
        <w:spacing w:after="0" w:line="16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complement our core FortiGate product line with other appliances and software licenses that offer additional protection from security threats to other critical areas of the enterprise, such as our secure wireless and access technologies, advanced threat protection, secure email gateway, web application firewalls, application delivery controllers, databases security product, DDoS security product, and endpoint security product for employee computers and mobile devices. Sales of these complementary products have grown in recent quarters.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1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recorded total revenue of $1.01 billion in 2015, an increase of 31% compared to 2014. Product revenue was $476.8 million in 2015, an increase of 32% compared to 2014. Service revenue was $532.5 million in 2015, an increase of 30% compared to 2014.</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cash equivalents and investments were $1.16 billion as of December 31, 2015, an increase of $172.6 million, or 17%, from December 31, 2014.</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Deferred revenue was $791.3 million as of December 31, 2015, an increase of $232.5 million, or 42%, from December 31, 2014</w:t>
      </w:r>
      <w:r>
        <w:rPr>
          <w:rFonts w:ascii="Arial" w:cs="Arial" w:eastAsia="Arial" w:hAnsi="Arial"/>
          <w:sz w:val="18"/>
          <w:szCs w:val="18"/>
          <w:color w:val="0000FF"/>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$282.5 million in 2015, an increase of $86.0 million, or 44%, compared to 2014.</w:t>
      </w:r>
    </w:p>
    <w:p>
      <w:pPr>
        <w:spacing w:after="0" w:line="225" w:lineRule="exact"/>
        <w:rPr>
          <w:rFonts w:ascii="Arial" w:cs="Arial" w:eastAsia="Arial" w:hAnsi="Arial"/>
          <w:sz w:val="18"/>
          <w:szCs w:val="18"/>
          <w:color w:val="auto"/>
        </w:rPr>
      </w:pPr>
    </w:p>
    <w:p>
      <w:pPr>
        <w:ind w:left="660" w:right="18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July 2015, we acquired Meru, a provider of Wi-Fi networking products and services, for total consideration of $41.8 million. In connection with the business acquisition of Meru, we initiated planned cost reduction and restructuring activities to improve our cost structure and operational efficiencies, resulting in workforce reductions, consolidation of certain real estate facilities, asset write-downs, contract terminations and other charges. Restructuring charges for the year ended December 31, 2015 were $7.6 million.</w:t>
      </w:r>
    </w:p>
    <w:p>
      <w:pPr>
        <w:spacing w:after="0" w:line="18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repurchased 1.8 million shares of common stock under our previously-announced Share Repurchase Program for an aggregate purchase price of $60.0 million in 2015.</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Revenue grew in 2015 as our integrated security platform products put us in a strong competitive position in a robust security market. We continue to strengthen partnerships with enterprise resellers and gain from our prior sales investments. In addition, we continue to execute our strategy of selling to enterprise customers and landing large deals with some of these customers. Enterprise customers have vast infrastructures and we believe this will provide expansion opportunities for us in the future. Our strategy has enabled us to gain market share, win new customers, and expand within existing customer accounts, especially in the large enterprise market which is key to our long-term growth and profitability strategy. Large enterprises represent significant opportunity for cross-sell and upsell as they tend to purchase more products and services over time,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yielding substantial lifetime value. Aside from obtaining new customers, other levers to drive long-term growth and operating leverage include adding more functionality and value in our security subscription and support service offerings to customers.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2015, sales of high-end FortiGate products (FortiGate-1000 to -5000 series) increased due to enterprise adoption of our high-end appliances such as the FortiGate-1500D, -3700D, and -5000 series. The percentage of our FortiGate related billings from high-end products increased from 38% in 2014 to 41% in 2015, while the mid-range products decreased from 26% in 2014 to 25% in 2015 and the entry-level products decreased from 36% in 2014 to 34% in 2015.</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2015, operating expenses increased by $227.6 million, or 47%, as compared to 2014. The increase was primarily driven by our accelerated pace of hiring and continued investments to expand our sales coverage, grow our marketing capabilities, develop new products and scale our customer support. We also continue to invest in research and development to strengthen our technology leadership position. We believe that continued product innovation has strengthened our technology and resulted in market share gains. In addition, we incurred costs from the integration of Meru and the implementation of restructuring activities and expenses related to business design and reengineering in preparation of an ERP system implementation. Headcount increased by 41% to 4,018 employees and contractors as of December 31, 2015, up from 2,854 as of December 31,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Our sales strategy is based on a distribution model whereby we primarily sell our products and services directly to distributors which sell to resellers and service providers, which, in turn, sell to our end-customers. In certain cases, we sell directly to government-focused resellers, large service providers and major systems integrators, which have significant purchasing power and unique customer deployment requirements. Typically, FortiGuard security subscription services and FortiCare technical support services are purchased along with our physical and virtual appliances, most frequently as part of a bundle offering that includes hardware and services. We invoice at the time of our sale for the total price of the products and subscription and technical support services, and the invoice generally becomes payable within 30 to 90 days. We generally recognize product revenue up-front and defer revenue for the sale of new, and renewal of existing, FortiGuard security subscription and FortiCare technical support services contracts. We recognize the related service revenue over the service period, which is typically one to three years, although it can be as long as five years. Sales of new and renewal services are a source of recurring revenue and increase our deferred revenue balance, which contributes significantly to our positive cash flow from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monitor a number of financial and operating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“—Components of Operating Results,”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4"/>
          </w:tcPr>
          <w:p>
            <w:pPr>
              <w:jc w:val="center"/>
              <w:ind w:left="612"/>
              <w:spacing w:after="0"/>
              <w:rPr>
                <w:sz w:val="20"/>
                <w:szCs w:val="20"/>
                <w:color w:val="auto"/>
              </w:rPr>
            </w:pPr>
            <w:r>
              <w:rPr>
                <w:rFonts w:ascii="Arial" w:cs="Arial" w:eastAsia="Arial" w:hAnsi="Arial"/>
                <w:sz w:val="16"/>
                <w:szCs w:val="16"/>
                <w:b w:val="1"/>
                <w:bCs w:val="1"/>
                <w:color w:val="auto"/>
                <w:w w:val="91"/>
              </w:rPr>
              <w:t>Year Ended or As of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20"/>
                <w:szCs w:val="20"/>
                <w:color w:val="auto"/>
              </w:rPr>
            </w:pPr>
          </w:p>
        </w:tc>
        <w:tc>
          <w:tcPr>
            <w:tcW w:w="132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2014</w:t>
            </w:r>
          </w:p>
        </w:tc>
        <w:tc>
          <w:tcPr>
            <w:tcW w:w="54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right="112"/>
              <w:spacing w:after="0"/>
              <w:rPr>
                <w:sz w:val="20"/>
                <w:szCs w:val="20"/>
                <w:color w:val="auto"/>
              </w:rPr>
            </w:pPr>
            <w:r>
              <w:rPr>
                <w:rFonts w:ascii="Arial" w:cs="Arial" w:eastAsia="Arial" w:hAnsi="Arial"/>
                <w:sz w:val="16"/>
                <w:szCs w:val="16"/>
                <w:b w:val="1"/>
                <w:bCs w:val="1"/>
                <w:color w:val="auto"/>
                <w:w w:val="90"/>
              </w:rPr>
              <w:t>(in thousands)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1,009,268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770,364</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615,297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791,303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558,757</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432,628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1,232,014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896,493</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684,190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1,164,310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991,744</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843,045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282,547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196,582</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147,384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245,189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164,385</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133,507</w:t>
            </w:r>
          </w:p>
        </w:tc>
      </w:tr>
    </w:tbl>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is amortized as revenue ratably over the contractual service period. The majority of our deferred revenue balance consists of the unrecognized portion of service revenue from FortiGuard security subscription and FortiCare technical support service contracts. We monitor our deferred revenue balance because it represents a significant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portion of revenue to be recognized in future periods. Total deferred revenue as of December 31, 2015 increased by $232.5 million or 42% compared to a year ago. Total deferred revenue as of December 31, 2015 of $791.3 million included deferred revenue relating to Meru of $14.5 million, or 2% of total deferred revenue. Excluding Meru’s deferred revenue, our deferred revenue as of December 31, 2015 was $776.8 million, an increase of $218.0 million or 39% compared to a year ago.</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Billings (Non-GAAP).</w:t>
      </w:r>
      <w:r>
        <w:rPr>
          <w:rFonts w:ascii="Arial" w:cs="Arial" w:eastAsia="Arial" w:hAnsi="Arial"/>
          <w:sz w:val="16"/>
          <w:szCs w:val="16"/>
          <w:color w:val="auto"/>
        </w:rPr>
        <w:t>We define billings as revenue recognized in accordance with GAAP plus the change in deferred revenue from the beginning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end of the period less any deferred revenue balances acquired from business combination(s) during the period. We consider billings to be a useful metric for management and investors because billings drives deferred revenue, which is an important indicator of the health and viability of our business. There are a number of limitations related to the use of billings instead of GAAP revenue. First, billings include amounts that have not yet been recognized as revenue. Second, we may calculate billings in a manner that is different from peer companies that report similar financial measures. Management compensates for these limitations by providing specific information regarding GAAP revenue and evaluating billings together with GAAP revenue.</w:t>
      </w:r>
    </w:p>
    <w:p>
      <w:pPr>
        <w:spacing w:after="0" w:line="16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Total billings for the year ended December 31, 2015 increased by $335.5 million, or 37%, compared to the year ended December 31, 2014. Total billings for the year ended December 31, 2015 of $1.23 billion included Meru’s billings from July 8, 2015 to December 31, 2015 of $32.8 million, or 3% of total billings. Excluding Meru, our billings for the year ended December 31, 2015 were $1.20 billion, an increase of 34% compared to the year ended December 31, 2014.</w:t>
      </w:r>
    </w:p>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reconciliation of billings to revenue, the most directly comparable financial measure calculated and presented in accordance with GAAP, is provided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total consolidated GAAP revenue to billings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center"/>
              <w:ind w:right="13"/>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3"/>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1,009,268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770,364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615,297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increase in deferred revenue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232,546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126,129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69,443</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Less deferred revenue balance acquired in business combination</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1,232,014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896,493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684,190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Reconciliation of Meru</w:t>
            </w:r>
            <w:r>
              <w:rPr>
                <w:rFonts w:ascii="Arial" w:cs="Arial" w:eastAsia="Arial" w:hAnsi="Arial"/>
                <w:sz w:val="18"/>
                <w:szCs w:val="18"/>
                <w:color w:val="auto"/>
              </w:rPr>
              <w:t>’</w:t>
            </w:r>
            <w:r>
              <w:rPr>
                <w:rFonts w:ascii="Arial" w:cs="Arial" w:eastAsia="Arial" w:hAnsi="Arial"/>
                <w:sz w:val="18"/>
                <w:szCs w:val="18"/>
                <w:i w:val="1"/>
                <w:iCs w:val="1"/>
                <w:color w:val="auto"/>
              </w:rPr>
              <w:t>s GAAP revenue to billings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6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center"/>
              <w:ind w:right="313"/>
              <w:spacing w:after="0"/>
              <w:rPr>
                <w:sz w:val="20"/>
                <w:szCs w:val="20"/>
                <w:color w:val="auto"/>
              </w:rPr>
            </w:pPr>
            <w:r>
              <w:rPr>
                <w:rFonts w:ascii="Arial" w:cs="Arial" w:eastAsia="Arial" w:hAnsi="Arial"/>
                <w:sz w:val="16"/>
                <w:szCs w:val="16"/>
                <w:b w:val="1"/>
                <w:bCs w:val="1"/>
                <w:color w:val="auto"/>
                <w:w w:val="92"/>
              </w:rPr>
              <w:t>For the period</w:t>
            </w:r>
          </w:p>
        </w:tc>
        <w:tc>
          <w:tcPr>
            <w:tcW w:w="0" w:type="dxa"/>
            <w:vAlign w:val="bottom"/>
          </w:tcPr>
          <w:p>
            <w:pPr>
              <w:spacing w:after="0"/>
              <w:rPr>
                <w:sz w:val="1"/>
                <w:szCs w:val="1"/>
                <w:color w:val="auto"/>
              </w:rPr>
            </w:pPr>
          </w:p>
        </w:tc>
      </w:tr>
      <w:tr>
        <w:trPr>
          <w:trHeight w:val="249"/>
        </w:trPr>
        <w:tc>
          <w:tcPr>
            <w:tcW w:w="6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center"/>
              <w:ind w:right="153"/>
              <w:spacing w:after="0"/>
              <w:rPr>
                <w:sz w:val="20"/>
                <w:szCs w:val="20"/>
                <w:color w:val="auto"/>
              </w:rPr>
            </w:pPr>
            <w:r>
              <w:rPr>
                <w:rFonts w:ascii="Arial" w:cs="Arial" w:eastAsia="Arial" w:hAnsi="Arial"/>
                <w:sz w:val="16"/>
                <w:szCs w:val="16"/>
                <w:b w:val="1"/>
                <w:bCs w:val="1"/>
                <w:color w:val="auto"/>
                <w:w w:val="91"/>
              </w:rPr>
              <w:t>July 8, 2015 through</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53"/>
              <w:spacing w:after="0"/>
              <w:rPr>
                <w:sz w:val="20"/>
                <w:szCs w:val="20"/>
                <w:color w:val="auto"/>
              </w:rPr>
            </w:pPr>
            <w:r>
              <w:rPr>
                <w:rFonts w:ascii="Arial" w:cs="Arial" w:eastAsia="Arial" w:hAnsi="Arial"/>
                <w:sz w:val="16"/>
                <w:szCs w:val="16"/>
                <w:b w:val="1"/>
                <w:bCs w:val="1"/>
                <w:color w:val="auto"/>
                <w:w w:val="90"/>
              </w:rPr>
              <w:t>December 31, 2015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333"/>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28,050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increase in deferred revenue</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32,756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Free cash flow (Non-GAAP). </w:t>
      </w:r>
      <w:r>
        <w:rPr>
          <w:rFonts w:ascii="Arial" w:cs="Arial" w:eastAsia="Arial" w:hAnsi="Arial"/>
          <w:sz w:val="16"/>
          <w:szCs w:val="16"/>
          <w:color w:val="auto"/>
        </w:rPr>
        <w:t>We define free cash flow as net cash provided by operating activities minus capital expenditures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and equipment. We consider free cash flow to be a liquidity measure that provides useful information to management and investors about the amount of cash generated by the business that, after the acquisition of property and equipment, can be used for strategic opportunities, including investing in our business, making strategic acquisitions, repurchasing outstanding common stock and strengthening the balance sheet. Analysis of free cash flow facilitates management’s comparison of our operating results to those of our peer companies. A limitation of using free cash flow rather than the GAAP measure of net cash provided by operating activities as a means for evaluating liquidity is that free cash flow does not represent the total increase or decrease in the cash, cash equivalents and investments balance for the period because it excludes cash provided by or used for other investing and financing activities. Management accounts for this limitation by providing information about our capital expenditures and other investing and financing activities on the face of the cash flow statement and under “—Liquidity and Capital Resources.” A reconciliation of free cash flow to net cash provided by operating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activities, the most directly comparable financial measure calculated and presented in accordance with GAAP, is provided below:</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4"/>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2"/>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282,547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196,582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147,384</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(37,358)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1040" w:type="dxa"/>
            <w:vAlign w:val="bottom"/>
            <w:tcBorders>
              <w:top w:val="single" w:sz="8" w:color="auto"/>
              <w:bottom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245,189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164,385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133,507</w:t>
            </w:r>
          </w:p>
        </w:tc>
      </w:tr>
      <w:tr>
        <w:trPr>
          <w:trHeight w:val="20"/>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generate the majority of our revenue from sales of our products and amortization of amounts included in deferred revenue related to previous sales of FortiGuard security subscription and FortiCare technical support services. Revenue is recognized when persuasive evidence of an arrangement exists, delivery has occurred or services have been rendered, the sales price is fixed or determinable and collectability is reasonably assured.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revenue is comprised of the following:</w:t>
      </w:r>
    </w:p>
    <w:p>
      <w:pPr>
        <w:spacing w:after="0" w:line="117" w:lineRule="exact"/>
        <w:rPr>
          <w:sz w:val="20"/>
          <w:szCs w:val="20"/>
          <w:color w:val="auto"/>
        </w:rPr>
      </w:pPr>
    </w:p>
    <w:p>
      <w:pPr>
        <w:ind w:left="1300" w:right="140" w:hanging="644"/>
        <w:spacing w:after="0" w:line="276"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Product revenue</w:t>
      </w:r>
      <w:r>
        <w:rPr>
          <w:rFonts w:ascii="Arial" w:cs="Arial" w:eastAsia="Arial" w:hAnsi="Arial"/>
          <w:sz w:val="17"/>
          <w:szCs w:val="17"/>
          <w:color w:val="auto"/>
        </w:rPr>
        <w:t>. Product revenue is generated from sales of our appliances. The substantial majority of our product revenue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generated by our FortiGate line of appliances, and we do not expect this to change in the foreseeable future. Product revenue also includes revenue derived from sales of appliances, as well as from sales of our FortiClient and VDOM software. As a percentage of total revenue, we expect that our product revenue may vary from quarter-to-quarter based on seasonal and cyclical factors, as discussed below under “— Quarterly Results of Operations” but will remain at a relatively comparable level in 2016.</w:t>
      </w:r>
    </w:p>
    <w:p>
      <w:pPr>
        <w:spacing w:after="0" w:line="172" w:lineRule="exact"/>
        <w:rPr>
          <w:rFonts w:ascii="Arial" w:cs="Arial" w:eastAsia="Arial" w:hAnsi="Arial"/>
          <w:sz w:val="17"/>
          <w:szCs w:val="17"/>
          <w:color w:val="auto"/>
        </w:rPr>
      </w:pPr>
    </w:p>
    <w:p>
      <w:pPr>
        <w:ind w:left="1300" w:right="60" w:hanging="644"/>
        <w:spacing w:after="0" w:line="270"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Service revenue</w:t>
      </w:r>
      <w:r>
        <w:rPr>
          <w:rFonts w:ascii="Arial" w:cs="Arial" w:eastAsia="Arial" w:hAnsi="Arial"/>
          <w:sz w:val="17"/>
          <w:szCs w:val="17"/>
          <w:color w:val="auto"/>
        </w:rPr>
        <w:t>. Service revenue is generated primarily from FortiGuard security subscription services related to application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antivirus, intrusion prevention, web filtering, anti-spam, ATP and vulnerability management updates, and from FortiCare technical support services for software updates, maintenance releases and patches, Internet access to technical content, telephone and Internet access to technical support personnel and hardware support. We recognize revenue from FortiGuard security subscription and FortiCare technical support services over the contractual service period. Our typical contractual support and subscription term is one to three years. We also generate a small portion of our revenue from professional services and training services, and we recognize this revenue as the services are provided. As a percentage of total revenue, we expect our service revenue to remain at a relatively comparable level in 2016. Our service revenue growth rate depends significantly on the growth of our customer base, the expansion and introduction of new service offerings, and the renewal of service contracts by our customers.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cost of revenue is comprised of the following:</w:t>
      </w:r>
    </w:p>
    <w:p>
      <w:pPr>
        <w:spacing w:after="0" w:line="225" w:lineRule="exact"/>
        <w:rPr>
          <w:sz w:val="20"/>
          <w:szCs w:val="20"/>
          <w:color w:val="auto"/>
        </w:rPr>
      </w:pPr>
    </w:p>
    <w:p>
      <w:pPr>
        <w:ind w:left="1300" w:right="40" w:hanging="644"/>
        <w:spacing w:after="0" w:line="30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Cost of product revenue</w:t>
      </w:r>
      <w:r>
        <w:rPr>
          <w:rFonts w:ascii="Arial" w:cs="Arial" w:eastAsia="Arial" w:hAnsi="Arial"/>
          <w:sz w:val="16"/>
          <w:szCs w:val="16"/>
          <w:color w:val="auto"/>
        </w:rPr>
        <w:t>. A substantial majority of the cost of product revenue consists of third-party contract manufacturers' costs,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other costs of materials used in production. Our cost of product revenue also includes supplies, shipping costs, personnel costs associated with logistics and quality control, facility-related costs, excess and obsolete inventory costs, warranty costs, and amortization and impairment of intangible assets, if applicable. Personnel costs include salaries, benefits and bonuses, as well as stock-based compensation.</w:t>
      </w:r>
    </w:p>
    <w:p>
      <w:pPr>
        <w:spacing w:after="0" w:line="154" w:lineRule="exact"/>
        <w:rPr>
          <w:rFonts w:ascii="Arial" w:cs="Arial" w:eastAsia="Arial" w:hAnsi="Arial"/>
          <w:sz w:val="16"/>
          <w:szCs w:val="16"/>
          <w:color w:val="auto"/>
        </w:rPr>
      </w:pPr>
    </w:p>
    <w:p>
      <w:pPr>
        <w:ind w:left="1300" w:right="9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Cost of service revenue</w:t>
      </w:r>
      <w:r>
        <w:rPr>
          <w:rFonts w:ascii="Arial" w:cs="Arial" w:eastAsia="Arial" w:hAnsi="Arial"/>
          <w:sz w:val="18"/>
          <w:szCs w:val="18"/>
          <w:color w:val="auto"/>
        </w:rPr>
        <w:t>. Cost of service revenue is primarily comprised of salaries, benefits and bonuses, as well as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Cost of service revenue also includes supplies and facility-related costs.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Gross profit as a percentage of revenue, or gross margin, has been and will continue to be affected by a variety of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average sales price of our products, any excess inventory write-offs, product costs, the mix of products sold and the mix of revenue between products and services. In 2015, service revenue had a positive effect on our total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gross margin given the higher service gross margins compared to product gross margins. During 2015, service gross margins increased compared to 2014. We believe our overall gross margin will remain at a relatively comparable level in 2016.</w:t>
      </w:r>
    </w:p>
    <w:p>
      <w:pPr>
        <w:spacing w:after="0" w:line="170" w:lineRule="exact"/>
        <w:rPr>
          <w:sz w:val="20"/>
          <w:szCs w:val="20"/>
          <w:color w:val="auto"/>
        </w:rPr>
      </w:pPr>
    </w:p>
    <w:p>
      <w:pPr>
        <w:ind w:right="20" w:firstLine="531"/>
        <w:spacing w:after="0" w:line="312"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Our operating expenses consist of research and development, sales and marketing, general and administrative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charges. Personnel costs are the most significant component of operating expenses and consist primarily of salaries, benefits, bonuses, stock-based compensation, and sales commissions, as applicable. We expect personnel costs to continue to increase in absolute dollars as we expand our workforce.</w:t>
      </w:r>
    </w:p>
    <w:p>
      <w:pPr>
        <w:spacing w:after="0" w:line="147" w:lineRule="exact"/>
        <w:rPr>
          <w:sz w:val="20"/>
          <w:szCs w:val="20"/>
          <w:color w:val="auto"/>
        </w:rPr>
      </w:pPr>
    </w:p>
    <w:p>
      <w:pPr>
        <w:ind w:left="1300" w:right="60" w:hanging="644"/>
        <w:spacing w:after="0" w:line="25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consists primarily of personnel costs. Additional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include ASIC and system prototypes and certification-related expenses, depreciation of capital equipment and facility-related expenses. The majority of our research and development is focused on both software development and the ongoing development of our hardware platform. We record all research and development expenses as incurred. Our research and development teams are primarily located in Canada and the United States.</w:t>
      </w:r>
    </w:p>
    <w:p>
      <w:pPr>
        <w:spacing w:after="0" w:line="188" w:lineRule="exact"/>
        <w:rPr>
          <w:rFonts w:ascii="Arial" w:cs="Arial" w:eastAsia="Arial" w:hAnsi="Arial"/>
          <w:sz w:val="18"/>
          <w:szCs w:val="18"/>
          <w:color w:val="auto"/>
        </w:rPr>
      </w:pPr>
    </w:p>
    <w:p>
      <w:pPr>
        <w:ind w:left="1300" w:right="20" w:hanging="644"/>
        <w:spacing w:after="0" w:line="25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is the largest component of our operating expenses and primarily consists of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costs. Additional sales and marketing expenses include promotional lead generation and other marketing expenses, travel, depreciation of capital equipment and facility-related expenses. We intend to hire additional personnel focused on sales and marketing and expand our sales and marketing efforts worldwide in order to capture additional market share in the high-return enterprise market, where customers tend to provide a higher lifetime value.</w:t>
      </w:r>
    </w:p>
    <w:p>
      <w:pPr>
        <w:spacing w:after="0" w:line="188" w:lineRule="exact"/>
        <w:rPr>
          <w:rFonts w:ascii="Arial" w:cs="Arial" w:eastAsia="Arial" w:hAnsi="Arial"/>
          <w:sz w:val="18"/>
          <w:szCs w:val="18"/>
          <w:color w:val="auto"/>
        </w:rPr>
      </w:pPr>
    </w:p>
    <w:p>
      <w:pPr>
        <w:ind w:left="1300" w:right="220" w:hanging="644"/>
        <w:spacing w:after="0" w:line="25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consists of personnel costs, as well as professional fees, depreciation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equipment and software, facility-related expenses, charges associated with the ERP system implementation, and in 2015, business acquisition costs relating to Meru. General and administrative personnel include our executive, finance, human resources, information technology and legal organizations. Our professional fees principally consist of outside legal, auditing, accounting, tax, information technology and other consulting costs.</w:t>
      </w:r>
    </w:p>
    <w:p>
      <w:pPr>
        <w:spacing w:after="0" w:line="188" w:lineRule="exact"/>
        <w:rPr>
          <w:rFonts w:ascii="Arial" w:cs="Arial" w:eastAsia="Arial" w:hAnsi="Arial"/>
          <w:sz w:val="18"/>
          <w:szCs w:val="18"/>
          <w:color w:val="auto"/>
        </w:rPr>
      </w:pPr>
    </w:p>
    <w:p>
      <w:pPr>
        <w:ind w:left="1300" w:right="60" w:hanging="644"/>
        <w:spacing w:after="0" w:line="286"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Restructuring charges</w:t>
      </w:r>
      <w:r>
        <w:rPr>
          <w:rFonts w:ascii="Arial" w:cs="Arial" w:eastAsia="Arial" w:hAnsi="Arial"/>
          <w:sz w:val="17"/>
          <w:szCs w:val="17"/>
          <w:color w:val="auto"/>
        </w:rPr>
        <w:t>. Restructuring charges relate to the alignment activities in connection with the Meru acquisition to reduce our cost</w:t>
      </w:r>
      <w:r>
        <w:rPr>
          <w:rFonts w:ascii="Arial" w:cs="Arial" w:eastAsia="Arial" w:hAnsi="Arial"/>
          <w:sz w:val="17"/>
          <w:szCs w:val="17"/>
          <w:i w:val="1"/>
          <w:iCs w:val="1"/>
          <w:color w:val="auto"/>
        </w:rPr>
        <w:t xml:space="preserve"> </w:t>
      </w:r>
      <w:r>
        <w:rPr>
          <w:rFonts w:ascii="Arial" w:cs="Arial" w:eastAsia="Arial" w:hAnsi="Arial"/>
          <w:sz w:val="17"/>
          <w:szCs w:val="17"/>
          <w:color w:val="auto"/>
        </w:rPr>
        <w:t>structure and improve operational efficiencies. We initiated planned cost reduction and restructuring activities to improve our cost structure and operational efficiencies, resulting in workforce reductions, contract terminations and other charges.</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of income earned on our cash, cash equivalents and investments. We have historically invested our cash in</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funds, commercial paper, corporate debt securities, municipal bonds, certificates of deposit and term deposits, and U.S. government and agency securities.</w:t>
      </w:r>
    </w:p>
    <w:p>
      <w:pPr>
        <w:spacing w:after="0" w:line="181"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i w:val="1"/>
          <w:iCs w:val="1"/>
          <w:color w:val="auto"/>
        </w:rPr>
        <w:t>Other expense, net</w:t>
      </w:r>
      <w:r>
        <w:rPr>
          <w:rFonts w:ascii="Arial" w:cs="Arial" w:eastAsia="Arial" w:hAnsi="Arial"/>
          <w:sz w:val="16"/>
          <w:szCs w:val="16"/>
          <w:color w:val="auto"/>
        </w:rPr>
        <w:t>. Other expense, net consists primarily of foreign exchange and related hedging gains and losses. Foreign exchange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relate to foreign currency exchange re-measurement. The hedging gains and losses are related to our settled balance sheet hedges.</w:t>
      </w:r>
    </w:p>
    <w:p>
      <w:pPr>
        <w:spacing w:after="0" w:line="124"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We are subject to tax in the United States as well as other tax jurisdictions or countries in which we conduct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from our non-U.S. activities are subject to income taxes in the local country which are generally lower than U.S. tax rates, and may be subject to U.S. income taxes. Our effective tax rate differs from the U.S. statutory rate primarily due to foreign income subject to different tax rates than the U.S., research and development tax credits, withholding taxes, nondeductible stock-based compensation expense and adjustments related to our intercompany transfer pricing.</w:t>
      </w:r>
    </w:p>
    <w:p>
      <w:pPr>
        <w:spacing w:after="0" w:line="18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income tax provision for 2015 was comprised of domestic income taxes, foreign income taxes and foreign withholding taxes. Our effective tax rate approximates the U.S. federal statutory tax rates plus the impact of state taxes, research and development tax credits, foreign withholding tax, nondeductible stock-based compensation expense, and foreign income subject to lower tax rates than income earned in the United States.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believe that, of the significant accounting policies described in Note 1 to our consolidated financial statements included in Part II, Item 8 of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derive the majority of our revenue from sales of our hardware, software, FortiGuard security subscription and FortiCare technical support services, and other services through our channel partners and a direct sales force.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1300" w:right="36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Binding contracts or purchase orders are generally used to determine the existence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w:t>
      </w:r>
    </w:p>
    <w:p>
      <w:pPr>
        <w:spacing w:after="0" w:line="170" w:lineRule="exact"/>
        <w:rPr>
          <w:rFonts w:ascii="Arial" w:cs="Arial" w:eastAsia="Arial" w:hAnsi="Arial"/>
          <w:sz w:val="18"/>
          <w:szCs w:val="18"/>
          <w:color w:val="auto"/>
        </w:rPr>
      </w:pPr>
    </w:p>
    <w:p>
      <w:pPr>
        <w:ind w:left="1300" w:right="760" w:hanging="644"/>
        <w:spacing w:after="0" w:line="274"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Delivery has occurred or services have been rendered. </w:t>
      </w:r>
      <w:r>
        <w:rPr>
          <w:rFonts w:ascii="Arial" w:cs="Arial" w:eastAsia="Arial" w:hAnsi="Arial"/>
          <w:sz w:val="17"/>
          <w:szCs w:val="17"/>
          <w:color w:val="auto"/>
        </w:rPr>
        <w:t>Delivery occurs when we fulfill an order and title and risk of loss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Service revenue is deferred and recognized ratably over the contractual service period, which is typically</w:t>
      </w:r>
    </w:p>
    <w:p>
      <w:pPr>
        <w:ind w:left="1300"/>
        <w:spacing w:after="0"/>
        <w:rPr>
          <w:rFonts w:ascii="Arial" w:cs="Arial" w:eastAsia="Arial" w:hAnsi="Arial"/>
          <w:sz w:val="17"/>
          <w:szCs w:val="17"/>
          <w:color w:val="auto"/>
        </w:rPr>
      </w:pPr>
      <w:r>
        <w:rPr>
          <w:rFonts w:ascii="Arial" w:cs="Arial" w:eastAsia="Arial" w:hAnsi="Arial"/>
          <w:sz w:val="18"/>
          <w:szCs w:val="18"/>
          <w:color w:val="auto"/>
        </w:rPr>
        <w:t>from one to three years and is generally recognized upon delivery or completion of service.</w:t>
      </w:r>
    </w:p>
    <w:p>
      <w:pPr>
        <w:spacing w:after="0" w:line="210"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Sales price is fixed or determinable. </w:t>
      </w:r>
      <w:r>
        <w:rPr>
          <w:rFonts w:ascii="Arial" w:cs="Arial" w:eastAsia="Arial" w:hAnsi="Arial"/>
          <w:sz w:val="18"/>
          <w:szCs w:val="18"/>
          <w:color w:val="auto"/>
        </w:rPr>
        <w:t>We assess whether the sales price is fixed or determinable based on the payment terms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and when the sales price is deemed final.</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Collectability is reasonably assured</w:t>
      </w:r>
      <w:r>
        <w:rPr>
          <w:rFonts w:ascii="Arial" w:cs="Arial" w:eastAsia="Arial" w:hAnsi="Arial"/>
          <w:sz w:val="18"/>
          <w:szCs w:val="18"/>
          <w:color w:val="auto"/>
        </w:rPr>
        <w:t>. We assess collectability based primarily on creditworthiness as determined by credit checks,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and payment history.</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recognize product revenue for sales to distributors that have no general right of return and direct sales to end-customers upon shipment, based on general revenue recognition accounting guidance once all other revenue recognition criteria have been met. Certain distributors are granted stock rotation rights, limited rights of return and rebates for sales of our products. The arrangement fee for this group of distributors is not typically fixed or determinable when products are shipped and revenue is therefore deferred and recognized upon sell-through. For sales that include end-customer acceptance criteria, revenue is recognized upon acceptance.</w:t>
      </w:r>
    </w:p>
    <w:p>
      <w:pPr>
        <w:spacing w:after="0" w:line="188" w:lineRule="exact"/>
        <w:rPr>
          <w:sz w:val="20"/>
          <w:szCs w:val="20"/>
          <w:color w:val="auto"/>
        </w:rPr>
      </w:pPr>
    </w:p>
    <w:p>
      <w:pPr>
        <w:ind w:firstLine="693"/>
        <w:spacing w:after="0" w:line="257" w:lineRule="auto"/>
        <w:rPr>
          <w:sz w:val="20"/>
          <w:szCs w:val="20"/>
          <w:color w:val="auto"/>
        </w:rPr>
      </w:pPr>
      <w:r>
        <w:rPr>
          <w:rFonts w:ascii="Arial" w:cs="Arial" w:eastAsia="Arial" w:hAnsi="Arial"/>
          <w:sz w:val="18"/>
          <w:szCs w:val="18"/>
          <w:color w:val="auto"/>
        </w:rPr>
        <w:t>Substantially all of our products have been sold in combination with services, which consist of security subscriptions and technical support services. Security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 We recognize revenue from these services ratably over the contractual service period. Revenue related to subsequent renewals of these services is recognized over the term of the renewal agreement.</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reduce revenue for estimates of sales returns and allowances and record reductions to revenue for rebates and estimated commitments related to price protection and other customer incentive programs.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sales arrangements typically contain multiple elements, such as hardware, security subscription, technical support services and other services. The majority of our hardware appliance products contain our operating system software that together function to deliver the essential functionality of the product. Our products and services generally qualify as separate units of accounting. We allocate revenue to each unit of accounting based on an estimated selling price using vendor-specific objective evidence (“VSOE”) of selling price, if it exists, or third-party evidence (“TPE”) of selling price. If neither VSOE nor TPE of selling price exist for a deliverable, we use our best estimate of selling price (“BESP”) for that deliverable. Revenue allocated to each element is then recognized when the basic revenue recognition criteria are met for each element.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For our hardware appliances, we use BESP as our selling price estimate. For our support and other services, we generally use VSOE as our selling price estimate. We determine VSOE of fair value for elements of an arrangement based on the historical pricing and discounting practices for those services when sold separately. In establishing VSOE, we require that a substantial majority of the selling prices for a service fall within a reasonably narrow pricing range, generally evidenced by a substantial majority of such historical stand-alone transactions falling within a reasonably narrow range as a percentage of list price. When we are unable to establish a selling price using VSOE for our support and other services, we use BESP in our allocation of arrangement consideration. We determine BESP for a product or service by considering multiple historical factors including, but not limited to, cost of products, gross margin objectives, pricing practices, geographies, customer classes and distribution channels that fall within a reasonably narrow range as a percentage of list price.</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multiple-element arrangements where software deliverables are included, revenue is allocated to the non-software deliverables and to the software deliverables as a group using the relative estimated selling prices of each of the deliverables in the arrangement based on the estimated selling price hierarchy. The amount allocated to the software deliverables is then allocated to each software deliverable using the residual method when VSOE of fair value exists. If evidence of VSOE of fair value of one or more undelivered elements does not exist, all software allocated revenue is deferred and recognized when delivery of those elements occurs or when fair value can be established. When the undelivered element for which we do not have VSOE of fair value is support, revenue for the entire arrangement is recognized ratably over the support period. The same residual method and VSOE of fair value principles apply for our multiple element arrangements that contain only software elements.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ind w:right="60" w:firstLine="648"/>
        <w:spacing w:after="0" w:line="326" w:lineRule="auto"/>
        <w:rPr>
          <w:sz w:val="20"/>
          <w:szCs w:val="20"/>
          <w:color w:val="auto"/>
        </w:rPr>
      </w:pPr>
      <w:r>
        <w:rPr>
          <w:rFonts w:ascii="Arial" w:cs="Arial" w:eastAsia="Arial" w:hAnsi="Arial"/>
          <w:sz w:val="17"/>
          <w:szCs w:val="17"/>
          <w:i w:val="1"/>
          <w:iCs w:val="1"/>
          <w:color w:val="auto"/>
        </w:rPr>
        <w:t xml:space="preserve">Employee Stock Options. </w:t>
      </w:r>
      <w:r>
        <w:rPr>
          <w:rFonts w:ascii="Arial" w:cs="Arial" w:eastAsia="Arial" w:hAnsi="Arial"/>
          <w:sz w:val="17"/>
          <w:szCs w:val="17"/>
          <w:color w:val="auto"/>
        </w:rPr>
        <w:t>We estimate the fair value of employee stock options awarded to our employees using the Black-Scholes-Merton (“Black-Scholes”) pricing model. For all employee stock options, we recognize expense, net of estimated forfeitures, over the requisite service period using the straight-line method. Our option pricing model requires the input of subjective assumptions, including the expected stock price volatility, expected term, risk-free interest rates, expected dividend yield of our common stock and forfeiture rate. The assumptions used in our option pricing model represent management’s best estimates. These estimates involve inherent uncertainties and the application of management’s judgment. A 10% change in any of these assumptions would not have a significant impact on our stock-based compensation expense.</w:t>
      </w:r>
    </w:p>
    <w:p>
      <w:pPr>
        <w:spacing w:after="0" w:line="14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Employee Stock Purchase Plan. </w:t>
      </w:r>
      <w:r>
        <w:rPr>
          <w:rFonts w:ascii="Arial" w:cs="Arial" w:eastAsia="Arial" w:hAnsi="Arial"/>
          <w:sz w:val="18"/>
          <w:szCs w:val="18"/>
          <w:color w:val="auto"/>
        </w:rPr>
        <w:t>We estimate the fair value of the rights to acquire stock under our employee stock purchase plan (“ESPP”)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Black-Scholes pricing model and we recognize expense over the requisite service period using the straight-line method. The pricing model requires the input of the fair value of our common stock and subjective assumptions, including the expected term of the award, the expected volatility of the price of our common stock, risk-free interest rates and the expected dividend yield of our common stock. Our ESPP provides for consecutive six-month offering periods and we use our own historical volatility data in the valuation of ESPP shares. A 10% change in any of these assumptions would not have a significant impact on our stock-based compensation expense.</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We account for the fair value of restricted stock units (“RSUs”) awarded to employees and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closing market price of our common stock on the date of grant. RSUs are payable in shares of our common stock as the periodic vesting requirements are satisfied. RSUs generally vest over a four-year period if the employees, contractors, or directors, as applicable, remain with us for the duration of the vesting period. For all RSUs, we recognize expense, net of estimated forfeitures, over the requisite service period using the straight-line method.</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Performance Stock Units. </w:t>
      </w:r>
      <w:r>
        <w:rPr>
          <w:rFonts w:ascii="Arial" w:cs="Arial" w:eastAsia="Arial" w:hAnsi="Arial"/>
          <w:sz w:val="18"/>
          <w:szCs w:val="18"/>
          <w:color w:val="auto"/>
        </w:rPr>
        <w:t>We grant performance stock units (“PSUs”) to certain of our executive officers. RSUs granted to executive officers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both service-based and market-based vesting conditions. PSUs vest over a specified service period upon the satisfaction of certain market-based vesting conditions, and settle into shares of our common stock upon vesting over a two- or three-year period. The fair value of a PSU is calculated using the Monte Carlo simulation model on the date of grant and is based on the market price of our common stock on the date of grant modified to reflect the impact of the market-based vesting condition, including the estimated payout level based on that condition. We do not adjust compensation cost for subsequent changes in the expected outcome of the market-based vesting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of Inventory</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Inventory is recorded at the lower of cost (using the first-in, first-out method) or market, after we give appropriate consideration to obsolescence and inventory in excess of anticipated future demand. In assessing the ultimate recoverability of inventory, we make estimates regarding future customer demand, the timing of new product introductions, economic trends and market conditions. If the actual product demand is significantly lower than forecasted, we could be required to record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additional inventory write-downs which would be charged to cost of product revenue. Any write-downs could have an adverse impact on our gross margins and profitability.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include the results of operations of the businesses that we acquire as of the respective dates of acquisition. We allocate the fair value of the purchase price of our business acquisitions to the tangible assets acquired, liabilities assumed, and intangible assets acquired, based on their estimated fair values. The excess of the purchase price over the fair values of these identifiable assets and liabilities is recorded as goodwill. Additional information existing as of the acquisition date, but unknown to us at that time, may become known during the remainder of the measurement period, not to exceed 12 months from the acquisition date, which may result in changes to the amounts and allocations recorded.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recognize liability for exit and disposal activities when the liability is incurred. Our restructuring charges consist of severance and other one-time benefits, contract terminations and other charges. Liabilities for costs associated with a restructuring activity are measured at fair value and are recognized when the liability is incurred. One-time termination benefits are expensed at the date we notify the employee, unless the employee must provide future service, in which case the benefits are expensed ratably over the future service period. A liability for contract-termination costs represents a liability for costs to terminate a contract before the end of its term and is recognized at fair value when we terminate the contract in accordance with the contract terms, which is usually done by giving written notice to the counterparty within the notification period specified by the contract or by otherwise negotiating a termination with the counterparty. A liability for costs that will continue to be incurred under a contract for its remaining term without economic benefit to the entity is recognized at the cease-use date. Costs to terminate a lease before the end of its term are recognized when the property is vacated. Other costs primarily consist of asset write-offs, which are expensed when incurred.</w:t>
      </w:r>
    </w:p>
    <w:p>
      <w:pPr>
        <w:spacing w:after="0" w:line="18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continually evaluate the adequacy of the remaining liabilities under our restructuring initiatives. Although we believe that these estimates accurately reflect the costs of our restructuring plan, actual results may differ and thereby require us to record an additional provision or reverse a portion of such a provision.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We record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58"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We recognize tax benefits from an uncertain tax position only if it is more likely than not, based on the technical merits of the position that the tax position will be sustained on examination by the taxing authorities. The tax benefits recognized in the financial statements from such positions are then measured based on the largest benefit that has a greater than 50% likelihood of being realized upon ultimate settlement.</w:t>
      </w:r>
    </w:p>
    <w:p>
      <w:pPr>
        <w:spacing w:after="0" w:line="166"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operations become deductible expenses under applicable income tax laws, or loss or credit carryforwards are utilized.</w:t>
      </w:r>
    </w:p>
    <w:p>
      <w:pPr>
        <w:spacing w:after="0" w:line="15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net deferred tax asset valuation allowance would be recorded in the consolidated statements of operations for the period that the adjustment is determined to be required.</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make estimates and judgments about our future taxable income that are based on assumptions that are consistent with our plans and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Should the actual amounts differ from our estimates, the amount of our tax expense and liabilities could be materially impacted.</w:t>
      </w: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60"/>
          </w:cols>
          <w:pgMar w:left="240" w:top="122" w:right="49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1"/>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Revenue:</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476,782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360,558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278,046</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Service</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532,486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409,806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337,251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revenue</w:t>
            </w:r>
          </w:p>
        </w:tc>
        <w:tc>
          <w:tcPr>
            <w:tcW w:w="1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1,009,268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770,364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615,297</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5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151,300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114,611</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Service</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96,379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79,709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66,032</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cost of revenue</w:t>
            </w:r>
          </w:p>
        </w:tc>
        <w:tc>
          <w:tcPr>
            <w:tcW w:w="1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286,777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231,009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180,643</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5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286,384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209,258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163,435</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Service</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436,107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330,097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271,219</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gross profit</w:t>
            </w:r>
          </w:p>
        </w:tc>
        <w:tc>
          <w:tcPr>
            <w:tcW w:w="1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722,491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539,355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434,654</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102,660</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470,371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315,804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224,991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34,913</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Restructuring charges</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operating expenses</w:t>
            </w:r>
          </w:p>
        </w:tc>
        <w:tc>
          <w:tcPr>
            <w:tcW w:w="1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707,614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480,031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362,564</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5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59,324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72,090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75,941</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36,206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31,668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7,987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25,343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44,273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44</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91"/>
              </w:rPr>
              <w:t>Year Ended December 31,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2015</w:t>
            </w:r>
          </w:p>
        </w:tc>
        <w:tc>
          <w:tcPr>
            <w:tcW w:w="1820" w:type="dxa"/>
            <w:vAlign w:val="bottom"/>
            <w:gridSpan w:val="7"/>
          </w:tcPr>
          <w:p>
            <w:pPr>
              <w:jc w:val="center"/>
              <w:ind w:left="1091"/>
              <w:spacing w:after="0"/>
              <w:rPr>
                <w:sz w:val="20"/>
                <w:szCs w:val="20"/>
                <w:color w:val="auto"/>
              </w:rPr>
            </w:pPr>
            <w:r>
              <w:rPr>
                <w:rFonts w:ascii="Arial" w:cs="Arial" w:eastAsia="Arial" w:hAnsi="Arial"/>
                <w:sz w:val="16"/>
                <w:szCs w:val="16"/>
                <w:b w:val="1"/>
                <w:bCs w:val="1"/>
                <w:color w:val="auto"/>
                <w:w w:val="89"/>
              </w:rPr>
              <w:t>2014</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63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8"/>
          </w:tcPr>
          <w:p>
            <w:pPr>
              <w:jc w:val="center"/>
              <w:ind w:right="40"/>
              <w:spacing w:after="0"/>
              <w:rPr>
                <w:sz w:val="20"/>
                <w:szCs w:val="20"/>
                <w:color w:val="auto"/>
              </w:rPr>
            </w:pPr>
            <w:r>
              <w:rPr>
                <w:rFonts w:ascii="Arial" w:cs="Arial" w:eastAsia="Arial" w:hAnsi="Arial"/>
                <w:sz w:val="16"/>
                <w:szCs w:val="16"/>
                <w:b w:val="1"/>
                <w:bCs w:val="1"/>
                <w:color w:val="auto"/>
                <w:w w:val="90"/>
              </w:rPr>
              <w:t>(as percentage of total revenue)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3220" w:type="dxa"/>
            <w:vAlign w:val="bottom"/>
          </w:tcPr>
          <w:p>
            <w:pPr>
              <w:ind w:left="82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54"/>
              <w:spacing w:after="0"/>
              <w:rPr>
                <w:sz w:val="20"/>
                <w:szCs w:val="20"/>
                <w:color w:val="auto"/>
              </w:rPr>
            </w:pPr>
            <w:r>
              <w:rPr>
                <w:rFonts w:ascii="Arial" w:cs="Arial" w:eastAsia="Arial" w:hAnsi="Arial"/>
                <w:sz w:val="18"/>
                <w:szCs w:val="18"/>
                <w:color w:val="auto"/>
                <w:w w:val="79"/>
              </w:rPr>
              <w:t>100</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3220" w:type="dxa"/>
            <w:vAlign w:val="bottom"/>
          </w:tcPr>
          <w:p>
            <w:pPr>
              <w:ind w:left="820"/>
              <w:spacing w:after="0"/>
              <w:rPr>
                <w:sz w:val="20"/>
                <w:szCs w:val="20"/>
                <w:color w:val="auto"/>
              </w:rPr>
            </w:pPr>
            <w:r>
              <w:rPr>
                <w:rFonts w:ascii="Arial" w:cs="Arial" w:eastAsia="Arial" w:hAnsi="Arial"/>
                <w:sz w:val="18"/>
                <w:szCs w:val="18"/>
                <w:color w:val="auto"/>
              </w:rPr>
              <w:t>Total cost of revenue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5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3220" w:type="dxa"/>
            <w:vAlign w:val="bottom"/>
          </w:tcPr>
          <w:p>
            <w:pPr>
              <w:ind w:left="820"/>
              <w:spacing w:after="0"/>
              <w:rPr>
                <w:sz w:val="20"/>
                <w:szCs w:val="20"/>
                <w:color w:val="auto"/>
              </w:rPr>
            </w:pPr>
            <w:r>
              <w:rPr>
                <w:rFonts w:ascii="Arial" w:cs="Arial" w:eastAsia="Arial" w:hAnsi="Arial"/>
                <w:sz w:val="18"/>
                <w:szCs w:val="18"/>
                <w:color w:val="auto"/>
              </w:rPr>
              <w:t>Total gross profit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5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5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3"/>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expense—net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6"/>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3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220" w:type="dxa"/>
            <w:vAlign w:val="bottom"/>
            <w:vMerge w:val="restart"/>
          </w:tcPr>
          <w:p>
            <w:pPr>
              <w:ind w:left="660"/>
              <w:spacing w:after="0"/>
              <w:rPr>
                <w:sz w:val="20"/>
                <w:szCs w:val="20"/>
                <w:color w:val="auto"/>
              </w:rPr>
            </w:pPr>
            <w:r>
              <w:rPr>
                <w:rFonts w:ascii="Arial" w:cs="Arial" w:eastAsia="Arial" w:hAnsi="Arial"/>
                <w:sz w:val="18"/>
                <w:szCs w:val="18"/>
                <w:i w:val="1"/>
                <w:iCs w:val="1"/>
                <w:color w:val="auto"/>
              </w:rPr>
              <w:t>2015 and 2014</w:t>
            </w: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right"/>
              <w:ind w:right="193"/>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gridSpan w:val="3"/>
          </w:tcPr>
          <w:p>
            <w:pPr>
              <w:jc w:val="right"/>
              <w:ind w:right="1057"/>
              <w:spacing w:after="0"/>
              <w:rPr>
                <w:sz w:val="20"/>
                <w:szCs w:val="20"/>
                <w:color w:val="auto"/>
              </w:rPr>
            </w:pPr>
            <w:r>
              <w:rPr>
                <w:rFonts w:ascii="Arial" w:cs="Arial" w:eastAsia="Arial" w:hAnsi="Arial"/>
                <w:sz w:val="16"/>
                <w:szCs w:val="16"/>
                <w:b w:val="1"/>
                <w:bCs w:val="1"/>
                <w:color w:val="auto"/>
                <w:w w:val="89"/>
              </w:rPr>
              <w:t>2015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gridSpan w:val="3"/>
          </w:tcPr>
          <w:p>
            <w:pPr>
              <w:jc w:val="right"/>
              <w:ind w:right="54"/>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77"/>
              <w:spacing w:after="0"/>
              <w:rPr>
                <w:sz w:val="20"/>
                <w:szCs w:val="20"/>
                <w:color w:val="auto"/>
              </w:rPr>
            </w:pPr>
            <w:r>
              <w:rPr>
                <w:rFonts w:ascii="Arial" w:cs="Arial" w:eastAsia="Arial" w:hAnsi="Arial"/>
                <w:sz w:val="16"/>
                <w:szCs w:val="16"/>
                <w:b w:val="1"/>
                <w:bCs w:val="1"/>
                <w:color w:val="auto"/>
              </w:rPr>
              <w:t>%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257"/>
              <w:spacing w:after="0"/>
              <w:rPr>
                <w:sz w:val="20"/>
                <w:szCs w:val="20"/>
                <w:color w:val="auto"/>
              </w:rPr>
            </w:pPr>
            <w:r>
              <w:rPr>
                <w:rFonts w:ascii="Arial" w:cs="Arial" w:eastAsia="Arial" w:hAnsi="Arial"/>
                <w:sz w:val="16"/>
                <w:szCs w:val="16"/>
                <w:b w:val="1"/>
                <w:bCs w:val="1"/>
                <w:color w:val="auto"/>
              </w:rPr>
              <w:t>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7"/>
          </w:tcPr>
          <w:p>
            <w:pPr>
              <w:ind w:left="20"/>
              <w:spacing w:after="0"/>
              <w:rPr>
                <w:sz w:val="20"/>
                <w:szCs w:val="20"/>
                <w:color w:val="auto"/>
              </w:rPr>
            </w:pPr>
            <w:r>
              <w:rPr>
                <w:rFonts w:ascii="Arial" w:cs="Arial" w:eastAsia="Arial" w:hAnsi="Arial"/>
                <w:sz w:val="16"/>
                <w:szCs w:val="16"/>
                <w:b w:val="1"/>
                <w:bCs w:val="1"/>
                <w:color w:val="auto"/>
                <w:w w:val="96"/>
              </w:rPr>
              <w:t>(in thousands, except percentages)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476,782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360,558</w:t>
            </w:r>
          </w:p>
        </w:tc>
        <w:tc>
          <w:tcPr>
            <w:tcW w:w="1520" w:type="dxa"/>
            <w:vAlign w:val="bottom"/>
            <w:gridSpan w:val="5"/>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116,224</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532,486</w:t>
            </w:r>
          </w:p>
        </w:tc>
        <w:tc>
          <w:tcPr>
            <w:tcW w:w="1480" w:type="dxa"/>
            <w:vAlign w:val="bottom"/>
            <w:tcBorders>
              <w:bottom w:val="single" w:sz="8" w:color="CCEEFF"/>
            </w:tcBorders>
            <w:gridSpan w:val="3"/>
            <w:shd w:val="clear" w:color="auto" w:fill="CCEEFF"/>
          </w:tcPr>
          <w:p>
            <w:pPr>
              <w:jc w:val="right"/>
              <w:ind w:right="77"/>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409,806</w:t>
            </w:r>
          </w:p>
        </w:tc>
        <w:tc>
          <w:tcPr>
            <w:tcW w:w="1520" w:type="dxa"/>
            <w:vAlign w:val="bottom"/>
            <w:tcBorders>
              <w:bottom w:val="single" w:sz="8" w:color="CCEEFF"/>
            </w:tcBorders>
            <w:gridSpan w:val="5"/>
            <w:shd w:val="clear" w:color="auto" w:fill="CCEEFF"/>
          </w:tcPr>
          <w:p>
            <w:pPr>
              <w:jc w:val="right"/>
              <w:ind w:right="119"/>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122,680</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1,009,268</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770,364</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238,904</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435,282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324,659</w:t>
            </w:r>
          </w:p>
        </w:tc>
        <w:tc>
          <w:tcPr>
            <w:tcW w:w="1520" w:type="dxa"/>
            <w:vAlign w:val="bottom"/>
            <w:gridSpan w:val="5"/>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110,623</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34%</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366,018</w:t>
            </w:r>
          </w:p>
        </w:tc>
        <w:tc>
          <w:tcPr>
            <w:tcW w:w="1480" w:type="dxa"/>
            <w:vAlign w:val="bottom"/>
            <w:tcBorders>
              <w:bottom w:val="single" w:sz="8" w:color="CCEEFF"/>
            </w:tcBorders>
            <w:gridSpan w:val="3"/>
            <w:shd w:val="clear" w:color="auto" w:fill="CCEEFF"/>
          </w:tcPr>
          <w:p>
            <w:pPr>
              <w:jc w:val="right"/>
              <w:ind w:right="77"/>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270,537</w:t>
            </w:r>
          </w:p>
        </w:tc>
        <w:tc>
          <w:tcPr>
            <w:tcW w:w="1520" w:type="dxa"/>
            <w:vAlign w:val="bottom"/>
            <w:tcBorders>
              <w:bottom w:val="single" w:sz="8" w:color="CCEEFF"/>
            </w:tcBorders>
            <w:gridSpan w:val="5"/>
            <w:shd w:val="clear" w:color="auto" w:fill="CCEEFF"/>
          </w:tcPr>
          <w:p>
            <w:pPr>
              <w:jc w:val="right"/>
              <w:ind w:right="119"/>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95,481</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Asia Pacific (“APAC”)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207,968</w:t>
            </w:r>
          </w:p>
        </w:tc>
        <w:tc>
          <w:tcPr>
            <w:tcW w:w="1480" w:type="dxa"/>
            <w:vAlign w:val="bottom"/>
            <w:gridSpan w:val="3"/>
          </w:tcPr>
          <w:p>
            <w:pPr>
              <w:jc w:val="right"/>
              <w:ind w:right="77"/>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175,168</w:t>
            </w:r>
          </w:p>
        </w:tc>
        <w:tc>
          <w:tcPr>
            <w:tcW w:w="1520" w:type="dxa"/>
            <w:vAlign w:val="bottom"/>
            <w:gridSpan w:val="5"/>
          </w:tcPr>
          <w:p>
            <w:pPr>
              <w:jc w:val="right"/>
              <w:ind w:right="119"/>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32,800</w:t>
            </w:r>
          </w:p>
        </w:tc>
        <w:tc>
          <w:tcPr>
            <w:tcW w:w="1420" w:type="dxa"/>
            <w:vAlign w:val="bottom"/>
          </w:tcPr>
          <w:p>
            <w:pPr>
              <w:ind w:left="10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1,009,268</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770,364</w:t>
            </w:r>
          </w:p>
        </w:tc>
        <w:tc>
          <w:tcPr>
            <w:tcW w:w="1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238,904</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Total revenue increased by $238.9 million, or 31%, in 2015 compared to 2014. Total revenue in 2015 of $1.01 billion included Meru’s revenue from July 8, 2015 to December 31, 2015 of $28.1 million, or 3% of total revenue. Excluding Meru’s revenue, our revenue was $981.2 million, an increase of 27% compared to the same period last year. We experienced continued</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global diversification of revenue in 2015. The Americas region contributed the largest portion of our revenue growth on an absolute dollar basis and all three regions showed growth on a percentage basis. Product revenue increased by $116.2 million, or 32%, in 2015 compared to 2014. Product revenue in 2015 included revenue from Meru of $22.2 million. The increase in product revenue was primarily driven by greater sales volume in our FortiGate product family across all product categories and in particular for our high-end products for large enterprise customers. Service revenue increased by $122.7 million, or 30%, in 2015 compared to 2014.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 Service revenue in 2015 included revenue from Meru of $5.8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5"/>
          </w:tcPr>
          <w:p>
            <w:pPr>
              <w:ind w:left="600"/>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7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571"/>
              <w:spacing w:after="0"/>
              <w:rPr>
                <w:sz w:val="20"/>
                <w:szCs w:val="20"/>
                <w:color w:val="auto"/>
              </w:rPr>
            </w:pPr>
            <w:r>
              <w:rPr>
                <w:rFonts w:ascii="Arial" w:cs="Arial" w:eastAsia="Arial" w:hAnsi="Arial"/>
                <w:sz w:val="16"/>
                <w:szCs w:val="16"/>
                <w:b w:val="1"/>
                <w:bCs w:val="1"/>
                <w:color w:val="auto"/>
              </w:rPr>
              <w:t>Change</w:t>
            </w:r>
          </w:p>
        </w:tc>
        <w:tc>
          <w:tcPr>
            <w:tcW w:w="1980" w:type="dxa"/>
            <w:vAlign w:val="bottom"/>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w w:val="99"/>
              </w:rPr>
              <w:t>(in thousands, except percentages)</w:t>
            </w: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190,398</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151,300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39,098</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26%</w:t>
            </w:r>
          </w:p>
        </w:tc>
      </w:tr>
      <w:tr>
        <w:trPr>
          <w:trHeight w:val="27"/>
        </w:trPr>
        <w:tc>
          <w:tcPr>
            <w:tcW w:w="3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96,379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79,709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16,670</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21</w:t>
            </w:r>
          </w:p>
        </w:tc>
      </w:tr>
      <w:tr>
        <w:trPr>
          <w:trHeight w:val="297"/>
        </w:trPr>
        <w:tc>
          <w:tcPr>
            <w:tcW w:w="3640" w:type="dxa"/>
            <w:vAlign w:val="bottom"/>
            <w:tcBorders>
              <w:bottom w:val="single" w:sz="8" w:color="CCEEFF"/>
            </w:tcBorders>
          </w:tcPr>
          <w:p>
            <w:pPr>
              <w:jc w:val="center"/>
              <w:ind w:right="1970"/>
              <w:spacing w:after="0"/>
              <w:rPr>
                <w:sz w:val="20"/>
                <w:szCs w:val="20"/>
                <w:color w:val="auto"/>
              </w:rPr>
            </w:pPr>
            <w:r>
              <w:rPr>
                <w:rFonts w:ascii="Arial" w:cs="Arial" w:eastAsia="Arial" w:hAnsi="Arial"/>
                <w:sz w:val="18"/>
                <w:szCs w:val="18"/>
                <w:color w:val="auto"/>
                <w:w w:val="89"/>
              </w:rPr>
              <w:t>Total cost of revenue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286,777</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231,009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55,768</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24%</w:t>
            </w: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198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1980" w:type="dxa"/>
            <w:vAlign w:val="bottom"/>
          </w:tcPr>
          <w:p>
            <w:pPr>
              <w:spacing w:after="0"/>
              <w:rPr>
                <w:sz w:val="21"/>
                <w:szCs w:val="21"/>
                <w:color w:val="auto"/>
              </w:rPr>
            </w:pPr>
          </w:p>
        </w:tc>
      </w:tr>
    </w:tbl>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Total gross margin increased by 1.6 percentage points in 2015 compared to 2014, as both product and service gross margins increased. Product gross margin increased by 2.1 percentage points in 2015 compared to 2014 primarily due to a greater mix of high-end FortiGate product sales compared to the same period last year, such as our FortiGate-5000 series. In addition, product gross margin was positively impacted by higher sales of software products such as certain of our virtualized security solutions, as well as inventory management efficiencies.</w:t>
      </w:r>
    </w:p>
    <w:p>
      <w:pPr>
        <w:spacing w:after="0" w:line="17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Service gross margin increased during 2015 as compared to 2014 as we scaled efficiencies resulting from our ability to add and charge for more functionality and value to our FortiGuard security subscription and FortiCare technical support offerings, which yielded more value to our customers and which translated into improved service margins. Cost of service revenue increased by $16.7 million primarily due to an $11.6 million increase in personnel costs related to headcount increases.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gridSpan w:val="3"/>
          </w:tcPr>
          <w:p>
            <w:pPr>
              <w:jc w:val="right"/>
              <w:ind w:right="1074"/>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158,129</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122,880</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35,249</w:t>
            </w: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470,371</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315,804</w:t>
            </w:r>
          </w:p>
        </w:tc>
        <w:tc>
          <w:tcPr>
            <w:tcW w:w="1520" w:type="dxa"/>
            <w:vAlign w:val="bottom"/>
            <w:tcBorders>
              <w:bottom w:val="single" w:sz="8" w:color="CCEEFF"/>
            </w:tcBorders>
            <w:gridSpan w:val="3"/>
            <w:shd w:val="clear" w:color="auto" w:fill="CCEEFF"/>
          </w:tcPr>
          <w:p>
            <w:pPr>
              <w:jc w:val="right"/>
              <w:ind w:right="11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154,567</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71,514</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41,347</w:t>
            </w:r>
          </w:p>
        </w:tc>
        <w:tc>
          <w:tcPr>
            <w:tcW w:w="1520" w:type="dxa"/>
            <w:vAlign w:val="bottom"/>
            <w:gridSpan w:val="3"/>
          </w:tcPr>
          <w:p>
            <w:pPr>
              <w:jc w:val="right"/>
              <w:ind w:right="1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30,167</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73</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7,600</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w:t>
            </w:r>
          </w:p>
        </w:tc>
      </w:tr>
      <w:tr>
        <w:trPr>
          <w:trHeight w:val="257"/>
        </w:trPr>
        <w:tc>
          <w:tcPr>
            <w:tcW w:w="3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707,614</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480,031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227,583</w:t>
            </w: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Research and development expense increased by $35.2 million, or 29%, in 2015 compared to 2014 primarily due to an increase of $25.8 million in personnel costs as a result of increased headcount to support the development of new products and continued enhancements of our existing products. Depreciation and other occupancy-related costs increased by $3.6 million.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addition, during 2014, we had a reversal of $3.0 million related to a previously recorded liability for estimated contingent consideration. We intend to continue to invest in our research and development organization and integrate personnel from our acquisition of Meru, but expect research and development expense as a percentage of total revenue to remain at a relatively comparable level in 2016.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Sales and marketing expense increased by $154.6 million, or 49%, in 2015 compared to 2014, primarily due to an increase of $108.0 million in personnel costs as we continued to increase our sales and marketing headcount. Marketing-related expenses increased by $16.9 million as we invested significantly in marketing investments to drive broader market awareness, create a global marketing engine, build broad market lead generation and nurture programs and accelerate pipeline. In addition, we incurred increases in travel expenses of $9.1 million, and depreciation and occupancy-related costs of $9.3 million. As a percentage of total revenue, sales and marketing expense increased as we accelerated the investment in our sales force and marketing programs to drive future growth. We intend to continue to make investments in our sales resources and infrastructure and marketing strategy, which are critical to support growth, but expect sales and marketing expense as a percentage of total revenue to remain at a relatively comparable level in 2016.</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General and administrative expense increased by $30.2 million, or 73%, in 2015 compared to 2014. Personnel costs increased by $14.6 million as we continued to increase headcount in order to support our expanding business. In addition, professional fees increased by $6.9 million, primarily due to legal services related to the assertion of our intellectual property and other rights. In 2015, we also incurred $5.4 million in expenses related to business process design and reengineering in preparation of an ERP system implementation and $1.7 million of costs related to the Meru acquisition. As a percentage of total revenue, we expect general and administrative expense to remain at a relatively comparable level in 2016.</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Restructuring charges of $7.6 million in 2015 primarily relate to the restructuring activities in connection with the Meru acquisition to reduce our cost structure and improve operational efficiencies. See Note 9 to the consolidated financial statements for additional details, including types of expenses incurred and the timing of future expenses and cash payments. See also the “Liquidity and Capital Resources” section of this Part II, Item 7, “Management’s Discussion and Analysis of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3740" w:type="dxa"/>
            <w:vAlign w:val="bottom"/>
            <w:gridSpan w:val="4"/>
          </w:tcPr>
          <w:p>
            <w:pPr>
              <w:jc w:val="right"/>
              <w:ind w:right="874"/>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1"/>
        </w:trPr>
        <w:tc>
          <w:tcPr>
            <w:tcW w:w="3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jc w:val="right"/>
              <w:ind w:right="654"/>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78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72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gridSpan w:val="3"/>
          </w:tcPr>
          <w:p>
            <w:pPr>
              <w:jc w:val="right"/>
              <w:ind w:right="853"/>
              <w:spacing w:after="0"/>
              <w:rPr>
                <w:sz w:val="20"/>
                <w:szCs w:val="20"/>
                <w:color w:val="auto"/>
              </w:rPr>
            </w:pPr>
            <w:r>
              <w:rPr>
                <w:rFonts w:ascii="Arial" w:cs="Arial" w:eastAsia="Arial" w:hAnsi="Arial"/>
                <w:sz w:val="16"/>
                <w:szCs w:val="16"/>
                <w:b w:val="1"/>
                <w:bCs w:val="1"/>
                <w:color w:val="auto"/>
                <w:w w:val="99"/>
              </w:rPr>
              <w:t>(in thousands, except percentages)</w:t>
            </w:r>
          </w:p>
        </w:tc>
        <w:tc>
          <w:tcPr>
            <w:tcW w:w="172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5,295</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5,393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(98)</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(3,167)</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(3,168)</w:t>
            </w:r>
          </w:p>
        </w:tc>
        <w:tc>
          <w:tcPr>
            <w:tcW w:w="480" w:type="dxa"/>
            <w:vAlign w:val="bottom"/>
          </w:tcPr>
          <w:p>
            <w:pPr>
              <w:spacing w:after="0"/>
              <w:rPr>
                <w:sz w:val="21"/>
                <w:szCs w:val="21"/>
                <w:color w:val="auto"/>
              </w:rPr>
            </w:pPr>
          </w:p>
        </w:tc>
        <w:tc>
          <w:tcPr>
            <w:tcW w:w="1780" w:type="dxa"/>
            <w:vAlign w:val="bottom"/>
          </w:tcPr>
          <w:p>
            <w:pPr>
              <w:jc w:val="right"/>
              <w:ind w:right="353"/>
              <w:spacing w:after="0"/>
              <w:rPr>
                <w:sz w:val="20"/>
                <w:szCs w:val="20"/>
                <w:color w:val="auto"/>
              </w:rPr>
            </w:pPr>
            <w:r>
              <w:rPr>
                <w:rFonts w:ascii="Arial" w:cs="Arial" w:eastAsia="Arial" w:hAnsi="Arial"/>
                <w:sz w:val="18"/>
                <w:szCs w:val="18"/>
                <w:color w:val="auto"/>
              </w:rPr>
              <w:t>1</w:t>
            </w:r>
          </w:p>
        </w:tc>
        <w:tc>
          <w:tcPr>
            <w:tcW w:w="1720" w:type="dxa"/>
            <w:vAlign w:val="bottom"/>
          </w:tcPr>
          <w:p>
            <w:pPr>
              <w:jc w:val="right"/>
              <w:ind w:right="15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Interest income and other expense—net remained relatively consistent in 2015 compared to 2014. Interest income varies depending on our average investment balances during the period, types and mix of investments, and market interest rates. Other expense—net consisted primarily of foreign exchange and related hedging gains and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3820" w:type="dxa"/>
            <w:vAlign w:val="bottom"/>
            <w:gridSpan w:val="4"/>
          </w:tcPr>
          <w:p>
            <w:pPr>
              <w:jc w:val="right"/>
              <w:ind w:right="914"/>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35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jc w:val="right"/>
              <w:ind w:right="674"/>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20"/>
                <w:szCs w:val="20"/>
                <w:color w:val="auto"/>
              </w:rPr>
            </w:pPr>
          </w:p>
        </w:tc>
        <w:tc>
          <w:tcPr>
            <w:tcW w:w="1840" w:type="dxa"/>
            <w:vAlign w:val="bottom"/>
          </w:tcPr>
          <w:p>
            <w:pPr>
              <w:jc w:val="right"/>
              <w:ind w:right="93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5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60" w:type="dxa"/>
            <w:vAlign w:val="bottom"/>
            <w:gridSpan w:val="3"/>
          </w:tcPr>
          <w:p>
            <w:pPr>
              <w:jc w:val="right"/>
              <w:ind w:right="953"/>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9,018</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36,206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(27,188)</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21"/>
                <w:szCs w:val="21"/>
                <w:color w:val="auto"/>
              </w:rPr>
            </w:pPr>
          </w:p>
        </w:tc>
        <w:tc>
          <w:tcPr>
            <w:tcW w:w="1840" w:type="dxa"/>
            <w:vAlign w:val="bottom"/>
          </w:tcPr>
          <w:p>
            <w:pPr>
              <w:jc w:val="right"/>
              <w:ind w:right="273"/>
              <w:spacing w:after="0"/>
              <w:rPr>
                <w:sz w:val="20"/>
                <w:szCs w:val="20"/>
                <w:color w:val="auto"/>
              </w:rPr>
            </w:pPr>
            <w:r>
              <w:rPr>
                <w:rFonts w:ascii="Arial" w:cs="Arial" w:eastAsia="Arial" w:hAnsi="Arial"/>
                <w:sz w:val="18"/>
                <w:szCs w:val="18"/>
                <w:color w:val="auto"/>
              </w:rPr>
              <w:t>(6)%</w:t>
            </w: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Our effective tax rate was 53% for 2015, compared with an effective tax rate of 59% for 2014. The provision for income taxes for 2015 was comprised primarily of U.S. federal and state taxes, other foreign income taxes, foreign withholding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taxes, an increase in tax reserves, as well as the inclusion of stock-based compensation benefits and transfer pricing allocations which impact jurisdictional income taxed at various tax rates. The decrease in the effective tax rate in 2015 was primarily due to higher research and development credits, additional tax benefits related to stock-based compensation expense and lower foreign withholding taxes.</w:t>
      </w:r>
    </w:p>
    <w:p>
      <w:pPr>
        <w:spacing w:after="0" w:line="18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It is our policy to classify accrued interest and penalties related to unrecognized tax benefits in the provision for income taxes. As of December 31, 2015, we had accrued $5.5 million for estimated interest related to uncertain tax provisions compared to an accrual of $1.7 million as of December 31, 2014.</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Within the next twelve months, we do not believe there will be a decrease in uncertain tax benefits that could significantly impact our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gridSpan w:val="3"/>
          </w:tcPr>
          <w:p>
            <w:pPr>
              <w:jc w:val="right"/>
              <w:ind w:right="1076"/>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360,558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278,046</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82,512</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30%</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409,806</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337,251</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72,555</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22</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770,364</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615,297</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155,067</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25%</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324,659</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252,786</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71,873</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28%</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270,537</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208,979</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61,558</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29</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175,168</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153,532</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21,636</w:t>
            </w:r>
          </w:p>
        </w:tc>
        <w:tc>
          <w:tcPr>
            <w:tcW w:w="1420" w:type="dxa"/>
            <w:vAlign w:val="bottom"/>
          </w:tcPr>
          <w:p>
            <w:pPr>
              <w:ind w:left="1060"/>
              <w:spacing w:after="0"/>
              <w:rPr>
                <w:sz w:val="20"/>
                <w:szCs w:val="20"/>
                <w:color w:val="auto"/>
              </w:rPr>
            </w:pPr>
            <w:r>
              <w:rPr>
                <w:rFonts w:ascii="Arial" w:cs="Arial" w:eastAsia="Arial" w:hAnsi="Arial"/>
                <w:sz w:val="18"/>
                <w:szCs w:val="18"/>
                <w:color w:val="auto"/>
              </w:rPr>
              <w:t>14</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770,364</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615,297</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155,067</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25%</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Total revenue increased by $155.1 million, or 25%, in 2014 compared to 2013. The Americas region contributed the largest portion of our revenue growth on an absolute dollar basis and all three regions showed growth on a percentage basis. Product revenue increased by $82.5 million, or 30%, compared to 2013. The increase in product revenue was primarily driven by greater sales volume in our FortiGate product due to increased demand for our high-end products from large enterprise and service provider customers.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Service revenue increased by $72.6 million, or 22%, in 2014 compared to 2013 due to the recognition of revenue from our growing deferred revenue balance consisting of FortiGuard security subscription and FortiCare technical support contracts sold to a larger customer base as well as the renewals of similar contracts sold in earlier periods.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gridSpan w:val="5"/>
          </w:tcPr>
          <w:p>
            <w:pPr>
              <w:ind w:left="580"/>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1"/>
        </w:trPr>
        <w:tc>
          <w:tcPr>
            <w:tcW w:w="3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7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ind w:left="32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611"/>
              <w:spacing w:after="0"/>
              <w:rPr>
                <w:sz w:val="20"/>
                <w:szCs w:val="20"/>
                <w:color w:val="auto"/>
              </w:rPr>
            </w:pPr>
            <w:r>
              <w:rPr>
                <w:rFonts w:ascii="Arial" w:cs="Arial" w:eastAsia="Arial" w:hAnsi="Arial"/>
                <w:sz w:val="16"/>
                <w:szCs w:val="16"/>
                <w:b w:val="1"/>
                <w:bCs w:val="1"/>
                <w:color w:val="auto"/>
              </w:rPr>
              <w:t>Change</w:t>
            </w:r>
          </w:p>
        </w:tc>
        <w:tc>
          <w:tcPr>
            <w:tcW w:w="1960" w:type="dxa"/>
            <w:vAlign w:val="bottom"/>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gridSpan w:val="4"/>
          </w:tcPr>
          <w:p>
            <w:pPr>
              <w:ind w:left="320"/>
              <w:spacing w:after="0"/>
              <w:rPr>
                <w:sz w:val="20"/>
                <w:szCs w:val="20"/>
                <w:color w:val="auto"/>
              </w:rPr>
            </w:pPr>
            <w:r>
              <w:rPr>
                <w:rFonts w:ascii="Arial" w:cs="Arial" w:eastAsia="Arial" w:hAnsi="Arial"/>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151,300</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114,611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36,689</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32%</w:t>
            </w:r>
          </w:p>
        </w:tc>
      </w:tr>
      <w:tr>
        <w:trPr>
          <w:trHeight w:val="27"/>
        </w:trPr>
        <w:tc>
          <w:tcPr>
            <w:tcW w:w="3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79,709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66,032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13,677</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21</w:t>
            </w:r>
          </w:p>
        </w:tc>
      </w:tr>
      <w:tr>
        <w:trPr>
          <w:trHeight w:val="297"/>
        </w:trPr>
        <w:tc>
          <w:tcPr>
            <w:tcW w:w="3620" w:type="dxa"/>
            <w:vAlign w:val="bottom"/>
            <w:tcBorders>
              <w:bottom w:val="single" w:sz="8" w:color="CCEEFF"/>
            </w:tcBorders>
          </w:tcPr>
          <w:p>
            <w:pPr>
              <w:jc w:val="center"/>
              <w:ind w:right="1950"/>
              <w:spacing w:after="0"/>
              <w:rPr>
                <w:sz w:val="20"/>
                <w:szCs w:val="20"/>
                <w:color w:val="auto"/>
              </w:rPr>
            </w:pPr>
            <w:r>
              <w:rPr>
                <w:rFonts w:ascii="Arial" w:cs="Arial" w:eastAsia="Arial" w:hAnsi="Arial"/>
                <w:sz w:val="18"/>
                <w:szCs w:val="18"/>
                <w:color w:val="auto"/>
                <w:w w:val="89"/>
              </w:rPr>
              <w:t>Total cost of revenue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231,009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180,643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50,366</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28%</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(0.8)%</w:t>
            </w:r>
          </w:p>
        </w:tc>
        <w:tc>
          <w:tcPr>
            <w:tcW w:w="19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(0.6)%</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Total gross margin decreased by 0.6 percentage points in 2014 compared to 2013, as product gross margins declined. Product gross margin decreased by 0.8 percentage points in 2014 compared to 2013 due to an increase in warranty-related costs of $3.2 million and impairment charges related to certain intangible assets of $2.4 million. We also experienced increased freight costs of $2.0 million, higher excess inventory write-offs of $1.4 million, increased personnel-related costs of $0.9 million, and increased occupancy-related costs of $0.8 million.</w:t>
      </w:r>
    </w:p>
    <w:p>
      <w:pPr>
        <w:spacing w:after="0" w:line="17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Service gross margin remained relatively consistent during 2014 as compared to 2013. Cost of service revenue increased by $13.7 million primarily due to a $9.5 million increase in personnel costs, including stock-based compensation, related to headcount increases, a $1.4 million increase in depreciation, a $1.1 million increase in occupancy-related costs, and a $0.8 million increase in professional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122,880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102,660</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20,220</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20%</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315,804</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224,991</w:t>
            </w:r>
          </w:p>
        </w:tc>
        <w:tc>
          <w:tcPr>
            <w:tcW w:w="152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90,813</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40</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41,347</w:t>
            </w:r>
          </w:p>
        </w:tc>
        <w:tc>
          <w:tcPr>
            <w:tcW w:w="1500" w:type="dxa"/>
            <w:vAlign w:val="bottom"/>
            <w:gridSpan w:val="3"/>
          </w:tcPr>
          <w:p>
            <w:pPr>
              <w:jc w:val="right"/>
              <w:ind w:right="9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34,913</w:t>
            </w:r>
          </w:p>
        </w:tc>
        <w:tc>
          <w:tcPr>
            <w:tcW w:w="1520" w:type="dxa"/>
            <w:vAlign w:val="bottom"/>
            <w:gridSpan w:val="3"/>
          </w:tcPr>
          <w:p>
            <w:pPr>
              <w:jc w:val="right"/>
              <w:ind w:right="119"/>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6,434</w:t>
            </w:r>
          </w:p>
        </w:tc>
        <w:tc>
          <w:tcPr>
            <w:tcW w:w="1420" w:type="dxa"/>
            <w:vAlign w:val="bottom"/>
          </w:tcPr>
          <w:p>
            <w:pPr>
              <w:ind w:left="1060"/>
              <w:spacing w:after="0"/>
              <w:rPr>
                <w:sz w:val="20"/>
                <w:szCs w:val="20"/>
                <w:color w:val="auto"/>
              </w:rPr>
            </w:pPr>
            <w:r>
              <w:rPr>
                <w:rFonts w:ascii="Arial" w:cs="Arial" w:eastAsia="Arial" w:hAnsi="Arial"/>
                <w:sz w:val="18"/>
                <w:szCs w:val="18"/>
                <w:color w:val="auto"/>
              </w:rPr>
              <w:t>18</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480,031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362,564</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117,467</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32%</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Research and development expense increased by $20.2 million, or 20%, in 2014 compared to 2013 primarily due to an increase of $12.0 million in personnel costs as a result of increased headcount to support the development of new products and continued enhancements of our existing products. In addition, stock-based compensation increased by $4.0 million, product development expenses, such as supplies and third-party testing and prototypes, increased by $3.4 million, occupancy-related costs and depreciation expense increased by $2.8 million, and professional services costs increased by $1.0 million. These increases were partially offset by a $3.0 million decrease in estimated contingent consideration.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Sales and marketing expense increased by $90.8 million, or 40%, in 2014 compared to 2013, primarily due to an increase of $58.8 million in personnel costs as we continued to increase our sales headcount in order to drive continued market share gains globally. Marketing-related expenses increased by $12.9 million as we invested significantly in marketing to capture market share, particularly in the enterprise market, including costs related to tradeshows and lead generation campaigns. In addition, we incurred increases in stock-based compensation expense of $7.2 million, depreciation and other expenses of $4.4 million, travel expenses of $4.2 million, supplies of $2.2 million and occupancy-related cost of $1.0 million.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a percentage of total revenue, sales and marketing expenses increased as we accelerated the investment in our sales force and marketing campaigns to drive future growth.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General and administrative expense increased by $6.4 million, or 18%, in 2014 compared to 2013. Personnel costs, including stock-based compensation, increased by $6.8 million, as we continued to increase our headcount in order to support our expanding business. In addition, professional services fees increased $0.8 million, partially offset by a decrease of $1.3 million in occupancy-related costs including depreciation and supplies.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3740" w:type="dxa"/>
            <w:vAlign w:val="bottom"/>
            <w:gridSpan w:val="4"/>
          </w:tcPr>
          <w:p>
            <w:pPr>
              <w:jc w:val="right"/>
              <w:ind w:right="874"/>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6"/>
                <w:szCs w:val="16"/>
                <w:b w:val="1"/>
                <w:bCs w:val="1"/>
                <w:color w:val="auto"/>
              </w:rPr>
              <w:t>2014</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jc w:val="right"/>
              <w:ind w:right="654"/>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20"/>
                <w:szCs w:val="20"/>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w w:val="99"/>
              </w:rPr>
              <w:t>(in thousands,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5,393</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5,306</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87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(3,168)</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(1,455)</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(1,713)</w:t>
            </w:r>
          </w:p>
        </w:tc>
        <w:tc>
          <w:tcPr>
            <w:tcW w:w="1680" w:type="dxa"/>
            <w:vAlign w:val="bottom"/>
          </w:tcPr>
          <w:p>
            <w:pPr>
              <w:jc w:val="right"/>
              <w:ind w:right="93"/>
              <w:spacing w:after="0"/>
              <w:rPr>
                <w:sz w:val="20"/>
                <w:szCs w:val="20"/>
                <w:color w:val="auto"/>
              </w:rPr>
            </w:pPr>
            <w:r>
              <w:rPr>
                <w:rFonts w:ascii="Arial" w:cs="Arial" w:eastAsia="Arial" w:hAnsi="Arial"/>
                <w:sz w:val="18"/>
                <w:szCs w:val="18"/>
                <w:color w:val="auto"/>
              </w:rPr>
              <w:t>118</w:t>
            </w:r>
          </w:p>
        </w:tc>
      </w:tr>
    </w:tbl>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$0.1 million increase in interest income in 2014 compared to 2013 was primarily due to interest earned on higher invested balances of cash, cash equivalents and investments. The change in other expense—net, for 2014 when compared to 2013, was the result of higher foreign exchange losses and the impact of a reevaluation of the functional currency selection of certain of our international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3840" w:type="dxa"/>
            <w:vAlign w:val="bottom"/>
            <w:gridSpan w:val="4"/>
          </w:tcPr>
          <w:p>
            <w:pPr>
              <w:jc w:val="right"/>
              <w:ind w:right="914"/>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1"/>
        </w:trPr>
        <w:tc>
          <w:tcPr>
            <w:tcW w:w="36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jc w:val="right"/>
              <w:ind w:right="694"/>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20"/>
                <w:szCs w:val="20"/>
                <w:color w:val="auto"/>
              </w:rPr>
            </w:pPr>
          </w:p>
        </w:tc>
        <w:tc>
          <w:tcPr>
            <w:tcW w:w="178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66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20" w:type="dxa"/>
            <w:vAlign w:val="bottom"/>
            <w:gridSpan w:val="3"/>
          </w:tcPr>
          <w:p>
            <w:pPr>
              <w:jc w:val="right"/>
              <w:ind w:right="953"/>
              <w:spacing w:after="0"/>
              <w:rPr>
                <w:sz w:val="20"/>
                <w:szCs w:val="20"/>
                <w:color w:val="auto"/>
              </w:rPr>
            </w:pPr>
            <w:r>
              <w:rPr>
                <w:rFonts w:ascii="Arial" w:cs="Arial" w:eastAsia="Arial" w:hAnsi="Arial"/>
                <w:sz w:val="16"/>
                <w:szCs w:val="16"/>
                <w:b w:val="1"/>
                <w:bCs w:val="1"/>
                <w:color w:val="auto"/>
                <w:w w:val="99"/>
              </w:rPr>
              <w:t>(in thousands, except percentages)</w:t>
            </w:r>
          </w:p>
        </w:tc>
        <w:tc>
          <w:tcPr>
            <w:tcW w:w="166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4"/>
              </w:rPr>
              <w:t>36,206</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31,668</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4,538</w:t>
            </w:r>
          </w:p>
        </w:tc>
        <w:tc>
          <w:tcPr>
            <w:tcW w:w="16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w w:val="94"/>
              </w:rPr>
              <w:t>14%</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1"/>
                <w:szCs w:val="21"/>
                <w:color w:val="auto"/>
              </w:rPr>
            </w:pPr>
          </w:p>
        </w:tc>
        <w:tc>
          <w:tcPr>
            <w:tcW w:w="1780" w:type="dxa"/>
            <w:vAlign w:val="bottom"/>
          </w:tcPr>
          <w:p>
            <w:pPr>
              <w:jc w:val="right"/>
              <w:ind w:right="273"/>
              <w:spacing w:after="0"/>
              <w:rPr>
                <w:sz w:val="20"/>
                <w:szCs w:val="20"/>
                <w:color w:val="auto"/>
              </w:rPr>
            </w:pPr>
            <w:r>
              <w:rPr>
                <w:rFonts w:ascii="Arial" w:cs="Arial" w:eastAsia="Arial" w:hAnsi="Arial"/>
                <w:sz w:val="18"/>
                <w:szCs w:val="18"/>
                <w:color w:val="auto"/>
              </w:rPr>
              <w:t>17%</w:t>
            </w:r>
          </w:p>
        </w:tc>
        <w:tc>
          <w:tcPr>
            <w:tcW w:w="1660" w:type="dxa"/>
            <w:vAlign w:val="bottom"/>
          </w:tcPr>
          <w:p>
            <w:pPr>
              <w:ind w:left="13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Our effective tax rate was 59% for 2014, compared with an effective tax rate of 42% for 2013. The provision for income taxes for 2014 was comprised primarily of U.S. federal and state taxes, other foreign income taxes, foreign withholding taxes, discrete events resulting from an increase in tax reserves, as well as the inclusion of stock-based compensation benefits and transfer pricing allocations which impact jurisdictional income taxed at various tax rates. The increase in the effective tax rate in 2014 was primarily due to an increase in estimated tax liability related to foreign operations, an increase in tax reserves, an increase in non-tax deductible stock-based compensation expense, and limitations on utilizing foreign withholding tax credits.</w:t>
      </w:r>
    </w:p>
    <w:p>
      <w:pPr>
        <w:spacing w:after="0" w:line="15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of December 31, 2014, we had accrued $1.7 million for estimated interest related to uncertain tax provisions compared to an accrual of $1.0 million as of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of Operations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following table sets forth our unaudited quarterly statements of operations data for the last eight quarters. The information for each of these quarters has been prepared on the same basis as the audited annual financial statements included elsewhere in this Annual Report and, in the opinion of management, includes all adjustments, which includes only normal recurring adjustments, necessary for the fair presentation of the results of operations for these periods. This data should be read in conjunction with our audited consolidated financial statements and related notes included elsewhere in this annual report. These quarterly operating results are not necessarily indicative of our operating results for any future period.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 31,</w:t>
            </w: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 30,</w:t>
            </w:r>
          </w:p>
        </w:tc>
        <w:tc>
          <w:tcPr>
            <w:tcW w:w="20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 30,</w:t>
            </w: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Mar 31,</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 31,</w:t>
            </w:r>
          </w:p>
        </w:tc>
        <w:tc>
          <w:tcPr>
            <w:tcW w:w="2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Sept 30,</w:t>
            </w: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 30,</w:t>
            </w:r>
          </w:p>
        </w:tc>
        <w:tc>
          <w:tcPr>
            <w:tcW w:w="180" w:type="dxa"/>
            <w:vAlign w:val="bottom"/>
          </w:tcPr>
          <w:p>
            <w:pPr>
              <w:spacing w:after="0"/>
              <w:rPr>
                <w:sz w:val="18"/>
                <w:szCs w:val="18"/>
                <w:color w:val="auto"/>
              </w:rPr>
            </w:pPr>
          </w:p>
        </w:tc>
        <w:tc>
          <w:tcPr>
            <w:tcW w:w="840" w:type="dxa"/>
            <w:vAlign w:val="bottom"/>
          </w:tcPr>
          <w:p>
            <w:pPr>
              <w:jc w:val="right"/>
              <w:ind w:right="151"/>
              <w:spacing w:after="0"/>
              <w:rPr>
                <w:sz w:val="20"/>
                <w:szCs w:val="20"/>
                <w:color w:val="auto"/>
              </w:rPr>
            </w:pPr>
            <w:r>
              <w:rPr>
                <w:rFonts w:ascii="Arial" w:cs="Arial" w:eastAsia="Arial" w:hAnsi="Arial"/>
                <w:sz w:val="16"/>
                <w:szCs w:val="16"/>
                <w:b w:val="1"/>
                <w:bCs w:val="1"/>
                <w:color w:val="auto"/>
              </w:rPr>
              <w:t>Mar 31,</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9"/>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9"/>
          </w:tcPr>
          <w:p>
            <w:pPr>
              <w:jc w:val="right"/>
              <w:spacing w:after="0"/>
              <w:rPr>
                <w:sz w:val="20"/>
                <w:szCs w:val="20"/>
                <w:color w:val="auto"/>
              </w:rPr>
            </w:pPr>
            <w:r>
              <w:rPr>
                <w:rFonts w:ascii="Arial" w:cs="Arial" w:eastAsia="Arial" w:hAnsi="Arial"/>
                <w:sz w:val="16"/>
                <w:szCs w:val="16"/>
                <w:b w:val="1"/>
                <w:bCs w:val="1"/>
                <w:color w:val="auto"/>
              </w:rPr>
              <w:t>(in thousands, except per share amounts)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Consolidated Statements of</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Operations Data:</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144,759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119,737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87,731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76,765</w:t>
            </w:r>
          </w:p>
        </w:tc>
        <w:tc>
          <w:tcPr>
            <w:tcW w:w="0" w:type="dxa"/>
            <w:vAlign w:val="bottom"/>
          </w:tcPr>
          <w:p>
            <w:pPr>
              <w:spacing w:after="0"/>
              <w:rPr>
                <w:sz w:val="1"/>
                <w:szCs w:val="1"/>
                <w:color w:val="auto"/>
              </w:rPr>
            </w:pPr>
          </w:p>
        </w:tc>
      </w:tr>
      <w:tr>
        <w:trPr>
          <w:trHeight w:val="243"/>
        </w:trPr>
        <w:tc>
          <w:tcPr>
            <w:tcW w:w="2420" w:type="dxa"/>
            <w:vAlign w:val="bottom"/>
          </w:tcPr>
          <w:p>
            <w:pPr>
              <w:ind w:left="38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151,770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140,331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125,008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115,377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113,291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105,617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98,714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92,184</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296,529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260,068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223,969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193,348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184,098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168,949</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Product </w:t>
            </w:r>
            <w:r>
              <w:rPr>
                <w:rFonts w:ascii="Arial" w:cs="Arial" w:eastAsia="Arial" w:hAnsi="Arial"/>
                <w:sz w:val="18"/>
                <w:szCs w:val="18"/>
                <w:color w:val="auto"/>
                <w:vertAlign w:val="superscript"/>
              </w:rPr>
              <w:t>(1)(2)</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55,466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46,167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47,397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41,368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46,070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35,636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37,455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32,139</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Service </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26,510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25,534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22,101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22,234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19,554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21,249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20,302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18,604</w:t>
            </w:r>
          </w:p>
        </w:tc>
        <w:tc>
          <w:tcPr>
            <w:tcW w:w="0" w:type="dxa"/>
            <w:vAlign w:val="bottom"/>
          </w:tcPr>
          <w:p>
            <w:pPr>
              <w:spacing w:after="0"/>
              <w:rPr>
                <w:sz w:val="1"/>
                <w:szCs w:val="1"/>
                <w:color w:val="auto"/>
              </w:rPr>
            </w:pPr>
          </w:p>
        </w:tc>
      </w:tr>
      <w:tr>
        <w:trPr>
          <w:trHeight w:val="270"/>
        </w:trPr>
        <w:tc>
          <w:tcPr>
            <w:tcW w:w="2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3"/>
              </w:rPr>
              <w:t>Total cost of revenue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81,976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50,743</w:t>
            </w:r>
          </w:p>
        </w:tc>
        <w:tc>
          <w:tcPr>
            <w:tcW w:w="0" w:type="dxa"/>
            <w:vAlign w:val="bottom"/>
          </w:tcPr>
          <w:p>
            <w:pPr>
              <w:spacing w:after="0"/>
              <w:rPr>
                <w:sz w:val="1"/>
                <w:szCs w:val="1"/>
                <w:color w:val="auto"/>
              </w:rPr>
            </w:pPr>
          </w:p>
        </w:tc>
      </w:tr>
      <w:tr>
        <w:trPr>
          <w:trHeight w:val="237"/>
        </w:trPr>
        <w:tc>
          <w:tcPr>
            <w:tcW w:w="2420" w:type="dxa"/>
            <w:vAlign w:val="bottom"/>
          </w:tcPr>
          <w:p>
            <w:pPr>
              <w:ind w:left="820"/>
              <w:spacing w:after="0"/>
              <w:rPr>
                <w:sz w:val="20"/>
                <w:szCs w:val="20"/>
                <w:color w:val="auto"/>
              </w:rPr>
            </w:pPr>
            <w:r>
              <w:rPr>
                <w:rFonts w:ascii="Arial" w:cs="Arial" w:eastAsia="Arial" w:hAnsi="Arial"/>
                <w:sz w:val="18"/>
                <w:szCs w:val="18"/>
                <w:color w:val="auto"/>
              </w:rPr>
              <w:t>Total gross profit</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214,553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188,367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170,287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149,284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158,345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136,463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126,341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118,206</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420" w:type="dxa"/>
            <w:vAlign w:val="bottom"/>
          </w:tcPr>
          <w:p>
            <w:pPr>
              <w:ind w:left="380"/>
              <w:spacing w:after="0"/>
              <w:rPr>
                <w:sz w:val="20"/>
                <w:szCs w:val="20"/>
                <w:color w:val="auto"/>
              </w:rPr>
            </w:pPr>
            <w:r>
              <w:rPr>
                <w:rFonts w:ascii="Arial" w:cs="Arial" w:eastAsia="Arial" w:hAnsi="Arial"/>
                <w:sz w:val="18"/>
                <w:szCs w:val="18"/>
                <w:color w:val="auto"/>
                <w:w w:val="91"/>
              </w:rPr>
              <w:t>Research and development</w:t>
            </w:r>
          </w:p>
        </w:tc>
        <w:tc>
          <w:tcPr>
            <w:tcW w:w="200" w:type="dxa"/>
            <w:vAlign w:val="bottom"/>
          </w:tcPr>
          <w:p>
            <w:pPr>
              <w:spacing w:after="0"/>
              <w:rPr>
                <w:sz w:val="20"/>
                <w:szCs w:val="20"/>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42,814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42,110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37,389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35,816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color w:val="auto"/>
              </w:rPr>
              <w:t>33,097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8"/>
                <w:szCs w:val="18"/>
                <w:color w:val="auto"/>
              </w:rPr>
              <w:t>30,790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29,938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29,055</w:t>
            </w:r>
          </w:p>
        </w:tc>
        <w:tc>
          <w:tcPr>
            <w:tcW w:w="0" w:type="dxa"/>
            <w:vAlign w:val="bottom"/>
          </w:tcPr>
          <w:p>
            <w:pPr>
              <w:spacing w:after="0"/>
              <w:rPr>
                <w:sz w:val="1"/>
                <w:szCs w:val="1"/>
                <w:color w:val="auto"/>
              </w:rPr>
            </w:pPr>
          </w:p>
        </w:tc>
      </w:tr>
      <w:tr>
        <w:trPr>
          <w:trHeight w:val="115"/>
        </w:trPr>
        <w:tc>
          <w:tcPr>
            <w:tcW w:w="2420" w:type="dxa"/>
            <w:vAlign w:val="bottom"/>
          </w:tcPr>
          <w:p>
            <w:pPr>
              <w:ind w:left="380"/>
              <w:spacing w:after="0"/>
              <w:rPr>
                <w:sz w:val="20"/>
                <w:szCs w:val="20"/>
                <w:color w:val="auto"/>
              </w:rPr>
            </w:pPr>
            <w:r>
              <w:rPr>
                <w:rFonts w:ascii="Arial" w:cs="Arial" w:eastAsia="Arial" w:hAnsi="Arial"/>
                <w:sz w:val="9"/>
                <w:szCs w:val="9"/>
                <w:color w:val="auto"/>
              </w:rPr>
              <w:t>(1)</w:t>
            </w:r>
          </w:p>
        </w:tc>
        <w:tc>
          <w:tcPr>
            <w:tcW w:w="2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8"/>
                <w:szCs w:val="18"/>
                <w:color w:val="auto"/>
                <w:vertAlign w:val="superscript"/>
              </w:rPr>
              <w:t>(1)(2)</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136,840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120,994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111,928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100,609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93,228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80,433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74,817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67,326</w:t>
            </w:r>
          </w:p>
        </w:tc>
        <w:tc>
          <w:tcPr>
            <w:tcW w:w="0" w:type="dxa"/>
            <w:vAlign w:val="bottom"/>
          </w:tcPr>
          <w:p>
            <w:pPr>
              <w:spacing w:after="0"/>
              <w:rPr>
                <w:sz w:val="1"/>
                <w:szCs w:val="1"/>
                <w:color w:val="auto"/>
              </w:rPr>
            </w:pPr>
          </w:p>
        </w:tc>
      </w:tr>
      <w:tr>
        <w:trPr>
          <w:trHeight w:val="236"/>
        </w:trPr>
        <w:tc>
          <w:tcPr>
            <w:tcW w:w="2420" w:type="dxa"/>
            <w:vAlign w:val="bottom"/>
          </w:tcPr>
          <w:p>
            <w:pPr>
              <w:ind w:left="380"/>
              <w:spacing w:after="0"/>
              <w:rPr>
                <w:sz w:val="20"/>
                <w:szCs w:val="20"/>
                <w:color w:val="auto"/>
              </w:rPr>
            </w:pPr>
            <w:r>
              <w:rPr>
                <w:rFonts w:ascii="Arial" w:cs="Arial" w:eastAsia="Arial" w:hAnsi="Arial"/>
                <w:sz w:val="18"/>
                <w:szCs w:val="18"/>
                <w:color w:val="auto"/>
                <w:w w:val="93"/>
              </w:rPr>
              <w:t>General and administrative</w:t>
            </w:r>
          </w:p>
        </w:tc>
        <w:tc>
          <w:tcPr>
            <w:tcW w:w="200" w:type="dxa"/>
            <w:vAlign w:val="bottom"/>
          </w:tcPr>
          <w:p>
            <w:pPr>
              <w:spacing w:after="0"/>
              <w:rPr>
                <w:sz w:val="20"/>
                <w:szCs w:val="20"/>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20,315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21,220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18,018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11,961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color w:val="auto"/>
              </w:rPr>
              <w:t>12,104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8"/>
                <w:szCs w:val="18"/>
                <w:color w:val="auto"/>
              </w:rPr>
              <w:t>9,789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10,444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115"/>
        </w:trPr>
        <w:tc>
          <w:tcPr>
            <w:tcW w:w="2420" w:type="dxa"/>
            <w:vAlign w:val="bottom"/>
          </w:tcPr>
          <w:p>
            <w:pPr>
              <w:ind w:left="380"/>
              <w:spacing w:after="0"/>
              <w:rPr>
                <w:sz w:val="20"/>
                <w:szCs w:val="20"/>
                <w:color w:val="auto"/>
              </w:rPr>
            </w:pPr>
            <w:r>
              <w:rPr>
                <w:rFonts w:ascii="Arial" w:cs="Arial" w:eastAsia="Arial" w:hAnsi="Arial"/>
                <w:sz w:val="9"/>
                <w:szCs w:val="9"/>
                <w:color w:val="auto"/>
              </w:rPr>
              <w:t>(1)</w:t>
            </w:r>
          </w:p>
        </w:tc>
        <w:tc>
          <w:tcPr>
            <w:tcW w:w="2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420" w:type="dxa"/>
            <w:vAlign w:val="bottom"/>
          </w:tcPr>
          <w:p>
            <w:pPr>
              <w:ind w:left="820"/>
              <w:spacing w:after="0"/>
              <w:rPr>
                <w:sz w:val="20"/>
                <w:szCs w:val="20"/>
                <w:color w:val="auto"/>
              </w:rPr>
            </w:pPr>
            <w:r>
              <w:rPr>
                <w:rFonts w:ascii="Arial" w:cs="Arial" w:eastAsia="Arial" w:hAnsi="Arial"/>
                <w:sz w:val="18"/>
                <w:szCs w:val="18"/>
                <w:color w:val="auto"/>
              </w:rPr>
              <w:t>Total operating</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8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201,686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190,207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167,335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148,386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138,429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121,012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115,199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105,391</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12,815</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expense—net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9"/>
        </w:trPr>
        <w:tc>
          <w:tcPr>
            <w:tcW w:w="2420" w:type="dxa"/>
            <w:vAlign w:val="bottom"/>
          </w:tcPr>
          <w:p>
            <w:pPr>
              <w:ind w:left="40"/>
              <w:spacing w:after="0"/>
              <w:rPr>
                <w:sz w:val="20"/>
                <w:szCs w:val="20"/>
                <w:color w:val="auto"/>
              </w:rPr>
            </w:pPr>
            <w:r>
              <w:rPr>
                <w:rFonts w:ascii="Arial" w:cs="Arial" w:eastAsia="Arial" w:hAnsi="Arial"/>
                <w:sz w:val="18"/>
                <w:szCs w:val="18"/>
                <w:color w:val="auto"/>
              </w:rPr>
              <w:t>Income (loss) before income</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13,036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20,118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15,785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11,887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(benefit from)</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97"/>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8,169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6,813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4,056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6,081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8,393</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4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51"/>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3"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9"/>
          <w:szCs w:val="9"/>
          <w:color w:val="auto"/>
        </w:rPr>
      </w:pPr>
      <w:r>
        <w:rPr>
          <w:rFonts w:ascii="Arial" w:cs="Arial" w:eastAsia="Arial" w:hAnsi="Arial"/>
          <w:sz w:val="14"/>
          <w:szCs w:val="14"/>
          <w:color w:val="auto"/>
        </w:rPr>
        <w:t>Includes stock-based compensation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2"/>
              </w:rPr>
              <w:t>Three Months Ended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 31,</w:t>
            </w: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 30,</w:t>
            </w:r>
          </w:p>
        </w:tc>
        <w:tc>
          <w:tcPr>
            <w:tcW w:w="2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 30,</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 31,</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 31,</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 30,</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Jun 30,</w:t>
            </w: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Mar 31,</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Cost of service revenue</w:t>
            </w:r>
          </w:p>
        </w:tc>
        <w:tc>
          <w:tcPr>
            <w:tcW w:w="1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1,329</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3,882</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1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14,954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13,904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9,307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7,854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7,397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5,747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5,746</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1,860</w:t>
            </w:r>
          </w:p>
        </w:tc>
        <w:tc>
          <w:tcPr>
            <w:tcW w:w="0" w:type="dxa"/>
            <w:vAlign w:val="bottom"/>
          </w:tcPr>
          <w:p>
            <w:pPr>
              <w:spacing w:after="0"/>
              <w:rPr>
                <w:sz w:val="1"/>
                <w:szCs w:val="1"/>
                <w:color w:val="auto"/>
              </w:rPr>
            </w:pPr>
          </w:p>
        </w:tc>
      </w:tr>
      <w:tr>
        <w:trPr>
          <w:trHeight w:val="200"/>
        </w:trPr>
        <w:tc>
          <w:tcPr>
            <w:tcW w:w="2420" w:type="dxa"/>
            <w:vAlign w:val="bottom"/>
          </w:tcPr>
          <w:p>
            <w:pPr>
              <w:ind w:left="380"/>
              <w:spacing w:after="0"/>
              <w:rPr>
                <w:sz w:val="20"/>
                <w:szCs w:val="20"/>
                <w:color w:val="auto"/>
              </w:rPr>
            </w:pPr>
            <w:r>
              <w:rPr>
                <w:rFonts w:ascii="Arial" w:cs="Arial" w:eastAsia="Arial" w:hAnsi="Arial"/>
                <w:sz w:val="16"/>
                <w:szCs w:val="16"/>
                <w:color w:val="auto"/>
              </w:rPr>
              <w:t>Total stock-based</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28,087</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26,319</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21,760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18,922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16,681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14,667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14,716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12,930</w:t>
            </w:r>
          </w:p>
        </w:tc>
        <w:tc>
          <w:tcPr>
            <w:tcW w:w="0" w:type="dxa"/>
            <w:vAlign w:val="bottom"/>
          </w:tcPr>
          <w:p>
            <w:pPr>
              <w:spacing w:after="0"/>
              <w:rPr>
                <w:sz w:val="1"/>
                <w:szCs w:val="1"/>
                <w:color w:val="auto"/>
              </w:rPr>
            </w:pPr>
          </w:p>
        </w:tc>
      </w:tr>
      <w:tr>
        <w:trPr>
          <w:trHeight w:val="224"/>
        </w:trPr>
        <w:tc>
          <w:tcPr>
            <w:tcW w:w="2420" w:type="dxa"/>
            <w:vAlign w:val="bottom"/>
          </w:tcPr>
          <w:p>
            <w:pPr>
              <w:ind w:left="380"/>
              <w:spacing w:after="0"/>
              <w:rPr>
                <w:sz w:val="20"/>
                <w:szCs w:val="20"/>
                <w:color w:val="auto"/>
              </w:rPr>
            </w:pPr>
            <w:r>
              <w:rPr>
                <w:rFonts w:ascii="Arial" w:cs="Arial" w:eastAsia="Arial" w:hAnsi="Arial"/>
                <w:sz w:val="16"/>
                <w:szCs w:val="16"/>
                <w:color w:val="auto"/>
              </w:rPr>
              <w:t>compensation expense</w:t>
            </w:r>
          </w:p>
        </w:tc>
        <w:tc>
          <w:tcPr>
            <w:tcW w:w="18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w:t>
      </w:r>
    </w:p>
    <w:p>
      <w:pPr>
        <w:spacing w:after="0" w:line="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9"/>
          <w:szCs w:val="9"/>
          <w:color w:val="auto"/>
        </w:rPr>
      </w:pPr>
      <w:r>
        <w:rPr>
          <w:rFonts w:ascii="Arial" w:cs="Arial" w:eastAsia="Arial" w:hAnsi="Arial"/>
          <w:sz w:val="14"/>
          <w:szCs w:val="14"/>
          <w:color w:val="auto"/>
        </w:rPr>
        <w:t>Includes amortization and impairment of intangible assets as follows:</w:t>
      </w:r>
    </w:p>
    <w:p>
      <w:pPr>
        <w:spacing w:after="0" w:line="318"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 31,</w:t>
            </w: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 30,</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 30,</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 31,</w:t>
            </w: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 31,</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 30,</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 30,</w:t>
            </w:r>
          </w:p>
        </w:tc>
        <w:tc>
          <w:tcPr>
            <w:tcW w:w="1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 31,</w:t>
            </w: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38"/>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24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Amortization of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37"/>
        </w:trPr>
        <w:tc>
          <w:tcPr>
            <w:tcW w:w="2260" w:type="dxa"/>
            <w:vAlign w:val="bottom"/>
          </w:tcPr>
          <w:p>
            <w:pPr>
              <w:ind w:left="20"/>
              <w:spacing w:after="0"/>
              <w:rPr>
                <w:sz w:val="20"/>
                <w:szCs w:val="20"/>
                <w:color w:val="auto"/>
              </w:rPr>
            </w:pPr>
            <w:r>
              <w:rPr>
                <w:rFonts w:ascii="Arial" w:cs="Arial" w:eastAsia="Arial" w:hAnsi="Arial"/>
                <w:sz w:val="16"/>
                <w:szCs w:val="16"/>
                <w:color w:val="auto"/>
              </w:rPr>
              <w:t>Impairment of intangible assets</w:t>
            </w:r>
          </w:p>
        </w:tc>
        <w:tc>
          <w:tcPr>
            <w:tcW w:w="1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amortization and</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impairment of intangible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1,319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1,837</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2,812</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19"/>
        </w:trPr>
        <w:tc>
          <w:tcPr>
            <w:tcW w:w="2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Cyclicality and Quarterly Revenue Trends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Our quarterly results reflect a pattern of increased customer buying at year-end, which has positively impacted billings and product revenue activity in the fourth quarter. In the first quarter, we generally experience lower sequential customer buying, which results in lower billings and product revenue. Although these seasonal factors are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each quarter. We believe this is due to customer buying patterns typical in this industry.</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total quarterly revenue over the past eight quarters has generally increased sequentially in each quarter, except in the first quarter of 2015. Product revenue in all of the quarters of 2015 was higher as compared to the same quarters in 2014, which we believe was due in part to the investments made in our sales and marketing organizations, to a robust security market and to continued product innovation.</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Total gross margin has fluctuated on a quarterly basis primarily due to shifts in the mix of sales between products and services and between products. Product gross margins, on average throughout the year, increased in 2015 primarily due to a greater mix of high-end FortiGate product sales compared to 2014. Product gross margin varies based on the types of products sold and the average selling prices of our products. In addition, product gross margin was positively impacted by higher sales of software products such as certain of our virtualized security solutions, as well as inventory management efficiencies. Service gross margins, on average throughout the year, increased in 2015 compared to 2014 as we scaled efficiencies resulting from our ability to add and charge for more functionality and value to our FortiGuard security subscription and FortiCare technical support offerings, which yielded more value to our customers and which translated into improved service margins.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of December 31,</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543,277</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621,033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708,490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727,172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1,164,310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991,744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843,045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591,873</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508,925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271,505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0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gridSpan w:val="6"/>
          </w:tcPr>
          <w:p>
            <w:pPr>
              <w:jc w:val="center"/>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282,547</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147,384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(146,734)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260,023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167,381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Liquidity and capital resources may be impacted by our operating activities, as well as by our business acquisitions, capital expenditures, stock repurchases, proceeds associated with stock option exercises and issuances of common stock under the employee stock purchase plan (“ESPP”), payment of taxes in connection with the net settlement of equity awards, and investments in strategic relationships that we have made or may make in the future. Our previous stock repurchase program expired on December 31, 2015 with an unused balance under the Program of $62.5 million. In January 2016, our board of directors approved a new share repurchase program, which authorizes the repurchase of up to $200.0 million of our outstanding common stock through December 31, 2017. In recent years we have received significant capital resources as a result of the exercise of stock options and purchases under our ESPP. We expect proceeds in future years to be impacted by our share price and the mix of stock options and RSUs granted. We expect to spend $35.0 million to $45.0 million in capital expenditures primarily related to expansion of our offices to support worldwide growth and the implementation of our ERP system.</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December 2015, we received $9.0 million from a third-party for a release of claims. In addition, we agreed to a three-year covenant-not-to-sue.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$9.0 million of consideration received, $2.0 million was used to offset contingent legal fees incurred in connection with the litigation and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 million was deferred, with the short-term portion recorded as accrued liabilities and the long-term portion recorded as other liabilities in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sheet. The deferral will be recognized ratably through 2018 as an offset to general and administrative expenses in the consolidated statement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11"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As of December 31, 2015, our cash, cash equivalents, and investments of $1.16 billion were invested primarily in corporate debt securities, commercial paper, municipal bonds, certificates of deposit and term deposits, money market funds, and U.S. government and agency securities. It is our investment policy to invest excess cash in a manner that preserves capital, provides liquidity and maximizes return without significantly increasing risk.</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December 31, 2015, $375.7 million of our cash and investments were held by our international subsidiaries and are therefore not immediately available to fund domestic operations unless the cash is repatriated. While we do not intend to do so, should this amount be repatriated, most of it would be subject to U.S. federal income tax that would be partially offset by foreign tax credits.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Historically, we have required capital principally to fund our working capital needs, capital expenditures, share repurchases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Cash generated by operating activities is our primary source of liquidity. It is primarily comprised of net income, as adjusted for non-cash items, and changes in operating assets and liabilities. Non-cash adjustments consist primarily of stock-based compensation, depreciation of property and equipment, amortization of intangible assets, excess tax benefit from stock-based compensation, and amortization of investment premiums.</w:t>
      </w:r>
    </w:p>
    <w:p>
      <w:pPr>
        <w:spacing w:after="0" w:line="16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Our operating activities during 2015 provided $282.5 million in cash as a result of our continued growth in billings and the ability to successfully manage our working capital. Additionally, in 2015, we received $9.0 million related to a mutual three-year covenant-not-to-sue agreement. Changes in operating assets and liabilities primarily resulted from an increase in payments received from customers, partially offset by an increase in payments to vendors.</w:t>
      </w:r>
    </w:p>
    <w:p>
      <w:pPr>
        <w:spacing w:after="0" w:line="187"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operating activities during 2014 provided $196.6 million in cash as a result of profitability, timing of billings and collections, and the ability to successfully manage our working capital. The primary sources of cash from operating activities during 2014 consisted of net income of $25.3 million, increased by non-cash adjustments of $93.9 million and changes in operating assets and liabilities of $77.4 million. In 2014, we received $20.0 million pursuant to a six-year mutual covenant-not-to-sue and release agreement with Palo Alto Networks, Inc. Changes in operating assets and liabilities primarily included an increase in payments received from customers and a receipt of cash related to the mutual covenant-not-to-sue and release agreement, partially offset by payments for inventory purchases, prepayment of certain expenses and payments of income taxes during the period.</w:t>
      </w:r>
    </w:p>
    <w:p>
      <w:pPr>
        <w:spacing w:after="0" w:line="16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operating activities during 2013 provided $147.4 million in cash as a result of profitability, timing of billings and collections, and the ability to successfully manage our working capital. The primary sources of cash from operating activities during 2013 consisted of net income of $44.3 million increased by non-cash adjustments of $69.2 million and changes in operating assets and liabilities of $33.9 million. Changes in operating assets and liabilities primarily included an increase in payments received from customers, partially offset by payments for inventory purchases.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purchases of property and equipment, and payments made in connection with business acquisitions.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During 2015, cash used for investing activities was primarily due to $38.0 million used for the acquisition of Meru, In addition we spent $37.4 million on capital expenditures, including our purchases of certain real properties in Sunnyvale, California and Sophia, France for total cash of $13.9 million. The outflow of cash was partially offset by positive cash flow due to maturities, net of purchases, from our investments of $74.4 million.</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2014, cash used for investing activities was primarily due to $32.2 million spent on capital expenditures, partially offset by positive cash flow due to maturities, net of purchases, from our investments of $2.9 million.</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2013, cash used for investing activities was primarily due to $125.2 million of net purchases of investments, $13.9 million for the purchases of property and equipment, and $7.6 million for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changes in cash flows from financing activities primarily relate to proceeds from the issuance of common stock under our equity incentive plan and ESPP, taxes paid related to net share settlement of equity awards, excess tax benefit from stock-based compensation, and repurchase and retirement of common stock.</w:t>
      </w:r>
    </w:p>
    <w:p>
      <w:pPr>
        <w:spacing w:after="0" w:line="18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During 2015, cash used for financing activities was $21.6 million primarily due to $60.0 million used to repurchase our common stock. This was partially offset by $38.4 million of proceeds from the issuance of common stock, net of taxes paid related to withholding upon issuance of RSUs.</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2014, cash provided by financing activities was $0.7 million as a result of proceeds of $55.3 million from the issuance of common stock under our stock plans. This cash inflow was partially offset by $44.0 million used to repurchase our common stock and $10.6 million of taxes payment related to withholding upon the issuance of RSUs.</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During 2013, cash used in financing activities was $6.4 million as a result of our repurchase of $33.5 million of common stock and our net-share settlement of RSUs of $1.5 million. This was offset by receiving proceeds of $12.9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and $12.7 million from the issuance of common stock under our stock option plans and ESPP, respectively, and an excess tax benefit from employee stock option exercises of $3.0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December 31, 2015:</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80" w:type="dxa"/>
            <w:vAlign w:val="bottom"/>
            <w:gridSpan w:val="6"/>
          </w:tcPr>
          <w:p>
            <w:pPr>
              <w:jc w:val="right"/>
              <w:spacing w:after="0"/>
              <w:rPr>
                <w:sz w:val="20"/>
                <w:szCs w:val="20"/>
                <w:color w:val="auto"/>
              </w:rPr>
            </w:pPr>
            <w:r>
              <w:rPr>
                <w:rFonts w:ascii="Arial" w:cs="Arial" w:eastAsia="Arial" w:hAnsi="Arial"/>
                <w:sz w:val="16"/>
                <w:szCs w:val="16"/>
                <w:b w:val="1"/>
                <w:bCs w:val="1"/>
                <w:color w:val="auto"/>
                <w:w w:val="89"/>
              </w:rPr>
              <w:t>Payments Due by Period</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6"/>
                <w:szCs w:val="16"/>
                <w:b w:val="1"/>
                <w:bCs w:val="1"/>
                <w:color w:val="auto"/>
                <w:w w:val="97"/>
              </w:rPr>
              <w:t>More than 5</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480" w:type="dxa"/>
            <w:vAlign w:val="bottom"/>
            <w:gridSpan w:val="5"/>
          </w:tcPr>
          <w:p>
            <w:pPr>
              <w:jc w:val="right"/>
              <w:ind w:right="300"/>
              <w:spacing w:after="0"/>
              <w:rPr>
                <w:sz w:val="20"/>
                <w:szCs w:val="20"/>
                <w:color w:val="auto"/>
              </w:rPr>
            </w:pPr>
            <w:r>
              <w:rPr>
                <w:rFonts w:ascii="Arial" w:cs="Arial" w:eastAsia="Arial" w:hAnsi="Arial"/>
                <w:sz w:val="16"/>
                <w:szCs w:val="16"/>
                <w:b w:val="1"/>
                <w:bCs w:val="1"/>
                <w:color w:val="auto"/>
                <w:w w:val="92"/>
              </w:rPr>
              <w:t>Less than 1 year</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1 - 3 years</w:t>
            </w:r>
          </w:p>
        </w:tc>
        <w:tc>
          <w:tcPr>
            <w:tcW w:w="20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6"/>
                <w:szCs w:val="16"/>
                <w:b w:val="1"/>
                <w:bCs w:val="1"/>
                <w:color w:val="auto"/>
                <w:w w:val="97"/>
              </w:rPr>
              <w:t>3 - 5 years</w:t>
            </w:r>
          </w:p>
        </w:tc>
        <w:tc>
          <w:tcPr>
            <w:tcW w:w="260" w:type="dxa"/>
            <w:vAlign w:val="bottom"/>
          </w:tcPr>
          <w:p>
            <w:pPr>
              <w:spacing w:after="0"/>
              <w:rPr>
                <w:sz w:val="18"/>
                <w:szCs w:val="18"/>
                <w:color w:val="auto"/>
              </w:rPr>
            </w:pPr>
          </w:p>
        </w:tc>
        <w:tc>
          <w:tcPr>
            <w:tcW w:w="1100" w:type="dxa"/>
            <w:vAlign w:val="bottom"/>
          </w:tcPr>
          <w:p>
            <w:pPr>
              <w:jc w:val="right"/>
              <w:ind w:right="353"/>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thousands)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61,013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30,046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Inventory purchase commitments </w:t>
            </w:r>
            <w:r>
              <w:rPr>
                <w:rFonts w:ascii="Arial" w:cs="Arial" w:eastAsia="Arial" w:hAnsi="Arial"/>
                <w:sz w:val="18"/>
                <w:szCs w:val="18"/>
                <w:color w:val="auto"/>
                <w:vertAlign w:val="superscript"/>
              </w:rPr>
              <w:t>(2)</w:t>
            </w:r>
          </w:p>
        </w:tc>
        <w:tc>
          <w:tcPr>
            <w:tcW w:w="2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70,018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2"/>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 xml:space="preserve">Other contractual commitments and open purchase orders </w:t>
            </w:r>
            <w:r>
              <w:rPr>
                <w:rFonts w:ascii="Arial" w:cs="Arial" w:eastAsia="Arial" w:hAnsi="Arial"/>
                <w:sz w:val="18"/>
                <w:szCs w:val="18"/>
                <w:color w:val="auto"/>
                <w:w w:val="95"/>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37,346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3,578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393</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168,377</w:t>
            </w:r>
          </w:p>
        </w:tc>
        <w:tc>
          <w:tcPr>
            <w:tcW w:w="120" w:type="dxa"/>
            <w:vAlign w:val="bottom"/>
          </w:tcPr>
          <w:p>
            <w:pPr>
              <w:spacing w:after="0"/>
              <w:rPr>
                <w:sz w:val="22"/>
                <w:szCs w:val="22"/>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120,445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33,624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7,920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7"/>
        </w:numPr>
        <w:rPr>
          <w:rFonts w:ascii="Arial" w:cs="Arial" w:eastAsia="Arial" w:hAnsi="Arial"/>
          <w:sz w:val="9"/>
          <w:szCs w:val="9"/>
          <w:color w:val="auto"/>
        </w:rPr>
      </w:pPr>
      <w:r>
        <w:rPr>
          <w:rFonts w:ascii="Arial" w:cs="Arial" w:eastAsia="Arial" w:hAnsi="Arial"/>
          <w:sz w:val="14"/>
          <w:szCs w:val="14"/>
          <w:color w:val="auto"/>
        </w:rPr>
        <w:t>Consists of contractual obligations from non-cancelable office space under operating leases.</w:t>
      </w:r>
    </w:p>
    <w:p>
      <w:pPr>
        <w:spacing w:after="0" w:line="1" w:lineRule="exact"/>
        <w:rPr>
          <w:rFonts w:ascii="Arial" w:cs="Arial" w:eastAsia="Arial" w:hAnsi="Arial"/>
          <w:sz w:val="9"/>
          <w:szCs w:val="9"/>
          <w:color w:val="auto"/>
        </w:rPr>
      </w:pPr>
    </w:p>
    <w:p>
      <w:pPr>
        <w:ind w:left="660" w:hanging="652"/>
        <w:spacing w:after="0"/>
        <w:tabs>
          <w:tab w:leader="none" w:pos="660" w:val="left"/>
        </w:tabs>
        <w:numPr>
          <w:ilvl w:val="0"/>
          <w:numId w:val="27"/>
        </w:numPr>
        <w:rPr>
          <w:rFonts w:ascii="Arial" w:cs="Arial" w:eastAsia="Arial" w:hAnsi="Arial"/>
          <w:sz w:val="9"/>
          <w:szCs w:val="9"/>
          <w:color w:val="auto"/>
        </w:rPr>
      </w:pPr>
      <w:r>
        <w:rPr>
          <w:rFonts w:ascii="Arial" w:cs="Arial" w:eastAsia="Arial" w:hAnsi="Arial"/>
          <w:sz w:val="14"/>
          <w:szCs w:val="14"/>
          <w:color w:val="auto"/>
        </w:rPr>
        <w:t>Consists of minimum purchase commitments with independent contract manufacturers.</w:t>
      </w:r>
    </w:p>
    <w:p>
      <w:pPr>
        <w:spacing w:after="0" w:line="1" w:lineRule="exact"/>
        <w:rPr>
          <w:rFonts w:ascii="Arial" w:cs="Arial" w:eastAsia="Arial" w:hAnsi="Arial"/>
          <w:sz w:val="9"/>
          <w:szCs w:val="9"/>
          <w:color w:val="auto"/>
        </w:rPr>
      </w:pPr>
    </w:p>
    <w:p>
      <w:pPr>
        <w:ind w:left="660" w:right="140" w:hanging="652"/>
        <w:spacing w:after="0" w:line="246" w:lineRule="auto"/>
        <w:tabs>
          <w:tab w:leader="none" w:pos="660" w:val="left"/>
        </w:tabs>
        <w:numPr>
          <w:ilvl w:val="0"/>
          <w:numId w:val="27"/>
        </w:numPr>
        <w:rPr>
          <w:rFonts w:ascii="Arial" w:cs="Arial" w:eastAsia="Arial" w:hAnsi="Arial"/>
          <w:sz w:val="9"/>
          <w:szCs w:val="9"/>
          <w:color w:val="auto"/>
        </w:rPr>
      </w:pPr>
      <w:r>
        <w:rPr>
          <w:rFonts w:ascii="Arial" w:cs="Arial" w:eastAsia="Arial" w:hAnsi="Arial"/>
          <w:sz w:val="14"/>
          <w:szCs w:val="14"/>
          <w:color w:val="auto"/>
        </w:rPr>
        <w:t>Consists of an estimate of open purchase orders and contractual obligations in the ordinary course of business, other than commitments with contract manufacturers and suppliers, for which we have not received the goods or services. No tax liabilities related to uncertain tax positions have been included in the table. As of December 31, 2015, we had $60.6 million of long-term tax liabilities, including interest, related to uncertain tax positions. Because of the high degree of uncertainty regarding the settlement of these liabilities, we are unable to estimate the years in which future cash outflows may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During 2015, 2014 and 2013,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See Note 1 of the notes to our consolidated financial statements in Part II, Item 8 of this Annual Report on Form 10-K for a full description of recently adopted accounting pronouncements.</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and investments in a variety of securities, including corporate debt securities, money market funds, commercial paper, municipal bonds, U.S. government and agency securities, and certificates of deposit and term deposits. The risk associated with fluctuating interest rates is limited to our investment portfolio. A 10% decrease in interest rates in 2015, 2014 and 2013 would have resulted in an insignificant decrease in our interest income in each of these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sales contracts are primarily denominated in U.S. dollars and therefore substantially all of our revenue is not 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and Euro (“EUR”). To help protect against significant fluctuations in value and the volatility of future cash flows caused by changes in currency exchange rates, we engage in foreign currency risk management activities to hedge balance sheet items denominated in CAD. We do not use these contracts for speculative or trading purposes. All of the derivative instruments are with high quality financial institutions. These contracts typically have maturities between one and three months. We record changes in the fair value of forward exchange contracts related to balance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sheet accounts as other expense, net in the consolidated statement of operations. We recognized an expense of $3.2 million in Other expense—net, in 2015 due to foreign currency transaction losses.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hedging activities are intended to reduce, but not eliminate, the impact of currency exchange rate movements. As our hedging activities are relatively short-term in nature and are focused on the CAD, long-term material changes in the value of the U.S. dollar against other foreign currencies, such as the EUR, British pound (“GBP”), and Chinese Renminbi (“CNY”) could adversely impact our operating expenses in the future. We assessed the risk of loss in fair values from the impact of hypothetical changes in foreign currency exchange rates. For foreign currency exchange rate risk, a 10% increase or decrease of foreign currency exchange rates against the U.S. dollar with all other variables held constant would have resulted in a $2.5 million change in the value of our foreign currency cash balances as of December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monetary assets, consisting primarily of cash, cash equivalents and short-term investments, are not affected significantly by inflation because they are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680" w:type="dxa"/>
            <w:vAlign w:val="bottom"/>
            <w:gridSpan w:val="3"/>
          </w:tcPr>
          <w:p>
            <w:pPr>
              <w:ind w:left="180"/>
              <w:spacing w:after="0"/>
              <w:rPr>
                <w:sz w:val="20"/>
                <w:szCs w:val="20"/>
                <w:color w:val="auto"/>
              </w:rPr>
            </w:pPr>
            <w:r>
              <w:rPr>
                <w:rFonts w:ascii="Arial" w:cs="Arial" w:eastAsia="Arial" w:hAnsi="Arial"/>
                <w:sz w:val="16"/>
                <w:szCs w:val="16"/>
                <w:b w:val="1"/>
                <w:bCs w:val="1"/>
                <w:color w:val="auto"/>
              </w:rPr>
              <w:t>Page</w:t>
            </w:r>
          </w:p>
        </w:tc>
      </w:tr>
      <w:tr>
        <w:trPr>
          <w:trHeight w:val="33"/>
        </w:trPr>
        <w:tc>
          <w:tcPr>
            <w:tcW w:w="2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34"/>
        </w:trPr>
        <w:tc>
          <w:tcPr>
            <w:tcW w:w="4220" w:type="dxa"/>
            <w:vAlign w:val="bottom"/>
            <w:gridSpan w:val="7"/>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Report of Independent Registered Public Accounting Firm</w:t>
              </w:r>
            </w:hyperlink>
          </w:p>
        </w:tc>
        <w:tc>
          <w:tcPr>
            <w:tcW w:w="6480" w:type="dxa"/>
            <w:vAlign w:val="bottom"/>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22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Balance Sheets</w:t>
              </w:r>
            </w:hyperlink>
          </w:p>
        </w:tc>
        <w:tc>
          <w:tcPr>
            <w:tcW w:w="6480" w:type="dxa"/>
            <w:vAlign w:val="bottom"/>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59</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Operations</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Comprehensive Income</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Consolidated Statements of Stockholders’ Equity</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Cash Flows</w:t>
              </w:r>
            </w:hyperlink>
          </w:p>
        </w:tc>
        <w:tc>
          <w:tcPr>
            <w:tcW w:w="7160" w:type="dxa"/>
            <w:vAlign w:val="bottom"/>
            <w:gridSpan w:val="3"/>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Notes to Consolidated Financial Statements</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supplementary financial information required by this Item 8 is included in Part II, Item 7 of this Annual Report on Form 10-K under the caption “Management’s Discussion and Analysis of Financial Condition and Results of Operations—Quarterly Results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Fortinet,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Sunnyvale, California</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Fortinet, Inc. and subsidiaries (the "Company") as of December 31, 2015 and 2014, and the related consolidated statements of operations, comprehensive income, stockholders' equity, and cash flows for each of the three years in the period ended December 31, 2015.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Fortinet, Inc. and subsidiaries as of December 31, 2015 and 2014, and the results of their operations and their cash flows for each of the three years in the period ended December 31, 2015,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2015,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2016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00"/>
          </w:cols>
          <w:pgMar w:left="240" w:top="122"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4"/>
                <w:szCs w:val="24"/>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rPr>
              <w:t>FORTINET, INC.</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9"/>
        </w:trPr>
        <w:tc>
          <w:tcPr>
            <w:tcW w:w="1020" w:type="dxa"/>
            <w:vAlign w:val="bottom"/>
          </w:tcPr>
          <w:p>
            <w:pPr>
              <w:spacing w:after="0"/>
              <w:rPr>
                <w:sz w:val="24"/>
                <w:szCs w:val="24"/>
                <w:color w:val="auto"/>
              </w:rPr>
            </w:pPr>
          </w:p>
        </w:tc>
        <w:tc>
          <w:tcPr>
            <w:tcW w:w="732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9"/>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283,254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348,074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436,766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6"/>
              </w:rPr>
              <w:t>Accounts receivable—Net of reserves for sales returns and doubtful accounts of $6,228 and $6,204 at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December 31, 2015 and 2014,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259,563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184,741</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83,868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69,477</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31,143</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1,270,543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1,005,381</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271,724</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119,216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72,564</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58,919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2,832</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10,530</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1,790,510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1,424,774</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6"/>
        </w:trPr>
        <w:tc>
          <w:tcPr>
            <w:tcW w:w="10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49,947</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29,016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45,875</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2,689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514,652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368,929</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678,670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496,456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189,828</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45,139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17,385</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1,035,133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748,808</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Common stock, $0.001 par value—300,000 shares authorized; 171,399 and 166,443 shares issued and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outstanding at December 31, 2015 and 2014,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687,658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562,504</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68,481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113,645</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755,377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675,966</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1,790,510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1,424,774</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4"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Year Ended December 31,</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7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476,782</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360,558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278,046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532,486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409,806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337,251</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1,009,268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770,364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615,297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190,398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151,300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114,611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96,379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79,709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66,032</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286,777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231,009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180,643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286,384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209,258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163,435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436,107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330,097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271,219</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722,491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539,355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434,654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158,129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122,880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102,660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470,371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315,804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224,991</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71,514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41,347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34,913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707,614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480,031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362,564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72,090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EXPENSE—Net</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17,005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61,549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75,941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36,206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31,668</w:t>
            </w: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7,987</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25,343</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44,273</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(Note 8):</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51"/>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4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170,385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163,831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162,435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20" w:type="dxa"/>
            <w:vAlign w:val="bottom"/>
          </w:tcPr>
          <w:p>
            <w:pPr>
              <w:ind w:left="50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176,141</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169,289</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168,183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2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7,987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44,273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losses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Unrealized losses on investments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provision related to unrealized losses on investments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loss—net of taxes</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7,403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23,902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42,274</w:t>
            </w: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380" w:type="dxa"/>
            <w:vAlign w:val="bottom"/>
            <w:gridSpan w:val="5"/>
          </w:tcPr>
          <w:p>
            <w:pPr>
              <w:ind w:left="18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5"/>
          </w:tcPr>
          <w:p>
            <w:pPr>
              <w:ind w:left="180"/>
              <w:spacing w:after="0"/>
              <w:rPr>
                <w:sz w:val="20"/>
                <w:szCs w:val="20"/>
                <w:color w:val="auto"/>
              </w:rPr>
            </w:pPr>
            <w:r>
              <w:rPr>
                <w:rFonts w:ascii="Arial" w:cs="Arial" w:eastAsia="Arial" w:hAnsi="Arial"/>
                <w:sz w:val="14"/>
                <w:szCs w:val="14"/>
                <w:b w:val="1"/>
                <w:bCs w:val="1"/>
                <w:color w:val="auto"/>
              </w:rPr>
              <w:t>Treasury Stock</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0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4"/>
                <w:szCs w:val="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720" w:type="dxa"/>
            <w:vAlign w:val="bottom"/>
            <w:vMerge w:val="restart"/>
          </w:tcPr>
          <w:p>
            <w:pPr>
              <w:jc w:val="right"/>
              <w:ind w:right="208"/>
              <w:spacing w:after="0" w:line="12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2"/>
        </w:trPr>
        <w:tc>
          <w:tcPr>
            <w:tcW w:w="5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(Loss)</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2012</w:t>
            </w:r>
          </w:p>
        </w:tc>
        <w:tc>
          <w:tcPr>
            <w:tcW w:w="6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161,757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(2,995)</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5"/>
              </w:rPr>
              <w:t>$400,075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3,091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110,601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510,934</w:t>
            </w:r>
          </w:p>
        </w:tc>
        <w:tc>
          <w:tcPr>
            <w:tcW w:w="0" w:type="dxa"/>
            <w:vAlign w:val="bottom"/>
          </w:tcPr>
          <w:p>
            <w:pPr>
              <w:spacing w:after="0"/>
              <w:rPr>
                <w:sz w:val="1"/>
                <w:szCs w:val="1"/>
                <w:color w:val="auto"/>
              </w:rPr>
            </w:pPr>
          </w:p>
        </w:tc>
      </w:tr>
      <w:tr>
        <w:trPr>
          <w:trHeight w:val="157"/>
        </w:trPr>
        <w:tc>
          <w:tcPr>
            <w:tcW w:w="5000" w:type="dxa"/>
            <w:vAlign w:val="bottom"/>
          </w:tcPr>
          <w:p>
            <w:pPr>
              <w:ind w:left="280"/>
              <w:spacing w:after="0" w:line="157" w:lineRule="exact"/>
              <w:rPr>
                <w:sz w:val="20"/>
                <w:szCs w:val="20"/>
                <w:color w:val="auto"/>
              </w:rPr>
            </w:pPr>
            <w:r>
              <w:rPr>
                <w:rFonts w:ascii="Arial" w:cs="Arial" w:eastAsia="Arial" w:hAnsi="Arial"/>
                <w:sz w:val="14"/>
                <w:szCs w:val="14"/>
                <w:color w:val="auto"/>
                <w:w w:val="96"/>
              </w:rPr>
              <w:t>Issuance of common stock in connection with equity incentive plans - net of tax</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000" w:type="dxa"/>
            <w:vAlign w:val="bottom"/>
          </w:tcPr>
          <w:p>
            <w:pPr>
              <w:ind w:left="280"/>
              <w:spacing w:after="0"/>
              <w:rPr>
                <w:sz w:val="20"/>
                <w:szCs w:val="20"/>
                <w:color w:val="auto"/>
              </w:rPr>
            </w:pPr>
            <w:r>
              <w:rPr>
                <w:rFonts w:ascii="Arial" w:cs="Arial" w:eastAsia="Arial" w:hAnsi="Arial"/>
                <w:sz w:val="14"/>
                <w:szCs w:val="14"/>
                <w:color w:val="auto"/>
              </w:rPr>
              <w:t>withholding upon vesting of restricted stock awards</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24,129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24,132</w:t>
            </w:r>
          </w:p>
        </w:tc>
        <w:tc>
          <w:tcPr>
            <w:tcW w:w="0" w:type="dxa"/>
            <w:vAlign w:val="bottom"/>
          </w:tcPr>
          <w:p>
            <w:pPr>
              <w:spacing w:after="0"/>
              <w:rPr>
                <w:sz w:val="1"/>
                <w:szCs w:val="1"/>
                <w:color w:val="auto"/>
              </w:rPr>
            </w:pPr>
          </w:p>
        </w:tc>
      </w:tr>
      <w:tr>
        <w:trPr>
          <w:trHeight w:val="276"/>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2,995</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(38,949)</w:t>
            </w:r>
          </w:p>
        </w:tc>
        <w:tc>
          <w:tcPr>
            <w:tcW w:w="0" w:type="dxa"/>
            <w:vAlign w:val="bottom"/>
          </w:tcPr>
          <w:p>
            <w:pPr>
              <w:spacing w:after="0"/>
              <w:rPr>
                <w:sz w:val="1"/>
                <w:szCs w:val="1"/>
                <w:color w:val="auto"/>
              </w:rPr>
            </w:pPr>
          </w:p>
        </w:tc>
      </w:tr>
      <w:tr>
        <w:trPr>
          <w:trHeight w:val="264"/>
        </w:trPr>
        <w:tc>
          <w:tcPr>
            <w:tcW w:w="500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43,909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43,909</w:t>
            </w:r>
          </w:p>
        </w:tc>
        <w:tc>
          <w:tcPr>
            <w:tcW w:w="0" w:type="dxa"/>
            <w:vAlign w:val="bottom"/>
          </w:tcPr>
          <w:p>
            <w:pPr>
              <w:spacing w:after="0"/>
              <w:rPr>
                <w:sz w:val="1"/>
                <w:szCs w:val="1"/>
                <w:color w:val="auto"/>
              </w:rPr>
            </w:pPr>
          </w:p>
        </w:tc>
      </w:tr>
      <w:tr>
        <w:trPr>
          <w:trHeight w:val="276"/>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benefit associated with stock-based compensation</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3,460</w:t>
            </w:r>
          </w:p>
        </w:tc>
        <w:tc>
          <w:tcPr>
            <w:tcW w:w="0" w:type="dxa"/>
            <w:vAlign w:val="bottom"/>
          </w:tcPr>
          <w:p>
            <w:pPr>
              <w:spacing w:after="0"/>
              <w:rPr>
                <w:sz w:val="1"/>
                <w:szCs w:val="1"/>
                <w:color w:val="auto"/>
              </w:rPr>
            </w:pPr>
          </w:p>
        </w:tc>
      </w:tr>
      <w:tr>
        <w:trPr>
          <w:trHeight w:val="264"/>
        </w:trPr>
        <w:tc>
          <w:tcPr>
            <w:tcW w:w="5000" w:type="dxa"/>
            <w:vAlign w:val="bottom"/>
          </w:tcPr>
          <w:p>
            <w:pPr>
              <w:ind w:left="280"/>
              <w:spacing w:after="0"/>
              <w:rPr>
                <w:sz w:val="20"/>
                <w:szCs w:val="20"/>
                <w:color w:val="auto"/>
              </w:rPr>
            </w:pPr>
            <w:r>
              <w:rPr>
                <w:rFonts w:ascii="Arial" w:cs="Arial" w:eastAsia="Arial" w:hAnsi="Arial"/>
                <w:sz w:val="14"/>
                <w:szCs w:val="14"/>
                <w:color w:val="auto"/>
              </w:rPr>
              <w:t>Net unrealized loss on investments - net of taxes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76"/>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in cumulative translation adjustments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(1,617)</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income</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44,273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44,273</w:t>
            </w: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BALANCE—December 31, 2013</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161,535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462,644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121,863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585,760</w:t>
            </w:r>
          </w:p>
        </w:tc>
        <w:tc>
          <w:tcPr>
            <w:tcW w:w="0" w:type="dxa"/>
            <w:vAlign w:val="bottom"/>
          </w:tcPr>
          <w:p>
            <w:pPr>
              <w:spacing w:after="0"/>
              <w:rPr>
                <w:sz w:val="1"/>
                <w:szCs w:val="1"/>
                <w:color w:val="auto"/>
              </w:rPr>
            </w:pPr>
          </w:p>
        </w:tc>
      </w:tr>
      <w:tr>
        <w:trPr>
          <w:trHeight w:val="157"/>
        </w:trPr>
        <w:tc>
          <w:tcPr>
            <w:tcW w:w="5000" w:type="dxa"/>
            <w:vAlign w:val="bottom"/>
          </w:tcPr>
          <w:p>
            <w:pPr>
              <w:ind w:left="280"/>
              <w:spacing w:after="0" w:line="157" w:lineRule="exact"/>
              <w:rPr>
                <w:sz w:val="20"/>
                <w:szCs w:val="20"/>
                <w:color w:val="auto"/>
              </w:rPr>
            </w:pPr>
            <w:r>
              <w:rPr>
                <w:rFonts w:ascii="Arial" w:cs="Arial" w:eastAsia="Arial" w:hAnsi="Arial"/>
                <w:sz w:val="14"/>
                <w:szCs w:val="14"/>
                <w:color w:val="auto"/>
                <w:w w:val="96"/>
              </w:rPr>
              <w:t>Issuance of common stock in connection with equity incentive plans - net of tax</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000" w:type="dxa"/>
            <w:vAlign w:val="bottom"/>
          </w:tcPr>
          <w:p>
            <w:pPr>
              <w:ind w:left="280"/>
              <w:spacing w:after="0"/>
              <w:rPr>
                <w:sz w:val="20"/>
                <w:szCs w:val="20"/>
                <w:color w:val="auto"/>
              </w:rPr>
            </w:pPr>
            <w:r>
              <w:rPr>
                <w:rFonts w:ascii="Arial" w:cs="Arial" w:eastAsia="Arial" w:hAnsi="Arial"/>
                <w:sz w:val="14"/>
                <w:szCs w:val="14"/>
                <w:color w:val="auto"/>
              </w:rPr>
              <w:t>withholding upon vesting of restricted stock awards</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6,555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45,817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45,824</w:t>
            </w:r>
          </w:p>
        </w:tc>
        <w:tc>
          <w:tcPr>
            <w:tcW w:w="0" w:type="dxa"/>
            <w:vAlign w:val="bottom"/>
          </w:tcPr>
          <w:p>
            <w:pPr>
              <w:spacing w:after="0"/>
              <w:rPr>
                <w:sz w:val="1"/>
                <w:szCs w:val="1"/>
                <w:color w:val="auto"/>
              </w:rPr>
            </w:pPr>
          </w:p>
        </w:tc>
      </w:tr>
      <w:tr>
        <w:trPr>
          <w:trHeight w:val="276"/>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(38,557)</w:t>
            </w:r>
          </w:p>
        </w:tc>
        <w:tc>
          <w:tcPr>
            <w:tcW w:w="0" w:type="dxa"/>
            <w:vAlign w:val="bottom"/>
          </w:tcPr>
          <w:p>
            <w:pPr>
              <w:spacing w:after="0"/>
              <w:rPr>
                <w:sz w:val="1"/>
                <w:szCs w:val="1"/>
                <w:color w:val="auto"/>
              </w:rPr>
            </w:pPr>
          </w:p>
        </w:tc>
      </w:tr>
      <w:tr>
        <w:trPr>
          <w:trHeight w:val="264"/>
        </w:trPr>
        <w:tc>
          <w:tcPr>
            <w:tcW w:w="500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58,994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58,994</w:t>
            </w:r>
          </w:p>
        </w:tc>
        <w:tc>
          <w:tcPr>
            <w:tcW w:w="0" w:type="dxa"/>
            <w:vAlign w:val="bottom"/>
          </w:tcPr>
          <w:p>
            <w:pPr>
              <w:spacing w:after="0"/>
              <w:rPr>
                <w:sz w:val="1"/>
                <w:szCs w:val="1"/>
                <w:color w:val="auto"/>
              </w:rPr>
            </w:pPr>
          </w:p>
        </w:tc>
      </w:tr>
      <w:tr>
        <w:trPr>
          <w:trHeight w:val="276"/>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benefit associated with stock-based compensation</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5000" w:type="dxa"/>
            <w:vAlign w:val="bottom"/>
          </w:tcPr>
          <w:p>
            <w:pPr>
              <w:ind w:left="280"/>
              <w:spacing w:after="0"/>
              <w:rPr>
                <w:sz w:val="20"/>
                <w:szCs w:val="20"/>
                <w:color w:val="auto"/>
              </w:rPr>
            </w:pPr>
            <w:r>
              <w:rPr>
                <w:rFonts w:ascii="Arial" w:cs="Arial" w:eastAsia="Arial" w:hAnsi="Arial"/>
                <w:sz w:val="14"/>
                <w:szCs w:val="14"/>
                <w:color w:val="auto"/>
              </w:rPr>
              <w:t>Net unrealized loss on investments - net of taxes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76"/>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in cumulative translation adjustments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income</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25,343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25,343</w:t>
            </w: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BALANCE—December 31, 2014</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166,443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562,504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113,645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675,966</w:t>
            </w:r>
          </w:p>
        </w:tc>
        <w:tc>
          <w:tcPr>
            <w:tcW w:w="0" w:type="dxa"/>
            <w:vAlign w:val="bottom"/>
          </w:tcPr>
          <w:p>
            <w:pPr>
              <w:spacing w:after="0"/>
              <w:rPr>
                <w:sz w:val="1"/>
                <w:szCs w:val="1"/>
                <w:color w:val="auto"/>
              </w:rPr>
            </w:pPr>
          </w:p>
        </w:tc>
      </w:tr>
      <w:tr>
        <w:trPr>
          <w:trHeight w:val="157"/>
        </w:trPr>
        <w:tc>
          <w:tcPr>
            <w:tcW w:w="5000" w:type="dxa"/>
            <w:vAlign w:val="bottom"/>
          </w:tcPr>
          <w:p>
            <w:pPr>
              <w:ind w:left="280"/>
              <w:spacing w:after="0" w:line="157" w:lineRule="exact"/>
              <w:rPr>
                <w:sz w:val="20"/>
                <w:szCs w:val="20"/>
                <w:color w:val="auto"/>
              </w:rPr>
            </w:pPr>
            <w:r>
              <w:rPr>
                <w:rFonts w:ascii="Arial" w:cs="Arial" w:eastAsia="Arial" w:hAnsi="Arial"/>
                <w:sz w:val="14"/>
                <w:szCs w:val="14"/>
                <w:color w:val="auto"/>
                <w:w w:val="96"/>
              </w:rPr>
              <w:t>Issuance of common stock in connection with equity incentive plans - net of tax</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000" w:type="dxa"/>
            <w:vAlign w:val="bottom"/>
          </w:tcPr>
          <w:p>
            <w:pPr>
              <w:ind w:left="280"/>
              <w:spacing w:after="0"/>
              <w:rPr>
                <w:sz w:val="20"/>
                <w:szCs w:val="20"/>
                <w:color w:val="auto"/>
              </w:rPr>
            </w:pPr>
            <w:r>
              <w:rPr>
                <w:rFonts w:ascii="Arial" w:cs="Arial" w:eastAsia="Arial" w:hAnsi="Arial"/>
                <w:sz w:val="14"/>
                <w:szCs w:val="14"/>
                <w:color w:val="auto"/>
              </w:rPr>
              <w:t>withholding upon vesting of restricted stock awards</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6,715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39,011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39,018</w:t>
            </w:r>
          </w:p>
        </w:tc>
        <w:tc>
          <w:tcPr>
            <w:tcW w:w="0" w:type="dxa"/>
            <w:vAlign w:val="bottom"/>
          </w:tcPr>
          <w:p>
            <w:pPr>
              <w:spacing w:after="0"/>
              <w:rPr>
                <w:sz w:val="1"/>
                <w:szCs w:val="1"/>
                <w:color w:val="auto"/>
              </w:rPr>
            </w:pPr>
          </w:p>
        </w:tc>
      </w:tr>
      <w:tr>
        <w:trPr>
          <w:trHeight w:val="276"/>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264"/>
        </w:trPr>
        <w:tc>
          <w:tcPr>
            <w:tcW w:w="500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95,088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95,088</w:t>
            </w:r>
          </w:p>
        </w:tc>
        <w:tc>
          <w:tcPr>
            <w:tcW w:w="0" w:type="dxa"/>
            <w:vAlign w:val="bottom"/>
          </w:tcPr>
          <w:p>
            <w:pPr>
              <w:spacing w:after="0"/>
              <w:rPr>
                <w:sz w:val="1"/>
                <w:szCs w:val="1"/>
                <w:color w:val="auto"/>
              </w:rPr>
            </w:pPr>
          </w:p>
        </w:tc>
      </w:tr>
      <w:tr>
        <w:trPr>
          <w:trHeight w:val="276"/>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5"/>
              </w:rPr>
              <w:t>Tax shortfalls, net of excess tax benefits, on stock-based compensation awards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(2,098)</w:t>
            </w:r>
          </w:p>
        </w:tc>
        <w:tc>
          <w:tcPr>
            <w:tcW w:w="0" w:type="dxa"/>
            <w:vAlign w:val="bottom"/>
          </w:tcPr>
          <w:p>
            <w:pPr>
              <w:spacing w:after="0"/>
              <w:rPr>
                <w:sz w:val="1"/>
                <w:szCs w:val="1"/>
                <w:color w:val="auto"/>
              </w:rPr>
            </w:pPr>
          </w:p>
        </w:tc>
      </w:tr>
      <w:tr>
        <w:trPr>
          <w:trHeight w:val="264"/>
        </w:trPr>
        <w:tc>
          <w:tcPr>
            <w:tcW w:w="5000" w:type="dxa"/>
            <w:vAlign w:val="bottom"/>
          </w:tcPr>
          <w:p>
            <w:pPr>
              <w:ind w:left="280"/>
              <w:spacing w:after="0"/>
              <w:rPr>
                <w:sz w:val="20"/>
                <w:szCs w:val="20"/>
                <w:color w:val="auto"/>
              </w:rPr>
            </w:pPr>
            <w:r>
              <w:rPr>
                <w:rFonts w:ascii="Arial" w:cs="Arial" w:eastAsia="Arial" w:hAnsi="Arial"/>
                <w:sz w:val="14"/>
                <w:szCs w:val="14"/>
                <w:color w:val="auto"/>
              </w:rPr>
              <w:t>Net unrealized loss on investments - net of tax</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7,987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7,987</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4"/>
                <w:szCs w:val="14"/>
                <w:color w:val="auto"/>
              </w:rPr>
              <w:t>BALANCE—December 31, 2015</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w w:val="94"/>
              </w:rPr>
              <w:t>171,399</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w w:val="95"/>
              </w:rPr>
              <w:t>$687,658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68,481</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755,377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7,987</w:t>
            </w:r>
          </w:p>
        </w:tc>
        <w:tc>
          <w:tcPr>
            <w:tcW w:w="4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25,343</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44,273</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708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31,589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22,028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15,623</w:t>
            </w:r>
          </w:p>
        </w:tc>
      </w:tr>
      <w:tr>
        <w:trPr>
          <w:trHeight w:val="276"/>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7,457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11,634</w:t>
            </w:r>
          </w:p>
        </w:tc>
      </w:tr>
      <w:tr>
        <w:trPr>
          <w:trHeight w:val="264"/>
        </w:trPr>
        <w:tc>
          <w:tcPr>
            <w:tcW w:w="708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95,088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58,994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43,909</w:t>
            </w:r>
          </w:p>
        </w:tc>
      </w:tr>
      <w:tr>
        <w:trPr>
          <w:trHeight w:val="276"/>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Excess tax benefit from stock-based compensation</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(2,974)</w:t>
            </w:r>
          </w:p>
        </w:tc>
      </w:tr>
      <w:tr>
        <w:trPr>
          <w:trHeight w:val="264"/>
        </w:trPr>
        <w:tc>
          <w:tcPr>
            <w:tcW w:w="7080" w:type="dxa"/>
            <w:vAlign w:val="bottom"/>
          </w:tcPr>
          <w:p>
            <w:pPr>
              <w:ind w:left="920"/>
              <w:spacing w:after="0"/>
              <w:rPr>
                <w:sz w:val="20"/>
                <w:szCs w:val="20"/>
                <w:color w:val="auto"/>
              </w:rPr>
            </w:pPr>
            <w:r>
              <w:rPr>
                <w:rFonts w:ascii="Arial" w:cs="Arial" w:eastAsia="Arial" w:hAnsi="Arial"/>
                <w:sz w:val="14"/>
                <w:szCs w:val="14"/>
                <w:color w:val="auto"/>
              </w:rPr>
              <w:t>Other non-cash items—net</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3,391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961</w:t>
            </w:r>
          </w:p>
        </w:tc>
      </w:tr>
      <w:tr>
        <w:trPr>
          <w:trHeight w:val="163"/>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w w:val="98"/>
              </w:rPr>
              <w:t>Changes in operating assets and liabilities, net of assets acquired and liabilities assumed in business</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94"/>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acquisition:</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(66,464)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(55,888)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(22,080)</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(35,093)</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(29,851)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9,072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(18,750)</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667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1,243</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10,485</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Accrued liabilities</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883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7,120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3,602</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payroll and compensation</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11,301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6,013</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Other liabilities</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2,016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14,318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(1,948)</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revenue</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222,346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127,416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68,871</w:t>
            </w:r>
          </w:p>
        </w:tc>
      </w:tr>
      <w:tr>
        <w:trPr>
          <w:trHeight w:val="264"/>
        </w:trPr>
        <w:tc>
          <w:tcPr>
            <w:tcW w:w="7080" w:type="dxa"/>
            <w:vAlign w:val="bottom"/>
            <w:tcBorders>
              <w:bottom w:val="single" w:sz="8" w:color="CCEEFF"/>
            </w:tcBorders>
          </w:tcPr>
          <w:p>
            <w:pPr>
              <w:ind w:left="1460"/>
              <w:spacing w:after="0"/>
              <w:rPr>
                <w:sz w:val="20"/>
                <w:szCs w:val="20"/>
                <w:color w:val="auto"/>
              </w:rPr>
            </w:pPr>
            <w:r>
              <w:rPr>
                <w:rFonts w:ascii="Arial" w:cs="Arial" w:eastAsia="Arial" w:hAnsi="Arial"/>
                <w:sz w:val="14"/>
                <w:szCs w:val="14"/>
                <w:color w:val="auto"/>
              </w:rPr>
              <w:t>Income taxes payable</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20,372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22,522</w:t>
            </w:r>
          </w:p>
        </w:tc>
      </w:tr>
      <w:tr>
        <w:trPr>
          <w:trHeight w:val="256"/>
        </w:trPr>
        <w:tc>
          <w:tcPr>
            <w:tcW w:w="70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282,547</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196,582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147,384</w:t>
            </w: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investments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(459,903)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(497,084)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(552,778)</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Sales of investments</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47,900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41,755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57,897</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Maturities of investments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486,419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458,193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369,659</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(37,358)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(32,197)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(13,877)</w:t>
            </w:r>
          </w:p>
        </w:tc>
      </w:tr>
      <w:tr>
        <w:trPr>
          <w:trHeight w:val="27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Payments made in connection with business acquisition—net of cash acquired</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(38,025)</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(7,635)</w:t>
            </w:r>
          </w:p>
        </w:tc>
      </w:tr>
      <w:tr>
        <w:trPr>
          <w:trHeight w:val="250"/>
        </w:trPr>
        <w:tc>
          <w:tcPr>
            <w:tcW w:w="70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(29,350)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(146,734)</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67,314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55,324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25,584</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Excess tax benefit from stock-based compensation</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2,974</w:t>
            </w:r>
          </w:p>
        </w:tc>
      </w:tr>
      <w:tr>
        <w:trPr>
          <w:trHeight w:val="27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(43,977)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(33,529)</w:t>
            </w:r>
          </w:p>
        </w:tc>
      </w:tr>
      <w:tr>
        <w:trPr>
          <w:trHeight w:val="250"/>
        </w:trPr>
        <w:tc>
          <w:tcPr>
            <w:tcW w:w="70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(21,557)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(6,423)</w:t>
            </w:r>
          </w:p>
        </w:tc>
      </w:tr>
      <w:tr>
        <w:trPr>
          <w:trHeight w:val="25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(1,329)</w:t>
            </w:r>
          </w:p>
        </w:tc>
      </w:tr>
      <w:tr>
        <w:trPr>
          <w:trHeight w:val="250"/>
        </w:trPr>
        <w:tc>
          <w:tcPr>
            <w:tcW w:w="708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260,023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167,381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(7,102)</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year</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283,254</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115,873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122,975</w:t>
            </w:r>
          </w:p>
        </w:tc>
      </w:tr>
      <w:tr>
        <w:trPr>
          <w:trHeight w:val="283"/>
        </w:trPr>
        <w:tc>
          <w:tcPr>
            <w:tcW w:w="7080" w:type="dxa"/>
            <w:vAlign w:val="bottom"/>
          </w:tcPr>
          <w:p>
            <w:pPr>
              <w:ind w:left="40"/>
              <w:spacing w:after="0"/>
              <w:rPr>
                <w:sz w:val="20"/>
                <w:szCs w:val="20"/>
                <w:color w:val="auto"/>
              </w:rPr>
            </w:pPr>
            <w:r>
              <w:rPr>
                <w:rFonts w:ascii="Arial" w:cs="Arial" w:eastAsia="Arial" w:hAnsi="Arial"/>
                <w:sz w:val="14"/>
                <w:szCs w:val="14"/>
                <w:color w:val="auto"/>
              </w:rPr>
              <w:t>CASH AND CASH EQUIVALENTS—End of year</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543,277</w:t>
            </w:r>
          </w:p>
        </w:tc>
        <w:tc>
          <w:tcPr>
            <w:tcW w:w="4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283,254</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115,873</w:t>
            </w:r>
          </w:p>
        </w:tc>
      </w:tr>
      <w:tr>
        <w:trPr>
          <w:trHeight w:val="251"/>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97"/>
        </w:trPr>
        <w:tc>
          <w:tcPr>
            <w:tcW w:w="7080" w:type="dxa"/>
            <w:vAlign w:val="bottom"/>
          </w:tcPr>
          <w:p>
            <w:pPr>
              <w:ind w:left="500"/>
              <w:spacing w:after="0"/>
              <w:rPr>
                <w:sz w:val="20"/>
                <w:szCs w:val="20"/>
                <w:color w:val="auto"/>
              </w:rPr>
            </w:pPr>
            <w:r>
              <w:rPr>
                <w:rFonts w:ascii="Arial" w:cs="Arial" w:eastAsia="Arial" w:hAnsi="Arial"/>
                <w:sz w:val="14"/>
                <w:szCs w:val="14"/>
                <w:color w:val="auto"/>
              </w:rPr>
              <w:t>Cash paid for income taxes—net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18,893</w:t>
            </w:r>
          </w:p>
        </w:tc>
        <w:tc>
          <w:tcPr>
            <w:tcW w:w="4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40,551</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25,445</w:t>
            </w:r>
          </w:p>
        </w:tc>
      </w:tr>
      <w:tr>
        <w:trPr>
          <w:trHeight w:val="251"/>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97"/>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17,395</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12,733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8,303</w:t>
            </w:r>
          </w:p>
        </w:tc>
      </w:tr>
      <w:tr>
        <w:trPr>
          <w:trHeight w:val="21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9,870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4,253</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Liability incurred in connection with business acquisition</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r>
      <w:tr>
        <w:trPr>
          <w:trHeight w:val="21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incurred for repurchase of common stock</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5,420</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Equity awards assumed in connection with business acquisition</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471</w:t>
            </w:r>
          </w:p>
        </w:tc>
        <w:tc>
          <w:tcPr>
            <w:tcW w:w="4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7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2" w:right="239" w:bottom="96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2" w:right="239" w:bottom="960"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jc w:val="both"/>
        <w:ind w:right="220" w:firstLine="648"/>
        <w:spacing w:after="0" w:line="258"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—Fortinet, Inc. (“Fortinet”) was incorporated in Delaware in November 2000 and is a leading provider of network security appliances to</w:t>
      </w:r>
      <w:r>
        <w:rPr>
          <w:rFonts w:ascii="Arial" w:cs="Arial" w:eastAsia="Arial" w:hAnsi="Arial"/>
          <w:sz w:val="18"/>
          <w:szCs w:val="18"/>
          <w:b w:val="1"/>
          <w:bCs w:val="1"/>
          <w:color w:val="auto"/>
        </w:rPr>
        <w:t xml:space="preserve"> </w:t>
      </w:r>
      <w:r>
        <w:rPr>
          <w:rFonts w:ascii="Arial" w:cs="Arial" w:eastAsia="Arial" w:hAnsi="Arial"/>
          <w:sz w:val="18"/>
          <w:szCs w:val="18"/>
          <w:color w:val="auto"/>
        </w:rPr>
        <w:t>enterprises, service providers and government organizations worldwide. Fortinet’s solutions are designed to integrate multiple levels of security protection, including firewall, virtual private networking, application control, anti-malware, intrusion prevention, web filtering, vulnerability management, anti-spam, wireless controller and WAN acceleration. Our security solutions are fast, secure and designed to provide broad, rapid protection against dynamic security threats while simplifying the IT infrastructure of our end-customers worldwide.</w:t>
      </w:r>
    </w:p>
    <w:p>
      <w:pPr>
        <w:spacing w:after="0" w:line="184"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consolidated financial statements of Fortinet and its wholly-owned subsidiaries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“we,” “us” or “our”) have been prepared in accordance with generally accepted accounting principles in the United States (“GAAP”). All intercompany transactions and balances have been eliminated in consolidation.</w:t>
      </w:r>
    </w:p>
    <w:p>
      <w:pPr>
        <w:spacing w:after="0" w:line="17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consolidated financial statements in accordance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amounts reported in the consolidated financial statements and accompanying notes. Such management estimates include, but are not limited to, the best estimate of selling price for our products and services, stock-based compensation, inventory valuation and warranty reserve, fair value of assets acquired and liabilities assumed in business combinations, measurement of liabilities for uncertain tax positions and deferred tax assets, assessment of recoverability of our goodwill and other long-lived assets, sales returns reserve and allowance for doubtful accounts, restructuring charges, and other loss contingencies. We base our estimates on historical experience and also on assumptions that we believe are reasonable. Actual results could differ from those estimates.</w:t>
      </w:r>
    </w:p>
    <w:p>
      <w:pPr>
        <w:spacing w:after="0" w:line="189"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—Financial instruments that subject us to concentrations of credit risk consist primarily of cash,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and long-term investments and accounts receivable. We maintain our cash, cash equivalents and investments in fixed income securities with major financial institutions in order to limit the exposure of each investment. Deposits held with banks may exceed the amount of insurance provided on such deposits.</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accounts receivables are primarily derived from our channel partners in various geographical locations. We perform ongoing credit evaluations of our customers. We generally do not require collateral on accounts receivable and we maintain reserves for estimated potential credit losses. As of December 31, 2015 and December 31, 2014, one distributor, Exclusive Networks Group, accounted for 23% and 18% of total net accounts receivable,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2015, 2014 and 2013, this same distributor accounted for 18%, 15% and 12% of total revenue, respectively.</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Financial Instruments and Fair Value</w:t>
      </w:r>
      <w:r>
        <w:rPr>
          <w:rFonts w:ascii="Arial" w:cs="Arial" w:eastAsia="Arial" w:hAnsi="Arial"/>
          <w:sz w:val="18"/>
          <w:szCs w:val="18"/>
          <w:color w:val="auto"/>
        </w:rPr>
        <w:t>—We apply fair value accounting for all financial assets and liabilities and non-financial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recognized or disclosed at fair value in the financial statements on a recurring basis. Due to their short-term nature, the carrying amounts reported in the consolidated financial statements approximate the fair value for accounts receivable, accounts payable, accrued liabilities, and accrued payroll and compensation.</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—Comprehensive income includes certain changes in equity from non-owner sources that are excluded from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unrealized gains and losses on available-for-sale investments.</w:t>
      </w:r>
    </w:p>
    <w:p>
      <w:pPr>
        <w:spacing w:after="0" w:line="162"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Foreign Currency Translation and Transaction Gains and Losses</w:t>
      </w:r>
      <w:r>
        <w:rPr>
          <w:rFonts w:ascii="Arial" w:cs="Arial" w:eastAsia="Arial" w:hAnsi="Arial"/>
          <w:sz w:val="16"/>
          <w:szCs w:val="16"/>
          <w:color w:val="auto"/>
        </w:rPr>
        <w:t>—Prior to the third quarter of 2014, the assets and liabilities of our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were translated into U.S. dollars using the applicable exchange rates. The resulting foreign translation adjustments were included in the consolidated balance sheets as a component of accumulated other comprehensive income (loss) and in the consolidated statements of comprehensive income.</w:t>
      </w:r>
    </w:p>
    <w:p>
      <w:pPr>
        <w:spacing w:after="0" w:line="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the third quarter of 2014, we reevaluated the selected functional currency of our international subsidiaries due to the nature of our business operations and recorded the cumulative impact of the reevaluation of the functional currency in the consolidated statement of operations. Subsequently, the remeasurement of the assets and liabilities of all international subsidiaries was recorded in the consolidated statement of operations prospectively. The impact of this reevaluation was not material in 2014 or any of our previously issued financial statements.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of December 31, 2015 and 2014, the functional currency of our foreign subsidiaries is the U.S. dollar. Monetary assets and liabilities denominated in foreign currencies have been remeasured into U.S. dollars using the exchange rates in effect at the balance sheet dates. Foreign currency denominated income and expenses have been remeasured using the average exchange rates in effect during each period. Foreign currency remeasurement losses of $3.2 million, $3.2 million and $1.5 million, are included in other expense—net for 2015, 2014 and 2013, respectively.</w:t>
      </w:r>
    </w:p>
    <w:p>
      <w:pPr>
        <w:spacing w:after="0" w:line="248"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Cash, Cash Equivalents and Available-for-sale Investments</w:t>
      </w:r>
      <w:r>
        <w:rPr>
          <w:rFonts w:ascii="Arial" w:cs="Arial" w:eastAsia="Arial" w:hAnsi="Arial"/>
          <w:sz w:val="18"/>
          <w:szCs w:val="18"/>
          <w:color w:val="auto"/>
        </w:rPr>
        <w:t>—We consider all highly liquid investments, purchased with original maturities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or less, to be cash equivalents. Cash and cash equivalents consist of balances with banks and highly liquid investments in money market funds and commercial paper.</w:t>
      </w:r>
    </w:p>
    <w:p>
      <w:pPr>
        <w:spacing w:after="0" w:line="18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classify our investments as available-for-sale at the time of purchase, since it is our intent that these investments are available for current operations. Investments with original maturities greater than three months that mature less than one year from the consolidated balance sheet date are classified as short-term investments. Investments with maturities greater than one year from the consolidated balance sheet date are classified as long-term investments.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debt securities in an unrealized loss position which is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w:t>
      </w:r>
    </w:p>
    <w:p>
      <w:pPr>
        <w:spacing w:after="0" w:line="18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is recorded at the lower of cost (using the first-in, first-out method) or market, after we give appropriate consideration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obsolescence and inventory in excess of anticipated future demand. In assessing the ultimate recoverability of inventory, we make estimates regarding future customer demand, the timing of new product introductions, economic trends and market conditions. If the actual product demand is significantly lower than forecasted, we could be required to record additional inventory write-downs which would be charged to cost product revenue. Any write-downs could have an adverse impact on our gross margins and profitability.</w:t>
      </w:r>
    </w:p>
    <w:p>
      <w:pPr>
        <w:spacing w:after="0" w:line="184"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tcPr>
          <w:p>
            <w:pPr>
              <w:jc w:val="right"/>
              <w:ind w:right="771"/>
              <w:spacing w:after="0"/>
              <w:rPr>
                <w:sz w:val="20"/>
                <w:szCs w:val="20"/>
                <w:color w:val="auto"/>
              </w:rPr>
            </w:pPr>
            <w:r>
              <w:rPr>
                <w:rFonts w:ascii="Arial" w:cs="Arial" w:eastAsia="Arial" w:hAnsi="Arial"/>
                <w:sz w:val="16"/>
                <w:szCs w:val="16"/>
                <w:b w:val="1"/>
                <w:bCs w:val="1"/>
                <w:color w:val="auto"/>
              </w:rPr>
              <w:t>Estimated Useful Lives</w:t>
            </w:r>
          </w:p>
        </w:tc>
      </w:tr>
      <w:tr>
        <w:trPr>
          <w:trHeight w:val="33"/>
        </w:trPr>
        <w:tc>
          <w:tcPr>
            <w:tcW w:w="8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Evaluation units</w:t>
            </w:r>
          </w:p>
        </w:tc>
        <w:tc>
          <w:tcPr>
            <w:tcW w:w="3300" w:type="dxa"/>
            <w:vAlign w:val="bottom"/>
          </w:tcPr>
          <w:p>
            <w:pPr>
              <w:jc w:val="right"/>
              <w:spacing w:after="0"/>
              <w:rPr>
                <w:sz w:val="20"/>
                <w:szCs w:val="20"/>
                <w:color w:val="auto"/>
              </w:rPr>
            </w:pPr>
            <w:r>
              <w:rPr>
                <w:rFonts w:ascii="Arial" w:cs="Arial" w:eastAsia="Arial" w:hAnsi="Arial"/>
                <w:sz w:val="18"/>
                <w:szCs w:val="18"/>
                <w:color w:val="auto"/>
              </w:rPr>
              <w:t>1 year</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1 - 5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30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useful life or lease term</w:t>
            </w:r>
          </w:p>
        </w:tc>
      </w:tr>
      <w:tr>
        <w:trPr>
          <w:trHeight w:val="27"/>
        </w:trPr>
        <w:tc>
          <w:tcPr>
            <w:tcW w:w="812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b w:val="1"/>
          <w:bCs w:val="1"/>
          <w:color w:val="auto"/>
        </w:rPr>
        <w:t>Other Investments</w:t>
      </w:r>
      <w:r>
        <w:rPr>
          <w:rFonts w:ascii="Arial" w:cs="Arial" w:eastAsia="Arial" w:hAnsi="Arial"/>
          <w:sz w:val="16"/>
          <w:szCs w:val="16"/>
          <w:color w:val="auto"/>
        </w:rPr>
        <w:t>—Investments in privately-held companies where we own less than 20% of the voting stock and have no indicators of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influence over operating and financial policies of those companies are included in other assets in the consolidated balance sheets and are accounted for under the cost method. For these non-quoted investments, we regularly review the assumptions underlying the operating performance and cash flow forecasts based on information provided by these privately-held companies. If it is determined that an other-than-temporary decline exists in an equity security, we write down the investment to its fair value and record the related impairment as an investment loss in our consolidated statements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b w:val="1"/>
          <w:bCs w:val="1"/>
          <w:color w:val="auto"/>
        </w:rPr>
        <w:t>Consolidation of Variable Interest Entities</w:t>
      </w:r>
      <w:r>
        <w:rPr>
          <w:rFonts w:ascii="Arial" w:cs="Arial" w:eastAsia="Arial" w:hAnsi="Arial"/>
          <w:sz w:val="16"/>
          <w:szCs w:val="16"/>
          <w:color w:val="auto"/>
        </w:rPr>
        <w:t>—We use a qualitative approach in assessing the consolidation requirement for variable interest entities</w:t>
      </w:r>
      <w:r>
        <w:rPr>
          <w:rFonts w:ascii="Arial" w:cs="Arial" w:eastAsia="Arial" w:hAnsi="Arial"/>
          <w:sz w:val="16"/>
          <w:szCs w:val="16"/>
          <w:b w:val="1"/>
          <w:bCs w:val="1"/>
          <w:color w:val="auto"/>
        </w:rPr>
        <w:t xml:space="preserve"> </w:t>
      </w:r>
      <w:r>
        <w:rPr>
          <w:rFonts w:ascii="Arial" w:cs="Arial" w:eastAsia="Arial" w:hAnsi="Arial"/>
          <w:sz w:val="16"/>
          <w:szCs w:val="16"/>
          <w:color w:val="auto"/>
        </w:rPr>
        <w:t>(“VIEs”). This approach focuses on determining whether we have the power to direct the activities of the VIE that most significantly affect the VIE’s economic performance and whether we have the obligation to absorb losses, or the right to receive benefits, that could potentially be significant to the VIE. For all periods presented in the accompanying consolidated financial statements, we have determined that we are not the primary beneficiary of any VIEs.</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Business Combinations</w:t>
      </w:r>
      <w:r>
        <w:rPr>
          <w:rFonts w:ascii="Arial" w:cs="Arial" w:eastAsia="Arial" w:hAnsi="Arial"/>
          <w:sz w:val="17"/>
          <w:szCs w:val="17"/>
          <w:color w:val="auto"/>
        </w:rPr>
        <w:t>—We include the results of operations of the businesses that we acquire as of the respective dates of acquisition. We allocate</w:t>
      </w:r>
      <w:r>
        <w:rPr>
          <w:rFonts w:ascii="Arial" w:cs="Arial" w:eastAsia="Arial" w:hAnsi="Arial"/>
          <w:sz w:val="17"/>
          <w:szCs w:val="17"/>
          <w:b w:val="1"/>
          <w:bCs w:val="1"/>
          <w:color w:val="auto"/>
        </w:rPr>
        <w:t xml:space="preserve"> </w:t>
      </w:r>
      <w:r>
        <w:rPr>
          <w:rFonts w:ascii="Arial" w:cs="Arial" w:eastAsia="Arial" w:hAnsi="Arial"/>
          <w:sz w:val="17"/>
          <w:szCs w:val="17"/>
          <w:color w:val="auto"/>
        </w:rPr>
        <w:t>the fair value of the purchase price of our business acquisitions to the tangible assets acquired, liabilities assumed, and intangible assets acquired, based on their estimated fair values. The excess of the purchase price over the fair values of these identifiable assets and liabilities is recorded as goodwill. Additional information existing as of the acquisition date but unknown to us may become known during the remainder of the measurement period, not to exceed 12 months from the acquisition date, which may result in changes to the amounts and allocations recorded.</w:t>
      </w:r>
    </w:p>
    <w:p>
      <w:pPr>
        <w:spacing w:after="0" w:line="168"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—We evaluate events and changes in circumstances that could indicate carrying amounts of long-lived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color w:val="auto"/>
        </w:rPr>
        <w:t>Restructuring Charges</w:t>
      </w:r>
      <w:r>
        <w:rPr>
          <w:rFonts w:ascii="Arial" w:cs="Arial" w:eastAsia="Arial" w:hAnsi="Arial"/>
          <w:sz w:val="17"/>
          <w:szCs w:val="17"/>
          <w:color w:val="auto"/>
        </w:rPr>
        <w:t>—We recognize a liability for exit and disposal activities when the liability is incurred. Our restructuring charges consist of</w:t>
      </w:r>
      <w:r>
        <w:rPr>
          <w:rFonts w:ascii="Arial" w:cs="Arial" w:eastAsia="Arial" w:hAnsi="Arial"/>
          <w:sz w:val="17"/>
          <w:szCs w:val="17"/>
          <w:b w:val="1"/>
          <w:bCs w:val="1"/>
          <w:color w:val="auto"/>
        </w:rPr>
        <w:t xml:space="preserve"> </w:t>
      </w:r>
      <w:r>
        <w:rPr>
          <w:rFonts w:ascii="Arial" w:cs="Arial" w:eastAsia="Arial" w:hAnsi="Arial"/>
          <w:sz w:val="17"/>
          <w:szCs w:val="17"/>
          <w:color w:val="auto"/>
        </w:rPr>
        <w:t>severance and other one-time benefits, contract terminations and other charges. Liabilities for costs associated with a restructuring activity are measured at fair value and are recognized when the liability is incurred. One-time termination benefits are expensed at the date we notify the employee, unless the employee must provide future service, in which case the benefits are expensed ratably over the future service period. A liability for contract termination costs represents a liability for costs to terminate a contract before the end of its term and is recognized at fair value when we terminate the contract in accordance with the contract terms, which is usually done by giving written notice to the counterparty within the notification period specified by the contract or by otherwise negotiating a termination with the counterparty. A liability for costs that will continue to be incurred under a contract for its remaining term without economic benefit to the entity is recognized at the cease-use date. Costs to terminate a lease before the end of its term are recognized when the property is vacated. Other costs primarily consist of asset write-offs, which are expensed when incurred.</w:t>
      </w:r>
    </w:p>
    <w:p>
      <w:pPr>
        <w:spacing w:after="0" w:line="4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continually evaluate the adequacy of the remaining liabilities under our restructuring initiatives. Although we believe that these estimates accurately reflect the costs of our restructuring plan, actual results may differ and thereby require us to record an additional provision or reverse a portion of such a provision.</w:t>
      </w:r>
    </w:p>
    <w:p>
      <w:pPr>
        <w:spacing w:after="0" w:line="258" w:lineRule="exact"/>
        <w:rPr>
          <w:sz w:val="20"/>
          <w:szCs w:val="20"/>
          <w:color w:val="auto"/>
        </w:rPr>
      </w:pPr>
    </w:p>
    <w:p>
      <w:pPr>
        <w:jc w:val="both"/>
        <w:ind w:right="40" w:firstLine="648"/>
        <w:spacing w:after="0" w:line="289" w:lineRule="auto"/>
        <w:rPr>
          <w:sz w:val="20"/>
          <w:szCs w:val="20"/>
          <w:color w:val="auto"/>
        </w:rPr>
      </w:pPr>
      <w:r>
        <w:rPr>
          <w:rFonts w:ascii="Arial" w:cs="Arial" w:eastAsia="Arial" w:hAnsi="Arial"/>
          <w:sz w:val="17"/>
          <w:szCs w:val="17"/>
          <w:b w:val="1"/>
          <w:bCs w:val="1"/>
          <w:color w:val="auto"/>
        </w:rPr>
        <w:t xml:space="preserve">Goodwill </w:t>
      </w:r>
      <w:r>
        <w:rPr>
          <w:rFonts w:ascii="Arial" w:cs="Arial" w:eastAsia="Arial" w:hAnsi="Arial"/>
          <w:sz w:val="17"/>
          <w:szCs w:val="17"/>
          <w:color w:val="auto"/>
        </w:rPr>
        <w:t>—Goodwill represents the excess of purchase consideration over the estimated fair value of net assets of businesses acquired in a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Goodwill acquired in a business combination are not amortized, but instead tested for impairment at least annually during the fourth quarter. We perform our annual goodwill impairment analysis at the reporting unit level. As of December 31, 2015, we had one reporting unit.</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reviewing goodwill for impairment we have the option to (i) assess qualitative factors to determine whether it is more-likely-than-not that the fair value of the reporting unit is less than its carrying amount or (ii) bypass the qualitative assessment and proceed directly to a quantitative assessment. If we opt to perform a qualitative assessment, the factors we may review include, but are not limited to (a) macroeconomic conditions; (b) industry and market considerations; (c) cost factors; (d) overall financial performance; (e) other relevant entity-specific events such as changes in management, strategy, customers or litigation; (f) events affecting the reporting unit; or (g) or sustained decrease in share price. If we believe, as a result of the qualitative assessment, that it is more-likely-than-not that the fair value of the reporting unit is less than its carrying amount, the quantitative impairment test will be required. Otherwise, no further testing will be required. A quantitative assessment utilizes a two-step process. In the first step, the fair value of the reporting unit is determined, and is compared against its carrying amount, including goodwill. We consider a combination of an income-based approach using projected discounted cash flows and a market-based approach using multiples of comparable companies to determine the fair value. The fair value of the reporting unit is estimated using significant judgment based on a combination of the income and the market approaches. Under the income approach, we estimate fair value of the reporting unit based on the present value of forecasted future cash flows that the reporting unit is expected to generate over its remaining life. Under the market approach, we estimate fair value of our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reporting unit based on an analysis that compares the value of the reporting unit to values of other companies in similar lines of business. If the fair value of the reporting unit is less than its carrying value, then we perform the second step to measure the amount of impairment loss. The amount of impairment is determined by comparing the implied fair value of reporting unit goodwill to the carrying value of the goodwill. When the carrying value of the reporting unit’s goodwill exceeds its implied fair value, we record an impairment loss equal to the difference. We have not been required to perform this second step of the process because the fair value of our reporting unit exceeded the net book value as of December 31, 2015.</w:t>
      </w:r>
    </w:p>
    <w:p>
      <w:pPr>
        <w:spacing w:after="0" w:line="17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Determining the fair value of the reporting unit requires us to make judgments and involves the use of significant estimates and assumptions. These estimates and assumptions include revenue growth rates and operating margins used to calculate projected future cash flows, operating trends, risk-adjusted discount rates, future economic and market conditions and determination of appropriate market comparables. We base our fair value estimates on assumptions we believe to be reasonable but that are unpredictable and inherently uncertain. Actual future results may differ from those estimates. We may also test goodwill for impairment between annual tests in the presence of impairment indicators.</w:t>
      </w:r>
    </w:p>
    <w:p>
      <w:pPr>
        <w:spacing w:after="0" w:line="169"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Other Intangible Assets</w:t>
      </w:r>
      <w:r>
        <w:rPr>
          <w:rFonts w:ascii="Arial" w:cs="Arial" w:eastAsia="Arial" w:hAnsi="Arial"/>
          <w:sz w:val="18"/>
          <w:szCs w:val="18"/>
          <w:color w:val="auto"/>
        </w:rPr>
        <w:t>—Intangible assets with finite lives are carried at cost, less accumulated amortization. Amortization is computed using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method over the estimated economic lives of the assets, which range from one to five years.</w:t>
      </w:r>
    </w:p>
    <w:p>
      <w:pPr>
        <w:spacing w:after="0" w:line="162"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Deferred Revenue</w:t>
      </w:r>
      <w:r>
        <w:rPr>
          <w:rFonts w:ascii="Arial" w:cs="Arial" w:eastAsia="Arial" w:hAnsi="Arial"/>
          <w:sz w:val="18"/>
          <w:szCs w:val="18"/>
          <w:color w:val="auto"/>
        </w:rPr>
        <w:t>—Deferred revenue consists of amounts that have been invoiced but that have not yet been recognized as revenue. The majority</w:t>
      </w:r>
      <w:r>
        <w:rPr>
          <w:rFonts w:ascii="Arial" w:cs="Arial" w:eastAsia="Arial" w:hAnsi="Arial"/>
          <w:sz w:val="18"/>
          <w:szCs w:val="18"/>
          <w:b w:val="1"/>
          <w:bCs w:val="1"/>
          <w:color w:val="auto"/>
        </w:rPr>
        <w:t xml:space="preserve"> </w:t>
      </w:r>
      <w:r>
        <w:rPr>
          <w:rFonts w:ascii="Arial" w:cs="Arial" w:eastAsia="Arial" w:hAnsi="Arial"/>
          <w:sz w:val="18"/>
          <w:szCs w:val="18"/>
          <w:color w:val="auto"/>
        </w:rPr>
        <w:t>of deferred revenue is comprised of security subscription and technical support services which are invoiced upfront and delivered over twelve months or longer.</w:t>
      </w:r>
    </w:p>
    <w:p>
      <w:pPr>
        <w:spacing w:after="0" w:line="176"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—We record income taxes using the asset and liability method, which requires the recognition of deferred tax assets and liabilities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5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recognize tax benefits from an uncertain tax position only if it is more likely than not, based on the technical merits of the position, that the tax position will be sustained on examination by the taxing authorities. The tax benefits recognized in the financial statements from such positions are then measured based on the largest benefit that has a greater than 50% likelihood of being realized upon ultimate settlement.</w:t>
      </w:r>
    </w:p>
    <w:p>
      <w:pPr>
        <w:spacing w:after="0" w:line="16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Stock-Based Compensation</w:t>
      </w:r>
      <w:r>
        <w:rPr>
          <w:rFonts w:ascii="Arial" w:cs="Arial" w:eastAsia="Arial" w:hAnsi="Arial"/>
          <w:sz w:val="17"/>
          <w:szCs w:val="17"/>
          <w:color w:val="auto"/>
        </w:rPr>
        <w:t>—We have elected to use the Black-Scholes option pricing model to determine the fair value of our employee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and employee stock purchase plans (“ESPP”). The fair value of restricted stock units (“RSU”) is based on the closing market price of our common stock on the date of grant. Stock-based compensation expense, net of estimated forfeitures, is amortized on a straight-line basis. Preferred stock units (“PSU”) are RSUs that contain both service-based and market-based vesting conditions. PSUs vest over a specified service period upon the satisfaction of certain market-based vesting conditions, and settle into shares of our common stock upon vesting over a two- or three-year period. The fair value of a PSU is calculated using the Monte Carlo simulation model on the date of grant and is based on the market price of our common stock on the date of grant modified to reflect the impact of the market-based vesting condition, including the estimated payout level based on that condition. We do not adjust compensation cost for subsequent changes in the expected outcome of the market-based vesting conditions.</w:t>
      </w:r>
    </w:p>
    <w:p>
      <w:pPr>
        <w:spacing w:after="0" w:line="172"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b w:val="1"/>
          <w:bCs w:val="1"/>
          <w:color w:val="auto"/>
        </w:rPr>
        <w:t>Leases</w:t>
      </w:r>
      <w:r>
        <w:rPr>
          <w:rFonts w:ascii="Arial" w:cs="Arial" w:eastAsia="Arial" w:hAnsi="Arial"/>
          <w:sz w:val="16"/>
          <w:szCs w:val="16"/>
          <w:color w:val="auto"/>
        </w:rPr>
        <w:t>—We rent our facilities under operating lease agreements and recognize related rent expense on a straight-line basis over the term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lease. Some of our lease agreements contain rent holidays, scheduled rent increases, lease incentives and renewal options. Rent holidays and scheduled rent increases are included in the determination of rent expense to be recorded over the lease term. Lease incentives are recognized as a reduction of rent expense on a straight-line basis over the term of the lease. Renewals are not assumed in the determination of the lease term unless they are deemed to be reasonably assured at the inception of the lease. We begin recognizing rent expense on the date that we obtain the legal right to use and control the leased space.</w:t>
      </w:r>
    </w:p>
    <w:p>
      <w:pPr>
        <w:spacing w:after="0" w:line="154"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Advertising Expense</w:t>
      </w:r>
      <w:r>
        <w:rPr>
          <w:rFonts w:ascii="Arial" w:cs="Arial" w:eastAsia="Arial" w:hAnsi="Arial"/>
          <w:sz w:val="18"/>
          <w:szCs w:val="18"/>
          <w:color w:val="auto"/>
        </w:rPr>
        <w:t>—Advertising costs are expensed when incurred and are included in operating expenses in the accompanying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operations. Our advertising expenses were not significant for any periods presented.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jc w:val="both"/>
        <w:ind w:right="540" w:firstLine="648"/>
        <w:spacing w:after="0" w:line="266" w:lineRule="auto"/>
        <w:rPr>
          <w:sz w:val="20"/>
          <w:szCs w:val="20"/>
          <w:color w:val="auto"/>
        </w:rPr>
      </w:pPr>
      <w:r>
        <w:rPr>
          <w:rFonts w:ascii="Arial" w:cs="Arial" w:eastAsia="Arial" w:hAnsi="Arial"/>
          <w:sz w:val="18"/>
          <w:szCs w:val="18"/>
          <w:b w:val="1"/>
          <w:bCs w:val="1"/>
          <w:color w:val="auto"/>
        </w:rPr>
        <w:t>Software Development Costs</w:t>
      </w:r>
      <w:r>
        <w:rPr>
          <w:rFonts w:ascii="Arial" w:cs="Arial" w:eastAsia="Arial" w:hAnsi="Arial"/>
          <w:sz w:val="18"/>
          <w:szCs w:val="18"/>
          <w:color w:val="auto"/>
        </w:rPr>
        <w:t>—The costs to develop software that is marketed have not been capitalized as we believe our current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process is essentially completed concurrently with the establishment of technological feasibility. Such costs are expensed as incurred and included in research and development in our consolidated statements of operations.</w:t>
      </w:r>
    </w:p>
    <w:p>
      <w:pPr>
        <w:spacing w:after="0" w:line="18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costs to obtain or develop software for internal use are capitalized based on qualifying criteria, which includes a determination of whether such costs are incurred during the application development stage. Such costs are amortized over the software’s estimated useful life.</w:t>
      </w:r>
    </w:p>
    <w:p>
      <w:pPr>
        <w:spacing w:after="0" w:line="12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—We derive the majority of our revenue from sales of our hardware, software, FortiGuard security subscription and FortiCare</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support services, and other services through our channel partners and a direct sales force.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1300" w:right="34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Binding contracts or purchase orders are generally used to determine the existence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w:t>
      </w:r>
    </w:p>
    <w:p>
      <w:pPr>
        <w:spacing w:after="0" w:line="170" w:lineRule="exact"/>
        <w:rPr>
          <w:rFonts w:ascii="Arial" w:cs="Arial" w:eastAsia="Arial" w:hAnsi="Arial"/>
          <w:sz w:val="18"/>
          <w:szCs w:val="18"/>
          <w:color w:val="auto"/>
        </w:rPr>
      </w:pPr>
    </w:p>
    <w:p>
      <w:pPr>
        <w:ind w:left="1300" w:right="740" w:hanging="644"/>
        <w:spacing w:after="0" w:line="274"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Delivery has occurred or services have been rendered. </w:t>
      </w:r>
      <w:r>
        <w:rPr>
          <w:rFonts w:ascii="Arial" w:cs="Arial" w:eastAsia="Arial" w:hAnsi="Arial"/>
          <w:sz w:val="17"/>
          <w:szCs w:val="17"/>
          <w:color w:val="auto"/>
        </w:rPr>
        <w:t>Delivery occurs when we fulfill an order and title and risk of loss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Service revenue is deferred and recognized ratably over the contractual service period, which is typically</w:t>
      </w:r>
    </w:p>
    <w:p>
      <w:pPr>
        <w:ind w:left="1300"/>
        <w:spacing w:after="0"/>
        <w:rPr>
          <w:rFonts w:ascii="Arial" w:cs="Arial" w:eastAsia="Arial" w:hAnsi="Arial"/>
          <w:sz w:val="17"/>
          <w:szCs w:val="17"/>
          <w:color w:val="auto"/>
        </w:rPr>
      </w:pPr>
      <w:r>
        <w:rPr>
          <w:rFonts w:ascii="Arial" w:cs="Arial" w:eastAsia="Arial" w:hAnsi="Arial"/>
          <w:sz w:val="18"/>
          <w:szCs w:val="18"/>
          <w:color w:val="auto"/>
        </w:rPr>
        <w:t>from one to three years and is generally recognized upon delivery or completion of service.</w:t>
      </w:r>
    </w:p>
    <w:p>
      <w:pPr>
        <w:spacing w:after="0" w:line="210" w:lineRule="exact"/>
        <w:rPr>
          <w:rFonts w:ascii="Arial" w:cs="Arial" w:eastAsia="Arial" w:hAnsi="Arial"/>
          <w:sz w:val="17"/>
          <w:szCs w:val="17"/>
          <w:color w:val="auto"/>
        </w:rPr>
      </w:pPr>
    </w:p>
    <w:p>
      <w:pPr>
        <w:ind w:left="1300" w:right="6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Sales price is fixed or determinable. </w:t>
      </w:r>
      <w:r>
        <w:rPr>
          <w:rFonts w:ascii="Arial" w:cs="Arial" w:eastAsia="Arial" w:hAnsi="Arial"/>
          <w:sz w:val="18"/>
          <w:szCs w:val="18"/>
          <w:color w:val="auto"/>
        </w:rPr>
        <w:t>We assess whether the sales price is fixed or determinable based on the payment terms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and when the sales price is deemed final.</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Collectability is reasonably assured. </w:t>
      </w:r>
      <w:r>
        <w:rPr>
          <w:rFonts w:ascii="Arial" w:cs="Arial" w:eastAsia="Arial" w:hAnsi="Arial"/>
          <w:sz w:val="18"/>
          <w:szCs w:val="18"/>
          <w:color w:val="auto"/>
        </w:rPr>
        <w:t>We assess collectability based primarily on creditworthiness as determined by credit checks,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and payment history.</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recognize product revenue for sales to distributors that have no general right of return and direct sales to end-customers upon shipment, based on general revenue recognition accounting guidance once all other revenue recognition criteria have been met. Certain distributors are granted stock rotation rights, limited rights of return and rebates for sales of our products. The arrangement fee for this group of distributors is not typically fixed or determinable when products are shipped and revenue is therefore deferred and recognized upon sell-through. For sales that include end-customer acceptance criteria, revenue is recognized upon acceptance.</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Substantially all of our products have been sold in combination with services, which consist of security subscriptions and technical support services. Security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 We recognize revenue from these services ratably over the contractual service period. Revenue related to subsequent renewals of these services are recognized over the term of the renewal agreement.</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reduce revenue for estimates of sales returns and allowances and record reductions to revenue for rebates and estimated commitments related to price protection and other customer incentive programs.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sales arrangements typically contain multiple elements, such as hardware, security subscription, technical support services and other services. The majority of our hardware appliance products contain our operating system software that together function to deliver the essential functionality of the product. Our products and services generally qualify as separate units of accounting. We allocate revenue to each unit of accounting based on an estimated selling price using vendor-specific objective evidence (“VSOE”) of selling price, if it exists, or third-party evidence (“TPE”) of selling price. If neither VSOE nor</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5"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TPE of selling price exist for a deliverable, we use our best estimate of selling price (“BESP”) for that deliverable. Revenue allocated to each element is then recognized when the basic revenue recognition criteria are met for each element.</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For our hardware appliances, we use BESP as our selling price. For our support and other services, we generally use VSOE as our selling price estimate. We determine VSOE of fair value for elements of an arrangement based on the historical pricing and discounting practices for those services when sold separately. In establishing VSOE, we require that a substantial majority of the selling prices for a service fall within a reasonably narrow pricing range, generally evidenced by a substantial majority of such historical stand-alone transactions falling within a reasonably narrow range as a percentage of list price. When we are unable to establish a selling price using VSOE for our support and other services, we use BESP in our allocation of arrangement consideration. We determine BESP for a product or service by considering multiple historical factors including, but not limited to, cost of products, gross margin objectives, pricing practices, geographies, customer classes and distribution channels that fall within a reasonably narrow range as a percentage of list price.</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multiple-element arrangements where software deliverables are included, revenue is allocated to the non-software deliverables and to the software deliverables as a group using the relative estimated selling prices of each of the deliverables in the arrangement based on the estimated selling price hierarchy. The amount allocated to the software deliverables is then allocated to each software deliverable using the residual method when VSOE of fair value exists. If evidence of VSOE of fair value of one or more undelivered elements does not exist, all software allocated revenue is deferred and recognized when delivery of those elements occurs or when fair value can be established. When the undelivered element for which we do not have VSOE of fair value is support, revenue for the entire arrangement is recognized ratably over the support period. The same residual method and VSOE of fair value principles apply for our multiple element arrangements that contain only software elements.</w:t>
      </w:r>
    </w:p>
    <w:p>
      <w:pPr>
        <w:spacing w:after="0" w:line="174"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Shipping and Handling</w:t>
      </w:r>
      <w:r>
        <w:rPr>
          <w:rFonts w:ascii="Arial" w:cs="Arial" w:eastAsia="Arial" w:hAnsi="Arial"/>
          <w:sz w:val="18"/>
          <w:szCs w:val="18"/>
          <w:color w:val="auto"/>
        </w:rPr>
        <w:t>—Shipping and handling fees charged to our customers are recognized as product revenue in the period shipped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costs for providing these services are recorded as a cost of sale.</w:t>
      </w:r>
    </w:p>
    <w:p>
      <w:pPr>
        <w:spacing w:after="0" w:line="162" w:lineRule="exact"/>
        <w:rPr>
          <w:sz w:val="20"/>
          <w:szCs w:val="20"/>
          <w:color w:val="auto"/>
        </w:rPr>
      </w:pPr>
    </w:p>
    <w:p>
      <w:pPr>
        <w:ind w:right="200" w:firstLine="648"/>
        <w:spacing w:after="0" w:line="274" w:lineRule="auto"/>
        <w:rPr>
          <w:sz w:val="20"/>
          <w:szCs w:val="20"/>
          <w:color w:val="auto"/>
        </w:rPr>
      </w:pPr>
      <w:r>
        <w:rPr>
          <w:rFonts w:ascii="Arial" w:cs="Arial" w:eastAsia="Arial" w:hAnsi="Arial"/>
          <w:sz w:val="17"/>
          <w:szCs w:val="17"/>
          <w:b w:val="1"/>
          <w:bCs w:val="1"/>
          <w:color w:val="auto"/>
        </w:rPr>
        <w:t>Accounts Receivable</w:t>
      </w:r>
      <w:r>
        <w:rPr>
          <w:rFonts w:ascii="Arial" w:cs="Arial" w:eastAsia="Arial" w:hAnsi="Arial"/>
          <w:sz w:val="17"/>
          <w:szCs w:val="17"/>
          <w:color w:val="auto"/>
        </w:rPr>
        <w:t>—Trade accounts receivable are recorded at the invoiced amount, net of sales returns reserve and allowances for doubtful</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The sales returns reserve is determined based on specific criteria including agreements to provide rebates and other factors known at the time, as well as estimates of the amount of goods shipped that will be returned. To determine the adequacy of the sales returns reserve, we analyze historical experience of actual rebates and returns. The sales returns reserve was $5.5 million and $5.8 million as of December 31, 2015 and 2014, respectively. The allowance for doubtful accounts is determined based on our assessment of the collectability of customer accounts. The allowance for doubtful accounts was $0.7 million and $0.4 million as of December 31, 2015 and 2014.</w:t>
      </w:r>
    </w:p>
    <w:p>
      <w:pPr>
        <w:spacing w:after="0" w:line="174" w:lineRule="exact"/>
        <w:rPr>
          <w:sz w:val="20"/>
          <w:szCs w:val="20"/>
          <w:color w:val="auto"/>
        </w:rPr>
      </w:pPr>
    </w:p>
    <w:p>
      <w:pPr>
        <w:ind w:right="240" w:firstLine="648"/>
        <w:spacing w:after="0" w:line="303" w:lineRule="auto"/>
        <w:rPr>
          <w:sz w:val="20"/>
          <w:szCs w:val="20"/>
          <w:color w:val="auto"/>
        </w:rPr>
      </w:pPr>
      <w:r>
        <w:rPr>
          <w:rFonts w:ascii="Arial" w:cs="Arial" w:eastAsia="Arial" w:hAnsi="Arial"/>
          <w:sz w:val="16"/>
          <w:szCs w:val="16"/>
          <w:b w:val="1"/>
          <w:bCs w:val="1"/>
          <w:color w:val="auto"/>
        </w:rPr>
        <w:t>Warranties</w:t>
      </w:r>
      <w:r>
        <w:rPr>
          <w:rFonts w:ascii="Arial" w:cs="Arial" w:eastAsia="Arial" w:hAnsi="Arial"/>
          <w:sz w:val="16"/>
          <w:szCs w:val="16"/>
          <w:color w:val="auto"/>
        </w:rPr>
        <w:t>—We generally provide a 1-year warranty on hardware products and a 90-day warranty on software. A provision for estimated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costs related to warranty activities is recorded as a component of cost of product revenues when the product revenue is recognized, based upon historical product failure rates and historical costs incurred in correcting product failures. In the event we change our warranty reserve estimates, the resulting charge against future cost of sales or reversal of previously recorded charges may materially affect our gross margins and operating results.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warranty activities are summarized as follows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(4,534)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(3,444)</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Provision for warranty for the year, including warranty liabilities assumed in connection</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 a business acquisition</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 related to pre-existing warranties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(1,481)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Foreign Currency Derivatives</w:t>
      </w:r>
      <w:r>
        <w:rPr>
          <w:rFonts w:ascii="Arial" w:cs="Arial" w:eastAsia="Arial" w:hAnsi="Arial"/>
          <w:sz w:val="18"/>
          <w:szCs w:val="18"/>
          <w:color w:val="auto"/>
        </w:rPr>
        <w:t>—Our sales contracts are primarily denominated in U.S. dollars and therefore substantially all of our revenue is not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foreign currency translation risk. However, a substantial portion of our operating expenses incurred outside the U.S. are denominated in foreign currencies and are subject to fluctuations due to changes in foreign currency exchange rates, particularly changes in the CAD and the EUR. To help protect against significant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fluctuations in value and the volatility of future cash flows caused by changes in currency exchange rates, we engage in foreign currency risk management activities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between one and three months. Changes in the fair value of forward exchange contracts related to balance sheet accounts are insignificant and are included in Other expense—net in the consolidated statement of operations. As of December 31, 2015, the fair value of the forward exchange contracts was not material.</w:t>
      </w:r>
    </w:p>
    <w:p>
      <w:pPr>
        <w:spacing w:after="0" w:line="15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Additionally, independent of any hedging activities, fluctuations in foreign currency exchange rates may cause us to recognize transaction gains and losses in our consolidated statements of operations. Our hedging activities are intended to reduce, but not eliminate, the impact of currency exchange rate movements. As our hedging activities are relatively short-term in nature and are focused on CAD, long-term material changes in the value of the U.S. dollar against other foreign currencies, such as the EUR, GBP and CNY could adversely impact our operating expenses in the future.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notional amount of forward exchange contracts to hedge balance sheet accounts as of December 31, 2015 and 2014 were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Arial" w:cs="Arial" w:eastAsia="Arial" w:hAnsi="Arial"/>
                <w:sz w:val="18"/>
                <w:szCs w:val="18"/>
                <w:b w:val="1"/>
                <w:bCs w:val="1"/>
                <w:color w:val="auto"/>
                <w:w w:val="92"/>
              </w:rPr>
              <w:t>Buy/Sell</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9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03"/>
        </w:trPr>
        <w:tc>
          <w:tcPr>
            <w:tcW w:w="962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Currency—As of December 31, 2015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5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9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CAD</w:t>
            </w: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7,011</w:t>
            </w:r>
          </w:p>
        </w:tc>
      </w:tr>
      <w:tr>
        <w:trPr>
          <w:trHeight w:val="297"/>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96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Currency—As of December 31, 2014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00" w:type="dxa"/>
            <w:vAlign w:val="bottom"/>
            <w:tcBorders>
              <w:top w:val="single" w:sz="8" w:color="auto"/>
            </w:tcBorders>
            <w:shd w:val="clear" w:color="auto" w:fill="CCEEFF"/>
          </w:tcPr>
          <w:p>
            <w:pPr>
              <w:spacing w:after="0"/>
              <w:rPr>
                <w:sz w:val="4"/>
                <w:szCs w:val="4"/>
                <w:color w:val="auto"/>
              </w:rPr>
            </w:pPr>
          </w:p>
        </w:tc>
        <w:tc>
          <w:tcPr>
            <w:tcW w:w="57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9620" w:type="dxa"/>
            <w:vAlign w:val="bottom"/>
            <w:gridSpan w:val="4"/>
          </w:tcPr>
          <w:p>
            <w:pPr>
              <w:ind w:left="40"/>
              <w:spacing w:after="0"/>
              <w:rPr>
                <w:sz w:val="20"/>
                <w:szCs w:val="20"/>
                <w:color w:val="auto"/>
              </w:rPr>
            </w:pPr>
            <w:r>
              <w:rPr>
                <w:rFonts w:ascii="Arial" w:cs="Arial" w:eastAsia="Arial" w:hAnsi="Arial"/>
                <w:sz w:val="18"/>
                <w:szCs w:val="18"/>
                <w:color w:val="auto"/>
              </w:rPr>
              <w:t>CAD</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Sell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6,879</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(“ASU”)2016-02—Leases. The FASB amended lease accounting requirements to begin recording assets and liabilities arising from leases on the balance sheet. The new guidance will also require significant additional disclosures about the amount, timing and uncertainty of cash flows from leases. This new guidance will be effective for us beginning on January 1, 2019 using a modified retrospective approach. The modified retrospective approach includes a number of optional practical expedients that entities may elect to apply. We are currently evaluating the impact ASU 2016-02 will have on our consolidated financial statements.</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January 2016, the FASB issued ASU 2016-01—Financial Instruments-Overall: Recognition and Measurement of Financial Assets and Financial Liabilities. ASU 2016-01 modifies how entities measure equity investments and present changes in the fair value of financial liabilities. Under the new guidance, entities will have to measure equity investments that do not result in consolidation and are not accounted under the equity method at fair value and recognize any changes in fair value in net income unless the investments qualify for the new practicality exception. A practicality exception will apply to those equity investments that do not have a readily determinable fair value and do not qualify for the practical expedient to estimate fair value, and as such these investments may be measured at cost. ASU 2016-01 will be effective for us beginning on January 1, 2018. We do not expect the impact of ASU 2016-01 on our consolidated financial statements to be significant.</w:t>
      </w:r>
    </w:p>
    <w:p>
      <w:pPr>
        <w:spacing w:after="0" w:line="178"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In November 2015, the FASB issued ASU 2015-17—Balance Sheet Classification of Deferred Taxes, which simplifies the presentation of deferred income taxes. ASU 2015-17 requires that deferred tax assets and liabilities be classified as noncurrent assets or noncurrent liabilities. We early adopted this standard effective December 31, 2015 on a retrospective basis. The adoption of this standard resulted in the reclassification of $41.8 million from Deferred tax assets—current in the consolidated balance sheet as of December 31, 2014 to Deferred tax assets—noncurrent.</w:t>
      </w:r>
    </w:p>
    <w:p>
      <w:pPr>
        <w:spacing w:after="0" w:line="17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September 2015, the FASB issued ASU 2015-16—Simplifying the Accounting for Measurement-Period Adjustments,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they would have recorded in previous periods if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accounting had been completed at the acquisition date. ASU 2015-16 will be effective for us beginning on January 1, 2016. We do not expect the impact of ASU 2015-16 on our consolidated financial statements to be significant.</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July 2015, the FASB issued ASU 2015-11—Inventory—Simplifying the Measurement of Inventory (Topic 330). ASU 2015-11 changes the measurement principle for inventory from the lower of cost or market to lower of cost and net realizable value. It applies to entities that measure inventory using a method other than last-in, first-out or the retail inventory method (e.g., first-in first-out, average cost). ASU 2015-11 will be effective for us beginning on January 1, 2017. We do not expect the impact of ASU 2015-11 on our consolidated financial statements to be significant.</w:t>
      </w:r>
    </w:p>
    <w:p>
      <w:pPr>
        <w:spacing w:after="0" w:line="17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May 2014, the FASB issued ASU 2014-09—Revenue from Contracts with Customers (Topic 606) to create a single, joint revenue standard that is consistent across all industries and markets for companies that prepare their financial statements in accordance with GAAP. Under ASU 2014-09, an entity is required to recognize revenue upon the transfer of promised goods or services to customers in an amount that reflects the consideration the entity expects to be entitled to receive in exchange for those goods or services. In July 2015, the FASB decided to delay the effective date of the new revenue standard by one year. As such, ASU 2014-09 is effective for us beginning on January 1, 2018, with the option to adopt earlier on January 1, 2017. We are currently evaluating the impact ASU 2014-09 will have on our consolidated financial statements.</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April 2015, the FASB issued ASU 2015-05—Intangibles—Goodwill and Other-Internal-Use Software: Customer’s Accounting for Fees Paid in a Cloud Computing Arrangement, which provides guidance on determining whether a cloud computing arrangement contains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ASU 2015-05 will be effective for us beginning on January 1, 2016. We are currently evaluating the impact of ASU 2015-05 will have on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investments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620"/>
              <w:spacing w:after="0"/>
              <w:rPr>
                <w:sz w:val="20"/>
                <w:szCs w:val="20"/>
                <w:color w:val="auto"/>
              </w:rPr>
            </w:pPr>
            <w:r>
              <w:rPr>
                <w:rFonts w:ascii="Arial" w:cs="Arial" w:eastAsia="Arial" w:hAnsi="Arial"/>
                <w:sz w:val="16"/>
                <w:szCs w:val="16"/>
                <w:b w:val="1"/>
                <w:bCs w:val="1"/>
                <w:color w:val="auto"/>
              </w:rPr>
              <w:t>December 31, 2015</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438,533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437,194</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66,263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66,232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61,022</w:t>
            </w:r>
          </w:p>
        </w:tc>
      </w:tr>
      <w:tr>
        <w:trPr>
          <w:trHeight w:val="262"/>
        </w:trPr>
        <w:tc>
          <w:tcPr>
            <w:tcW w:w="5160" w:type="dxa"/>
            <w:vAlign w:val="bottom"/>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14,897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14,897</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41,727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41,688</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622,470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621,033</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620"/>
              <w:spacing w:after="0"/>
              <w:rPr>
                <w:sz w:val="20"/>
                <w:szCs w:val="20"/>
                <w:color w:val="auto"/>
              </w:rPr>
            </w:pPr>
            <w:r>
              <w:rPr>
                <w:rFonts w:ascii="Arial" w:cs="Arial" w:eastAsia="Arial" w:hAnsi="Arial"/>
                <w:sz w:val="16"/>
                <w:szCs w:val="16"/>
                <w:b w:val="1"/>
                <w:bCs w:val="1"/>
                <w:color w:val="auto"/>
              </w:rPr>
              <w:t>December 31, 2014</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589,526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589,016</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51,156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51,155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39,721</w:t>
            </w:r>
          </w:p>
        </w:tc>
      </w:tr>
      <w:tr>
        <w:trPr>
          <w:trHeight w:val="262"/>
        </w:trPr>
        <w:tc>
          <w:tcPr>
            <w:tcW w:w="5160" w:type="dxa"/>
            <w:vAlign w:val="bottom"/>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22,854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22,854</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5,744</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709,030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708,490</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hanging="145"/>
        <w:spacing w:after="0"/>
        <w:tabs>
          <w:tab w:leader="none" w:pos="180" w:val="left"/>
        </w:tabs>
        <w:numPr>
          <w:ilvl w:val="0"/>
          <w:numId w:val="30"/>
        </w:numPr>
        <w:rPr>
          <w:rFonts w:ascii="Arial" w:cs="Arial" w:eastAsia="Arial" w:hAnsi="Arial"/>
          <w:sz w:val="17"/>
          <w:szCs w:val="17"/>
          <w:color w:val="auto"/>
          <w:vertAlign w:val="superscript"/>
        </w:rPr>
      </w:pPr>
      <w:r>
        <w:rPr>
          <w:rFonts w:ascii="Arial" w:cs="Arial" w:eastAsia="Arial" w:hAnsi="Arial"/>
          <w:sz w:val="17"/>
          <w:szCs w:val="17"/>
          <w:color w:val="auto"/>
        </w:rPr>
        <w:t>The majority of our certificates of deposit and term deposits are foreign deposits.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2015</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390,567</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31,977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34,703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456,891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43,041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499,932</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323,022</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8,185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356,625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362,636</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are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2014</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348,074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436,766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272,959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271,724</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621,033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708,490</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Available-for-sale securities are reported at fair value, with unrealized gains and losses, net of tax, included as a separate component of stockholders’ equity and in total comprehensive income. Realized gains and losses on available-for-sale securities are insignificant in the periods presented and are included in Other expense—net in our consolidated statements of operations. We use the specific identification method to determine the cost basis of investments sold.</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December 31, 2015.</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 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fair value of our financial assets measured at fair value on a recurring basis as of December 31,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December 31, 2015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December 31, 2014</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7"/>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00" w:type="dxa"/>
            <w:vAlign w:val="bottom"/>
          </w:tcPr>
          <w:p>
            <w:pPr>
              <w:jc w:val="center"/>
              <w:ind w:right="61"/>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Observable</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6"/>
              </w:rPr>
              <w:t>Unobservable</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3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87"/>
              </w:rPr>
              <w:t>Inputs</w:t>
            </w:r>
          </w:p>
        </w:tc>
      </w:tr>
      <w:tr>
        <w:trPr>
          <w:trHeight w:val="224"/>
        </w:trPr>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3)</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Pr>
          <w:p>
            <w:pPr>
              <w:spacing w:after="0"/>
              <w:rPr>
                <w:sz w:val="19"/>
                <w:szCs w:val="19"/>
                <w:color w:val="auto"/>
              </w:rPr>
            </w:pPr>
          </w:p>
        </w:tc>
        <w:tc>
          <w:tcPr>
            <w:tcW w:w="900" w:type="dxa"/>
            <w:vAlign w:val="bottom"/>
          </w:tcPr>
          <w:p>
            <w:pPr>
              <w:jc w:val="center"/>
              <w:ind w:right="41"/>
              <w:spacing w:after="0"/>
              <w:rPr>
                <w:sz w:val="20"/>
                <w:szCs w:val="20"/>
                <w:color w:val="auto"/>
              </w:rPr>
            </w:pPr>
            <w:r>
              <w:rPr>
                <w:rFonts w:ascii="Arial" w:cs="Arial" w:eastAsia="Arial" w:hAnsi="Arial"/>
                <w:sz w:val="16"/>
                <w:szCs w:val="16"/>
                <w:b w:val="1"/>
                <w:bCs w:val="1"/>
                <w:color w:val="auto"/>
                <w:w w:val="95"/>
              </w:rPr>
              <w:t>(Level 3)</w:t>
            </w:r>
          </w:p>
        </w:tc>
      </w:tr>
      <w:tr>
        <w:trPr>
          <w:trHeight w:val="33"/>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437,194</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41"/>
              <w:spacing w:after="0"/>
              <w:rPr>
                <w:sz w:val="20"/>
                <w:szCs w:val="20"/>
                <w:color w:val="auto"/>
              </w:rPr>
            </w:pPr>
            <w:r>
              <w:rPr>
                <w:rFonts w:ascii="Arial" w:cs="Arial" w:eastAsia="Arial" w:hAnsi="Arial"/>
                <w:sz w:val="18"/>
                <w:szCs w:val="18"/>
                <w:color w:val="auto"/>
                <w:w w:val="98"/>
              </w:rPr>
              <w:t>437,194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589,016</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1"/>
              <w:spacing w:after="0"/>
              <w:rPr>
                <w:sz w:val="20"/>
                <w:szCs w:val="20"/>
                <w:color w:val="auto"/>
              </w:rPr>
            </w:pPr>
            <w:r>
              <w:rPr>
                <w:rFonts w:ascii="Arial" w:cs="Arial" w:eastAsia="Arial" w:hAnsi="Arial"/>
                <w:sz w:val="18"/>
                <w:szCs w:val="18"/>
                <w:color w:val="auto"/>
                <w:w w:val="98"/>
              </w:rPr>
              <w:t>589,016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69,231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51,155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61,022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color w:val="auto"/>
              </w:rPr>
              <w:t>61,022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39,721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21"/>
              <w:spacing w:after="0"/>
              <w:rPr>
                <w:sz w:val="20"/>
                <w:szCs w:val="20"/>
                <w:color w:val="auto"/>
              </w:rPr>
            </w:pPr>
            <w:r>
              <w:rPr>
                <w:rFonts w:ascii="Arial" w:cs="Arial" w:eastAsia="Arial" w:hAnsi="Arial"/>
                <w:sz w:val="18"/>
                <w:szCs w:val="18"/>
                <w:color w:val="auto"/>
              </w:rPr>
              <w:t>39,721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deposits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14,897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22,854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50,030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color w:val="auto"/>
              </w:rPr>
              <w:t>13,311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U.S. government and agency</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25,693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15,995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3,746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674,062</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75,723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w w:val="98"/>
              </w:rPr>
              <w:t>598,339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721,801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15,309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98"/>
              </w:rPr>
              <w:t>706,492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53,029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13,311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348,074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436,766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272,959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271,724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674,062</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721,801</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There were no transfers between Level 1 and Level 2 of the fair value hierarchy during the year ended December 31, 2015 and December 31, 2014.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Nonrecurring Basis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We measure certain assets, including goodwill, other intangible assets—net, and investments in privately-held companies at fair value on a</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nonrecurring basis when there are identifiable events or changes in circumstances that may have a significant adverse impact on the fair value of these assets.</w:t>
      </w:r>
    </w:p>
    <w:p>
      <w:pPr>
        <w:spacing w:after="0" w:line="23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second quarter of 2015, we reassessed the fair value and the remaining useful life of the developed technologies and customer relationship acquired from the Coyote Point Systems (“Coyote”) business acquisition. Based on this reassessment, we determined a decrease in the projected cash flow and that the remaining net book value of the developed technologies and customer relationships were impaired. As a result, we recorded an impairment charge of $1.6 million associated with these assets. The impairment charge is included within cost of product revenue and sales and marketing in the consolidated statements of operations.</w:t>
      </w:r>
    </w:p>
    <w:p>
      <w:pPr>
        <w:spacing w:after="0" w:line="188"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During 2014, a decrease in the projected cash flow of the other intangible assets acquired from Coyote resulted in an impairment charge of $2.4 million to adjust the total fair value of the other intangible assets acquired from Coyote to $2.0 million. The impairment charge is included within Cost of product revenue in the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2014</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10,617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68,443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58,860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83,868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69,477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Inventory includes finished goods held by distributors where revenue is recognized on a sell-through basis of $1.1 million and $1.2 million as of December 31, 2015 and 2014, respectively. Inventory also includes materials at contract manufacturers of $4.9 million and $4.8 million as of December 31, 2015 and 2014,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EQUIPMENT—Net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2014</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28,841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20,166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45,632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31,821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3,902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7,998</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140,126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94,651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91,067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58,919</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$28.4 million, $20.5 million and $13.9 million in 2015, 2014 and 2013, respectively.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2015, we purchased certain real properties, including land and buildings in Sunnyvale, California and Sophia, France, for cash of $13.9 million to support the growth in our business operations. Of the total cost, we allocated $7.8</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million to land and $6.1 million to building. During 2015, construction-in-progress increased primarily due to $2.6 million related to our enterprise resource planning software capitalization and $1.0 million related to assets not yet placed in service due to ongoing building improvements at the newly purchased Sophia property. Fully depreciated evaluation units amounting to $27.2 million and $19.7 million as of December 31, 2015 and 2014, respectively, were written-off.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PRIVATELY-HELD COMPANIES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investments in the equity securities of three privately-held companies totaled $10.3 million and $6.4 million as of December 31, 2015 and 2014, respectively. Each of these investments are accounted for as cost-basis investments, as we own less than 20% of the voting securities and do not have the ability to exercise significant influence over operating and financial policies of the respective entities. These investments are carried at historical cost and are recorded as Other assets on our consolidated balance sheet and would be measured at fair value if indicators of impairment exist. As of December 31, 2015, no events have occurred that would adversely affect the carrying value of these investments.</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determined that we had a variable interest in these privately-held companies. However, we determined that we were not the primary beneficiary as we did not have the power to direct their activities that most significantly affect their economic performance. The variable interest entities were not required to be consolidated in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COMBINATIONS</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On July 8, 2015, we completed our acquisition of all of the outstanding shares of Meru Networks, Inc. (“Meru”), a provider of Wi-Fi networking products and services. With this acquisition, we expect to expand on our secure wireless vision and enterprise growth focus, broaden our solutions portfolio, and enhance our opportunity to address the global enterprise Wi-Fi market with integrated and intelligent secure wireless solutions.</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connection with the acquisition, we paid total cash consideration of $40.9 million and incurred $0.4 million of withholding tax liability. In addition, all of the outstanding RSUs of Meru were converted into RSUs for 53,401 shares of our common stock. The cash payment, along with the estimated fair value of the earned RSUs assumed, resulted in a purchase price of $41.8 million. The total purchase price was as follows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ind w:left="40"/>
              <w:spacing w:after="0"/>
              <w:rPr>
                <w:sz w:val="20"/>
                <w:szCs w:val="20"/>
                <w:color w:val="auto"/>
              </w:rPr>
            </w:pPr>
            <w:r>
              <w:rPr>
                <w:rFonts w:ascii="Arial" w:cs="Arial" w:eastAsia="Arial" w:hAnsi="Arial"/>
                <w:sz w:val="18"/>
                <w:szCs w:val="18"/>
                <w:b w:val="1"/>
                <w:bCs w:val="1"/>
                <w:color w:val="auto"/>
              </w:rPr>
              <w:t>Purchase Price:</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4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40,914</w:t>
            </w:r>
          </w:p>
        </w:tc>
        <w:tc>
          <w:tcPr>
            <w:tcW w:w="0" w:type="dxa"/>
            <w:vAlign w:val="bottom"/>
          </w:tcPr>
          <w:p>
            <w:pPr>
              <w:spacing w:after="0"/>
              <w:rPr>
                <w:sz w:val="1"/>
                <w:szCs w:val="1"/>
                <w:color w:val="auto"/>
              </w:rPr>
            </w:pPr>
          </w:p>
        </w:tc>
      </w:tr>
      <w:tr>
        <w:trPr>
          <w:trHeight w:val="88"/>
        </w:trPr>
        <w:tc>
          <w:tcPr>
            <w:tcW w:w="948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vMerge w:val="continue"/>
            <w:shd w:val="clear" w:color="auto" w:fill="CCEEFF"/>
          </w:tcPr>
          <w:p>
            <w:pPr>
              <w:spacing w:after="0"/>
              <w:rPr>
                <w:sz w:val="7"/>
                <w:szCs w:val="7"/>
                <w:color w:val="auto"/>
              </w:rPr>
            </w:pPr>
          </w:p>
        </w:tc>
        <w:tc>
          <w:tcPr>
            <w:tcW w:w="12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9480" w:type="dxa"/>
            <w:vAlign w:val="bottom"/>
          </w:tcPr>
          <w:p>
            <w:pPr>
              <w:ind w:left="40"/>
              <w:spacing w:after="0"/>
              <w:rPr>
                <w:sz w:val="20"/>
                <w:szCs w:val="20"/>
                <w:color w:val="auto"/>
              </w:rPr>
            </w:pPr>
            <w:r>
              <w:rPr>
                <w:rFonts w:ascii="Arial" w:cs="Arial" w:eastAsia="Arial" w:hAnsi="Arial"/>
                <w:sz w:val="18"/>
                <w:szCs w:val="18"/>
                <w:color w:val="auto"/>
              </w:rPr>
              <w:t>Estimated fair value of shares withheld for taxes</w:t>
            </w:r>
          </w:p>
        </w:tc>
        <w:tc>
          <w:tcPr>
            <w:tcW w:w="740" w:type="dxa"/>
            <w:vAlign w:val="bottom"/>
          </w:tcPr>
          <w:p>
            <w:pPr>
              <w:spacing w:after="0"/>
              <w:rPr>
                <w:sz w:val="24"/>
                <w:szCs w:val="24"/>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81"/>
        </w:trPr>
        <w:tc>
          <w:tcPr>
            <w:tcW w:w="9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fair value of earned equity awards assumed by Fortinet</w:t>
            </w:r>
          </w:p>
        </w:tc>
        <w:tc>
          <w:tcPr>
            <w:tcW w:w="74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108"/>
        </w:trPr>
        <w:tc>
          <w:tcPr>
            <w:tcW w:w="948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20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9480" w:type="dxa"/>
            <w:vAlign w:val="bottom"/>
          </w:tcPr>
          <w:p>
            <w:pPr>
              <w:ind w:left="500"/>
              <w:spacing w:after="0"/>
              <w:rPr>
                <w:sz w:val="20"/>
                <w:szCs w:val="20"/>
                <w:color w:val="auto"/>
              </w:rPr>
            </w:pPr>
            <w:r>
              <w:rPr>
                <w:rFonts w:ascii="Arial" w:cs="Arial" w:eastAsia="Arial" w:hAnsi="Arial"/>
                <w:sz w:val="18"/>
                <w:szCs w:val="18"/>
                <w:color w:val="auto"/>
              </w:rPr>
              <w:t>Total purchase price</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41,764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accounted for this transaction as a business combination. We expensed acquisition-related costs of $1.7 million in general and administrative expenses in the consolidated statement of operations. The total purchase price was allocated to Meru’s identifiable tangible and intangible assets acquired and liabilities assumed based on their estimated fair values as of the acquisition date.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80" w:type="dxa"/>
            <w:vAlign w:val="bottom"/>
          </w:tcPr>
          <w:p>
            <w:pPr>
              <w:ind w:left="5020"/>
              <w:spacing w:after="0"/>
              <w:rPr>
                <w:sz w:val="20"/>
                <w:szCs w:val="20"/>
                <w:color w:val="auto"/>
              </w:rPr>
            </w:pPr>
            <w:r>
              <w:rPr>
                <w:rFonts w:ascii="Arial" w:cs="Arial" w:eastAsia="Arial" w:hAnsi="Arial"/>
                <w:sz w:val="18"/>
                <w:szCs w:val="18"/>
                <w:b w:val="1"/>
                <w:bCs w:val="1"/>
                <w:color w:val="auto"/>
              </w:rPr>
              <w:t>FORTINET, INC.</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9480" w:type="dxa"/>
            <w:vAlign w:val="bottom"/>
          </w:tcPr>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891"/>
        </w:trPr>
        <w:tc>
          <w:tcPr>
            <w:tcW w:w="9480" w:type="dxa"/>
            <w:vAlign w:val="bottom"/>
          </w:tcPr>
          <w:p>
            <w:pPr>
              <w:ind w:left="660"/>
              <w:spacing w:after="0"/>
              <w:rPr>
                <w:sz w:val="20"/>
                <w:szCs w:val="20"/>
                <w:color w:val="auto"/>
              </w:rPr>
            </w:pPr>
            <w:r>
              <w:rPr>
                <w:rFonts w:ascii="Arial" w:cs="Arial" w:eastAsia="Arial" w:hAnsi="Arial"/>
                <w:sz w:val="18"/>
                <w:szCs w:val="18"/>
                <w:color w:val="auto"/>
              </w:rPr>
              <w:t>Total allocation of the purchase price was as follows (in thousands):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1"/>
        </w:trPr>
        <w:tc>
          <w:tcPr>
            <w:tcW w:w="9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8,191</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2,409</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18,585</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1,868</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66,451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14,887</w:t>
            </w:r>
          </w:p>
        </w:tc>
      </w:tr>
      <w:tr>
        <w:trPr>
          <w:trHeight w:val="237"/>
        </w:trPr>
        <w:tc>
          <w:tcPr>
            <w:tcW w:w="948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24,687</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purchase price allocation</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41,764</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goodwill of $1.9 million represents the premium we paid over the fair value of the net tangible liabilities assumed and identified intangible assets acquired, due primarily to Meru’s assembled workforce. The goodwill recorded as part of the Meru acquisition is not deductible for U.S. federal income tax purposes.</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Intangible assets consist primarily of customer relationships and developed technologies. Customer relationships represent Meru’s installed base and the ability to sell existing, in-process and future versions of our products and services to its existing customers. Developed technologies represent the virtualized wireless local area network solutions offering centralized coordination and control of various access points on the network. This includes patented and unpatented technology, know-how, processes, designs and computer software. The estimated useful life and fair values of the acquired identifiable intangible assets were as follows (in thousands, except for estimated useful life):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Estimated Useful Life</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Values</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Developed technologies</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7,200</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19,600</w:t>
            </w:r>
          </w:p>
        </w:tc>
      </w:tr>
      <w:tr>
        <w:trPr>
          <w:trHeight w:val="20"/>
        </w:trPr>
        <w:tc>
          <w:tcPr>
            <w:tcW w:w="7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Customer relationships and trade name are amortized on a straight-line basis and the amortization expense is recorded in sales and marketing expenses in the consolidated statement of operations. Developed technologies is amortized on a straight-line basis and the amortization expense is recorded in cost of product revenue in the consolidated statement of operations.</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Upon the acquisition, Meru became our wholly-owned subsidiary. The results of operations of Meru have been included in our consolidated statement of operations for 2015 from the acquisition date. Revenue and net loss of Meru from July 8, 2015 through December 31, 2015 were $28.1 million and $14.0 million, respectively.</w:t>
      </w:r>
    </w:p>
    <w:p>
      <w:pPr>
        <w:spacing w:after="0" w:line="181"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unaudited financial information below summarizes the combined results of Fortinet and Meru on a pro forma basis, after giving effect to the acquisition of Meru on July 8, 2015, as though the business combination occurred on January 1, 2014. The pro forma financial information is presented for informational purposes and is not indicative of the results of operations that would have been achieved if the acquisition had taken place at the beginning of each of the periods presented. The following pro forma financial information for all periods presented includes purchase accounting adjustments for amortization charges from acquired intangible assets, depreciation of acquired property, plant and equipment, stock-based compensation and related tax effects (in thousands):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Years Ended December 31,</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1,046,972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861,255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 forma income (loss) from operations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34,105</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income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 forma net income (loss) per share:</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Acquisitions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March 2013, we acquired all of the outstanding equity securities of Coyote, a provider of application delivery, load balancing and acceleration solutions, for $6.0 million in cash. In connection with this acquisition, we acquired intangible assets of $8.2 million, which included $2.8 million of goodwill. We also assumed net tangible liabilities of $2.2 million. The acquisition included a contingent obligation that required payment if certain future operational objectives were met. The operational objectives that would require payment were not met.</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September 2013, we acquired certain assets of Xtera Communications, Inc., including certain load balancing solutions and certain patents, for a total consideration of $1.8 million.</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financial results of these acquisitions were not considered material for purposes of pro-forma financial disclosures. The results of operations of our 2013 acquisitions were in our consolidated statements of operations from their respective acquisition 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impairments to goodwill during 2015. The following table presents the changes in the carrying amount of goodwill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jc w:val="right"/>
              <w:ind w:right="67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2014</w:t>
            </w:r>
          </w:p>
        </w:tc>
        <w:tc>
          <w:tcPr>
            <w:tcW w:w="5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Addition due to business acquisition</w:t>
            </w:r>
          </w:p>
        </w:tc>
        <w:tc>
          <w:tcPr>
            <w:tcW w:w="5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Balance—December 31, 2015</w:t>
            </w:r>
          </w:p>
        </w:tc>
        <w:tc>
          <w:tcPr>
            <w:tcW w:w="5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77</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4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400"/>
              <w:spacing w:after="0"/>
              <w:rPr>
                <w:sz w:val="20"/>
                <w:szCs w:val="20"/>
                <w:color w:val="auto"/>
              </w:rPr>
            </w:pPr>
            <w:r>
              <w:rPr>
                <w:rFonts w:ascii="Arial" w:cs="Arial" w:eastAsia="Arial" w:hAnsi="Arial"/>
                <w:sz w:val="16"/>
                <w:szCs w:val="16"/>
                <w:b w:val="1"/>
                <w:bCs w:val="1"/>
                <w:color w:val="auto"/>
              </w:rPr>
              <w:t>December 31, 2015</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10,980</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6,660</w:t>
            </w:r>
          </w:p>
        </w:tc>
      </w:tr>
      <w:tr>
        <w:trPr>
          <w:trHeight w:val="257"/>
        </w:trPr>
        <w:tc>
          <w:tcPr>
            <w:tcW w:w="5500" w:type="dxa"/>
            <w:vAlign w:val="bottom"/>
          </w:tcPr>
          <w:p>
            <w:pPr>
              <w:ind w:left="50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23,584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5,944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17,640</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21"/>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ind w:left="400"/>
              <w:spacing w:after="0"/>
              <w:rPr>
                <w:sz w:val="20"/>
                <w:szCs w:val="20"/>
                <w:color w:val="auto"/>
              </w:rPr>
            </w:pPr>
            <w:r>
              <w:rPr>
                <w:rFonts w:ascii="Arial" w:cs="Arial" w:eastAsia="Arial" w:hAnsi="Arial"/>
                <w:sz w:val="16"/>
                <w:szCs w:val="16"/>
                <w:b w:val="1"/>
                <w:bCs w:val="1"/>
                <w:color w:val="auto"/>
              </w:rPr>
              <w:t>December 31, 2014</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Developed technology</w:t>
            </w: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2,478</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r>
      <w:tr>
        <w:trPr>
          <w:trHeight w:val="257"/>
        </w:trPr>
        <w:tc>
          <w:tcPr>
            <w:tcW w:w="5500" w:type="dxa"/>
            <w:vAlign w:val="bottom"/>
          </w:tcPr>
          <w:p>
            <w:pPr>
              <w:ind w:left="50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3,274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2,832</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2015 and 2014, we reassessed the fair value and the remaining useful life of the developed technologies and customer relationships acquired from the Coyote business acquisition. Based on this reassessment, we determined a decrease in the projected cash flow and that the remaining net book value of the developed technologies and customer relationships were impaired. As a result, we recorded an impairment charge of $1.6 million and $2.4 million in 2015 and 2014, respectively. The impairment charge is included within cost of product revenue and sales and marketing in the consolidated statements of operations.</w:t>
      </w:r>
    </w:p>
    <w:p>
      <w:pPr>
        <w:spacing w:after="0" w:line="5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Amortization expense was $3.2 million, $1.5 million, and $1.7 million in 2015, 2014 and 2013, respectively. The following table summarizes estimated future amortization expense of Other intangible assets—net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Arial" w:cs="Arial" w:eastAsia="Arial" w:hAnsi="Arial"/>
                <w:sz w:val="16"/>
                <w:szCs w:val="16"/>
                <w:b w:val="1"/>
                <w:bCs w:val="1"/>
                <w:color w:val="auto"/>
              </w:rPr>
              <w:t>Amount</w:t>
            </w:r>
          </w:p>
        </w:tc>
      </w:tr>
      <w:tr>
        <w:trPr>
          <w:trHeight w:val="3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jc w:val="right"/>
              <w:ind w:right="8310"/>
              <w:spacing w:after="0"/>
              <w:rPr>
                <w:sz w:val="20"/>
                <w:szCs w:val="20"/>
                <w:color w:val="auto"/>
              </w:rPr>
            </w:pPr>
            <w:r>
              <w:rPr>
                <w:rFonts w:ascii="Arial" w:cs="Arial" w:eastAsia="Arial" w:hAnsi="Arial"/>
                <w:sz w:val="18"/>
                <w:szCs w:val="18"/>
                <w:color w:val="auto"/>
              </w:rPr>
              <w:t>2016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4,600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jc w:val="right"/>
              <w:ind w:right="831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w:t>
            </w:r>
          </w:p>
        </w:tc>
      </w:tr>
      <w:tr>
        <w:trPr>
          <w:trHeight w:val="243"/>
        </w:trPr>
        <w:tc>
          <w:tcPr>
            <w:tcW w:w="9140" w:type="dxa"/>
            <w:vAlign w:val="bottom"/>
          </w:tcPr>
          <w:p>
            <w:pPr>
              <w:jc w:val="right"/>
              <w:ind w:right="831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4,240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jc w:val="right"/>
              <w:ind w:right="831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w:t>
            </w:r>
          </w:p>
        </w:tc>
      </w:tr>
      <w:tr>
        <w:trPr>
          <w:trHeight w:val="243"/>
        </w:trPr>
        <w:tc>
          <w:tcPr>
            <w:tcW w:w="9140" w:type="dxa"/>
            <w:vAlign w:val="bottom"/>
          </w:tcPr>
          <w:p>
            <w:pPr>
              <w:jc w:val="right"/>
              <w:ind w:right="831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1,220</w:t>
            </w:r>
          </w:p>
        </w:tc>
      </w:tr>
      <w:tr>
        <w:trPr>
          <w:trHeight w:val="27"/>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17,640</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229"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RSUs including PSUs, and ESPP. Dilutive shares of common stock are determined by applying the treasury stock method.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thousands, except per share amounts):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7,987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25,343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44,273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Basic shares: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170,385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163,831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162,435</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Diluted shares: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170,385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162,435</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43"/>
        </w:trPr>
        <w:tc>
          <w:tcPr>
            <w:tcW w:w="7080" w:type="dxa"/>
            <w:vAlign w:val="bottom"/>
          </w:tcPr>
          <w:p>
            <w:pPr>
              <w:ind w:left="920"/>
              <w:spacing w:after="0"/>
              <w:rPr>
                <w:sz w:val="20"/>
                <w:szCs w:val="20"/>
                <w:color w:val="auto"/>
              </w:rPr>
            </w:pPr>
            <w:r>
              <w:rPr>
                <w:rFonts w:ascii="Arial" w:cs="Arial" w:eastAsia="Arial" w:hAnsi="Arial"/>
                <w:sz w:val="18"/>
                <w:szCs w:val="18"/>
                <w:color w:val="auto"/>
              </w:rPr>
              <w:t>RSUs (including PSUs)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ESPP</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used to compute diluted net income per share</w:t>
            </w: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176,141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169,289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168,183</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158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6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2015</w:t>
            </w:r>
          </w:p>
        </w:tc>
        <w:tc>
          <w:tcPr>
            <w:tcW w:w="1720" w:type="dxa"/>
            <w:vAlign w:val="bottom"/>
            <w:gridSpan w:val="2"/>
          </w:tcPr>
          <w:p>
            <w:pPr>
              <w:jc w:val="right"/>
              <w:ind w:right="55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5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2013</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3,469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RSUs (including PSUs)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1,393</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2,774</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w:t>
            </w:r>
          </w:p>
        </w:tc>
      </w:tr>
      <w:tr>
        <w:trPr>
          <w:trHeight w:val="237"/>
        </w:trPr>
        <w:tc>
          <w:tcPr>
            <w:tcW w:w="6400" w:type="dxa"/>
            <w:vAlign w:val="bottom"/>
          </w:tcPr>
          <w:p>
            <w:pPr>
              <w:spacing w:after="0"/>
              <w:rPr>
                <w:sz w:val="20"/>
                <w:szCs w:val="20"/>
                <w:color w:val="auto"/>
              </w:rPr>
            </w:pP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4,336</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10,590</w:t>
            </w:r>
          </w:p>
        </w:tc>
      </w:tr>
      <w:tr>
        <w:trPr>
          <w:trHeight w:val="27"/>
        </w:trPr>
        <w:tc>
          <w:tcPr>
            <w:tcW w:w="6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In connection with the acquisition of Meru, we initiated planned cost reduction and restructuring activities to improve our cost structure and operational efficiencies. We estimate that we will incur $8.0 million of restructuring charges, consisting of severance and other one-time benefits, contract terminations and other charges. We incurred $7.6 million of restructuring charges during 2015, which are included in operating expense in the consolidated statements of operations. These charges are primarily related to severance and other one-time benefits to be paid in cash. We expect the remainder of the amount to be incurred in 2016.</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restructuring activity as of December 31, 2015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Employee Severance</w:t>
            </w: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Contract Terminations</w:t>
            </w: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and Other Benefits</w:t>
            </w: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and Other Charges</w:t>
            </w:r>
          </w:p>
        </w:tc>
        <w:tc>
          <w:tcPr>
            <w:tcW w:w="48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7,109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7,600</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Less non-cash charges</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3,918</w:t>
            </w: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Cash payments for the restructuring activities are expected to be made through 2017, primarily relating to severance and other one-time benefits. The short-term portion of the restructuring reserve of $3.4 million is included in accrued liabilities and the remaining long-term portion of $0.5 million is included in other liabilities on the consolidated balance sheet as of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December 31, 2015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8,256</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Inventory purchase commitments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70,018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70,018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Other contractual commitments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purchase orders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274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168,377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120,445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14,060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10,865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8,699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8,256</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2024. Certain leases require us</w:t>
      </w:r>
      <w:r>
        <w:rPr>
          <w:rFonts w:ascii="Arial" w:cs="Arial" w:eastAsia="Arial" w:hAnsi="Arial"/>
          <w:sz w:val="18"/>
          <w:szCs w:val="18"/>
          <w:b w:val="1"/>
          <w:bCs w:val="1"/>
          <w:color w:val="auto"/>
        </w:rPr>
        <w:t xml:space="preserve"> </w:t>
      </w:r>
      <w:r>
        <w:rPr>
          <w:rFonts w:ascii="Arial" w:cs="Arial" w:eastAsia="Arial" w:hAnsi="Arial"/>
          <w:sz w:val="18"/>
          <w:szCs w:val="18"/>
          <w:color w:val="auto"/>
        </w:rPr>
        <w:t>to pay variable costs such as taxes, maintenance, and insurance. The terms of certain operating leases also provide for renewal options and escalation clauses. Rent expense was $13.8 million, $10.6 million and $9.8 million for 2015, 2014 and 2013, respectively. Rent expense is recognized using the straight-line method over the term of the lease.</w:t>
      </w:r>
    </w:p>
    <w:p>
      <w:pPr>
        <w:spacing w:after="0" w:line="18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December 31, 2015, we had $70.0 million of open purchase orders with our independent contract manufacturers that may not be cancelable.</w:t>
      </w:r>
    </w:p>
    <w:p>
      <w:pPr>
        <w:spacing w:after="0" w:line="141"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Other Contractual Commitments and Open Purchase Orders</w:t>
      </w:r>
      <w:r>
        <w:rPr>
          <w:rFonts w:ascii="Arial" w:cs="Arial" w:eastAsia="Arial" w:hAnsi="Arial"/>
          <w:sz w:val="18"/>
          <w:szCs w:val="18"/>
          <w:color w:val="auto"/>
        </w:rPr>
        <w:t>—In addition to commitments with contract manufacturers, we have open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orders and contractual obligations in the ordinary course of business for which we have not received goods or services. As of December 31, 2015, we had $37.3 million in other contractual commitments that may not be cancelable.</w:t>
      </w:r>
    </w:p>
    <w:p>
      <w:pPr>
        <w:spacing w:after="0" w:line="176"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For lawsuits where we are the defendant, we are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fees, including contingent legal fees with related parties,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We have not recorded 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significant accrual for loss contingencies associated with such legal proceedings; determined that a significant unfavorable outcome is probable or reasonably possible; or determined that the amount or range of any possible loss is reasonably estimable.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December 2015, we received $9.0 million from a third-party for a release of claims. In addition, we agreed to a three-year covenant-not-to-sue. Of the $9.0 million consideration received, $2.0 million was used to offset contingent legal fees incurred in connection with the litigation and the remaining $7.0 million was deferred, with the short-term portion recorded as accrued liabilities and the long-term portion recorded as other liabilities in the consolidated balance sheet. The deferral will be recognized ratably through 2018 as an offset to general and administrative expenses in the consolidated statement of operations.</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January 2014, we received $20.0 million pursuant to a six-year mutual covenant-not-to-sue and release agreement with Palo Alto Networks, Inc. The $20.0 million was deferred, with the short-term portion recorded as accrued liabilities and the long-term portion recorded as other liabilities in the consolidated balance sheet. The deferral will be recognized ratably through 2020 as an offset to general and administrative expenses in the consolidated statement of operations.</w:t>
      </w:r>
    </w:p>
    <w:p>
      <w:pPr>
        <w:spacing w:after="0" w:line="18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and that could potentially expose us to losses in excess of the amount received under the agreement, and in some instances to potential liability that is not contractually limited. To date, there have been no awards under such indemnification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stock-based compensation plans include the 2000 Stock Plan (the “2000 Plan”), the 2008 Stock Plan (the “2008 Plan”), the 2009 Equity Incentive Plan (the “2009 Plan”), and the 2011 Employee Stock Purchase Plan (the “ESPP”) and equity plans assumed through the Meru acquisition. Under these plans, we have granted (or, in the case of acquired plan, assumed) stock options and RSUs, including PSUs.</w:t>
      </w:r>
    </w:p>
    <w:p>
      <w:pPr>
        <w:spacing w:after="0" w:line="177" w:lineRule="exact"/>
        <w:rPr>
          <w:sz w:val="20"/>
          <w:szCs w:val="20"/>
          <w:color w:val="auto"/>
        </w:rPr>
      </w:pPr>
    </w:p>
    <w:p>
      <w:pPr>
        <w:ind w:right="140" w:firstLine="648"/>
        <w:spacing w:after="0" w:line="314" w:lineRule="auto"/>
        <w:rPr>
          <w:sz w:val="20"/>
          <w:szCs w:val="20"/>
          <w:color w:val="auto"/>
        </w:rPr>
      </w:pPr>
      <w:r>
        <w:rPr>
          <w:rFonts w:ascii="Arial" w:cs="Arial" w:eastAsia="Arial" w:hAnsi="Arial"/>
          <w:sz w:val="16"/>
          <w:szCs w:val="16"/>
          <w:b w:val="1"/>
          <w:bCs w:val="1"/>
          <w:color w:val="auto"/>
        </w:rPr>
        <w:t>Stock Plans</w:t>
      </w:r>
      <w:r>
        <w:rPr>
          <w:rFonts w:ascii="Arial" w:cs="Arial" w:eastAsia="Arial" w:hAnsi="Arial"/>
          <w:sz w:val="16"/>
          <w:szCs w:val="16"/>
          <w:color w:val="auto"/>
        </w:rPr>
        <w:t>—Our board of directors adopted the 2000 Plan in 2000 and the 2008 Plan in 2008. The plans include both incentive and non-statutory</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options, which allowed us to grant options to purchase common stock to employees, directors, and other service providers. During 2015, 2014 and 2013, we issued no stock options under these plans. As of December 31, 2015, no shares remain available for grant under these plans.</w:t>
      </w:r>
    </w:p>
    <w:p>
      <w:pPr>
        <w:spacing w:after="0" w:line="14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b w:val="1"/>
          <w:bCs w:val="1"/>
          <w:color w:val="auto"/>
        </w:rPr>
        <w:t>2009 Equity Incentive Plan</w:t>
      </w:r>
      <w:r>
        <w:rPr>
          <w:rFonts w:ascii="Arial" w:cs="Arial" w:eastAsia="Arial" w:hAnsi="Arial"/>
          <w:sz w:val="16"/>
          <w:szCs w:val="16"/>
          <w:color w:val="auto"/>
        </w:rPr>
        <w:t>—In 2009, our board of directors approved the 2009 Plan, which includes awards of stock options, stock appreciation</w:t>
      </w:r>
      <w:r>
        <w:rPr>
          <w:rFonts w:ascii="Arial" w:cs="Arial" w:eastAsia="Arial" w:hAnsi="Arial"/>
          <w:sz w:val="16"/>
          <w:szCs w:val="16"/>
          <w:b w:val="1"/>
          <w:bCs w:val="1"/>
          <w:color w:val="auto"/>
        </w:rPr>
        <w:t xml:space="preserve"> </w:t>
      </w:r>
      <w:r>
        <w:rPr>
          <w:rFonts w:ascii="Arial" w:cs="Arial" w:eastAsia="Arial" w:hAnsi="Arial"/>
          <w:sz w:val="16"/>
          <w:szCs w:val="16"/>
          <w:color w:val="auto"/>
        </w:rPr>
        <w:t>rights, restricted stock, RSUs, PSUs. The maximum aggregate number of shares that may be issued under the 2009 Plan is 9.0 million shares, plus any shares subject to stock options or similar awards granted under the 2008 Plan and the 2000 Plan that expire or otherwise terminate without having been exercised in full and shares issued pursuant to awards granted under the 2008 Plan and the 2000 Plan that are forfeited to or repurchased by us, with the maximum number of shares to be added to the 2009 Plan pursuant to such terminations, forfeitures and repurchases not to exceed 21.0 million shares. The shares may be authorized, but unissued or reacquired common stock. The number of shares available for issuance under the 2009 Plan will be increased on the first day of each year beginning with 2011, in an amount equal to the lesser of (i) 14.0 million shares (as adjusted in connection with the stock split effected in June</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2011), (ii) 5% of the outstanding shares on the last day of the immediately preceding year or (iii) such number of shares determined by our board of directors. Under the 2009 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fair market value per share on the date of grant. In the case of a non-statutory stock option and options granted to other service providers, the per share exercise price shall be no less than 100% of the fair market value per share on the date of grant.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Options granted to individuals owning less than 10% of the total combined voting power of all classes of stock generally have a contractual term of seven years and options generally vest over four years.</w:t>
      </w:r>
    </w:p>
    <w:p>
      <w:pPr>
        <w:spacing w:after="0" w:line="166"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b w:val="1"/>
          <w:bCs w:val="1"/>
          <w:color w:val="auto"/>
        </w:rPr>
        <w:t>2011 Employee Stock Purchase Plan</w:t>
      </w:r>
      <w:r>
        <w:rPr>
          <w:rFonts w:ascii="Arial" w:cs="Arial" w:eastAsia="Arial" w:hAnsi="Arial"/>
          <w:sz w:val="17"/>
          <w:szCs w:val="17"/>
          <w:color w:val="auto"/>
        </w:rPr>
        <w:t>—In June 2011, our stockholders approved the ESPP. The ESPP permits eligible employees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through regular, systematic payroll deductions, up to a maximum of 15% of employees’ compensation for each purchase period at purchase prices equal to 85% of the lesser of the fair market value of our common stock at the first trading date of the applicable offering period or the purchase date, subject to purchase limits of 4,000 shares for each purchase period or $25,000 worth of stock for each calendar year.</w:t>
      </w:r>
    </w:p>
    <w:p>
      <w:pPr>
        <w:spacing w:after="0" w:line="165"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b w:val="1"/>
          <w:bCs w:val="1"/>
          <w:color w:val="auto"/>
        </w:rPr>
        <w:t>Meru 2010 Equity Incentive Plan</w:t>
      </w:r>
      <w:r>
        <w:rPr>
          <w:rFonts w:ascii="Arial" w:cs="Arial" w:eastAsia="Arial" w:hAnsi="Arial"/>
          <w:sz w:val="16"/>
          <w:szCs w:val="16"/>
          <w:color w:val="auto"/>
        </w:rPr>
        <w:t>—In connection with the Meru acquisition, we assumed and exchanged Meru’s outstanding RSUs with an</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fair value of $2.0 million. Of the total estimated fair value, $0.5 million relating to earned equity awards was allocated to the purchase price and the remainder relating to future services is being recognized over the remaining service period. No new equity awards can be granted under the assumed plan. As of December 31, 2015, RSUs representing 34,571 shares of common stock were outstanding under the awards assumed through the acquisition of Meru.</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2015, there were a total of 40,827,422 shares of common stock available for grant under our stock-based compensation plans.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In determining the fair value of our employee stock options, we use the Black-Scholes option pricing model, which employs the following assumptions.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w:t>
      </w:r>
      <w:r>
        <w:rPr>
          <w:rFonts w:ascii="Arial" w:cs="Arial" w:eastAsia="Arial" w:hAnsi="Arial"/>
          <w:sz w:val="18"/>
          <w:szCs w:val="18"/>
          <w:color w:val="auto"/>
        </w:rPr>
        <w:t>—We estimate the fair value of stock options granted.</w:t>
      </w:r>
    </w:p>
    <w:p>
      <w:pPr>
        <w:spacing w:after="0" w:line="19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our stock-based awards are expected to be outstanding. Beginning in the first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2014, we changed the methodology of calculating the expected term. We believe that we have sufficient historical experience for determining the expected term of the stock option award, and therefore, we calculated our expected term based on historical experience instead of using the simplified method.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of our common stock is based on our weighted-average implied and historical volatility.</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our common stock is the closing sales price of the common stock (or the closing bid, if no sales</w:t>
      </w:r>
      <w:r>
        <w:rPr>
          <w:rFonts w:ascii="Arial" w:cs="Arial" w:eastAsia="Arial" w:hAnsi="Arial"/>
          <w:sz w:val="18"/>
          <w:szCs w:val="18"/>
          <w:i w:val="1"/>
          <w:iCs w:val="1"/>
          <w:color w:val="auto"/>
        </w:rPr>
        <w:t xml:space="preserve"> </w:t>
      </w:r>
      <w:r>
        <w:rPr>
          <w:rFonts w:ascii="Arial" w:cs="Arial" w:eastAsia="Arial" w:hAnsi="Arial"/>
          <w:sz w:val="18"/>
          <w:szCs w:val="18"/>
          <w:color w:val="auto"/>
        </w:rPr>
        <w:t>were reported) effective on the date of grant.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—We base the risk-free interest rate used in the Black-Scholes valuation model on the implied yield available on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Treasury zero-coupon issues with an equivalent remaining term.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expected dividend weighted-average assumption is zero.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0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3880" w:type="dxa"/>
            <w:vAlign w:val="bottom"/>
          </w:tcPr>
          <w:p>
            <w:pPr>
              <w:spacing w:after="0"/>
              <w:rPr>
                <w:sz w:val="20"/>
                <w:szCs w:val="20"/>
                <w:color w:val="auto"/>
              </w:rPr>
            </w:pPr>
          </w:p>
        </w:tc>
        <w:tc>
          <w:tcPr>
            <w:tcW w:w="414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2015</w:t>
            </w:r>
          </w:p>
        </w:tc>
        <w:tc>
          <w:tcPr>
            <w:tcW w:w="1640" w:type="dxa"/>
            <w:vAlign w:val="bottom"/>
            <w:gridSpan w:val="2"/>
          </w:tcPr>
          <w:p>
            <w:pPr>
              <w:jc w:val="right"/>
              <w:ind w:right="51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72"/>
              <w:spacing w:after="0"/>
              <w:rPr>
                <w:sz w:val="20"/>
                <w:szCs w:val="20"/>
                <w:color w:val="auto"/>
              </w:rPr>
            </w:pPr>
            <w:r>
              <w:rPr>
                <w:rFonts w:ascii="Arial" w:cs="Arial" w:eastAsia="Arial" w:hAnsi="Arial"/>
                <w:sz w:val="16"/>
                <w:szCs w:val="16"/>
                <w:b w:val="1"/>
                <w:bCs w:val="1"/>
                <w:color w:val="auto"/>
              </w:rPr>
              <w:t>2013</w:t>
            </w:r>
          </w:p>
        </w:tc>
      </w:tr>
      <w:tr>
        <w:trPr>
          <w:trHeight w:val="33"/>
        </w:trPr>
        <w:tc>
          <w:tcPr>
            <w:tcW w:w="38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Expected term in years</w:t>
            </w:r>
          </w:p>
        </w:tc>
        <w:tc>
          <w:tcPr>
            <w:tcW w:w="41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1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w:t>
            </w:r>
          </w:p>
        </w:tc>
      </w:tr>
      <w:tr>
        <w:trPr>
          <w:trHeight w:val="243"/>
        </w:trPr>
        <w:tc>
          <w:tcPr>
            <w:tcW w:w="3880" w:type="dxa"/>
            <w:vAlign w:val="bottom"/>
          </w:tcPr>
          <w:p>
            <w:pPr>
              <w:ind w:left="500"/>
              <w:spacing w:after="0"/>
              <w:rPr>
                <w:sz w:val="20"/>
                <w:szCs w:val="20"/>
                <w:color w:val="auto"/>
              </w:rPr>
            </w:pPr>
            <w:r>
              <w:rPr>
                <w:rFonts w:ascii="Arial" w:cs="Arial" w:eastAsia="Arial" w:hAnsi="Arial"/>
                <w:sz w:val="18"/>
                <w:szCs w:val="18"/>
                <w:color w:val="auto"/>
              </w:rPr>
              <w:t>Volatility</w:t>
            </w:r>
          </w:p>
        </w:tc>
        <w:tc>
          <w:tcPr>
            <w:tcW w:w="260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37% – 41%</w:t>
            </w:r>
          </w:p>
        </w:tc>
        <w:tc>
          <w:tcPr>
            <w:tcW w:w="100" w:type="dxa"/>
            <w:vAlign w:val="bottom"/>
          </w:tcPr>
          <w:p>
            <w:pPr>
              <w:spacing w:after="0"/>
              <w:rPr>
                <w:sz w:val="21"/>
                <w:szCs w:val="21"/>
                <w:color w:val="auto"/>
              </w:rPr>
            </w:pPr>
          </w:p>
        </w:tc>
        <w:tc>
          <w:tcPr>
            <w:tcW w:w="2000" w:type="dxa"/>
            <w:vAlign w:val="bottom"/>
            <w:gridSpan w:val="3"/>
          </w:tcPr>
          <w:p>
            <w:pPr>
              <w:jc w:val="right"/>
              <w:ind w:right="640"/>
              <w:spacing w:after="0"/>
              <w:rPr>
                <w:sz w:val="20"/>
                <w:szCs w:val="20"/>
                <w:color w:val="auto"/>
              </w:rPr>
            </w:pPr>
            <w:r>
              <w:rPr>
                <w:rFonts w:ascii="Arial" w:cs="Arial" w:eastAsia="Arial" w:hAnsi="Arial"/>
                <w:sz w:val="18"/>
                <w:szCs w:val="18"/>
                <w:color w:val="auto"/>
              </w:rPr>
              <w:t>41% – 45%</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45% – 48%</w:t>
            </w:r>
          </w:p>
        </w:tc>
      </w:tr>
      <w:tr>
        <w:trPr>
          <w:trHeight w:val="27"/>
        </w:trPr>
        <w:tc>
          <w:tcPr>
            <w:tcW w:w="38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Risk-free interest rate</w:t>
            </w:r>
          </w:p>
        </w:tc>
        <w:tc>
          <w:tcPr>
            <w:tcW w:w="2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 – 1.6%</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 – 1.7%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880" w:type="dxa"/>
            <w:vAlign w:val="bottom"/>
          </w:tcPr>
          <w:p>
            <w:pPr>
              <w:ind w:left="500"/>
              <w:spacing w:after="0"/>
              <w:rPr>
                <w:sz w:val="20"/>
                <w:szCs w:val="20"/>
                <w:color w:val="auto"/>
              </w:rPr>
            </w:pPr>
            <w:r>
              <w:rPr>
                <w:rFonts w:ascii="Arial" w:cs="Arial" w:eastAsia="Arial" w:hAnsi="Arial"/>
                <w:sz w:val="18"/>
                <w:szCs w:val="18"/>
                <w:color w:val="auto"/>
              </w:rPr>
              <w:t>Dividend rate</w:t>
            </w:r>
          </w:p>
        </w:tc>
        <w:tc>
          <w:tcPr>
            <w:tcW w:w="26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02"/>
        </w:trPr>
        <w:tc>
          <w:tcPr>
            <w:tcW w:w="3880" w:type="dxa"/>
            <w:vAlign w:val="bottom"/>
          </w:tcPr>
          <w:p>
            <w:pPr>
              <w:spacing w:after="0"/>
              <w:rPr>
                <w:sz w:val="24"/>
                <w:szCs w:val="24"/>
                <w:color w:val="auto"/>
              </w:rPr>
            </w:pPr>
          </w:p>
        </w:tc>
        <w:tc>
          <w:tcPr>
            <w:tcW w:w="2600" w:type="dxa"/>
            <w:vAlign w:val="bottom"/>
          </w:tcPr>
          <w:p>
            <w:pPr>
              <w:jc w:val="right"/>
              <w:ind w:right="593"/>
              <w:spacing w:after="0"/>
              <w:rPr>
                <w:sz w:val="20"/>
                <w:szCs w:val="20"/>
                <w:color w:val="auto"/>
              </w:rPr>
            </w:pPr>
            <w:r>
              <w:rPr>
                <w:rFonts w:ascii="Arial" w:cs="Arial" w:eastAsia="Arial" w:hAnsi="Arial"/>
                <w:sz w:val="18"/>
                <w:szCs w:val="18"/>
                <w:color w:val="auto"/>
              </w:rPr>
              <w:t>82</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thousands,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2012</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18,571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(2,488)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2013</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15,521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(4,763)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2014</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(4,403)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2015</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6,968</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vest—December 31, 2015</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6,891</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83,992</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exercisable—December 31, 2015</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5,818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81,037</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December 31, 2015, for all in-the-money options. As of December 31, 2015, total compensation expense related to unvested stock options granted to employees but not yet recognized was $10.0 million. This expense is expected to be amortized on a straight-line basis over a weighted-average period of 2.8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thousands,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448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2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113,786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76,731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41,484</w:t>
            </w:r>
          </w:p>
        </w:tc>
      </w:tr>
      <w:tr>
        <w:trPr>
          <w:trHeight w:val="27"/>
        </w:trPr>
        <w:tc>
          <w:tcPr>
            <w:tcW w:w="4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2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26,411</w:t>
            </w:r>
          </w:p>
        </w:tc>
      </w:tr>
      <w:tr>
        <w:trPr>
          <w:trHeight w:val="648"/>
        </w:trPr>
        <w:tc>
          <w:tcPr>
            <w:tcW w:w="4480" w:type="dxa"/>
            <w:vAlign w:val="bottom"/>
          </w:tcPr>
          <w:p>
            <w:pPr>
              <w:spacing w:after="0"/>
              <w:rPr>
                <w:sz w:val="24"/>
                <w:szCs w:val="24"/>
                <w:color w:val="auto"/>
              </w:rPr>
            </w:pPr>
          </w:p>
        </w:tc>
        <w:tc>
          <w:tcPr>
            <w:tcW w:w="2260" w:type="dxa"/>
            <w:vAlign w:val="bottom"/>
          </w:tcPr>
          <w:p>
            <w:pPr>
              <w:jc w:val="right"/>
              <w:ind w:right="850"/>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summarizes information about outstanding and exercisable stock options as of December 31, 2015, as follows (in thousands, except exercise prices and contractual life):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Options Outstanding</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gridSpan w:val="4"/>
          </w:tcPr>
          <w:p>
            <w:pPr>
              <w:jc w:val="right"/>
              <w:ind w:right="1073"/>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Weighted-</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3"/>
              <w:spacing w:after="0"/>
              <w:rPr>
                <w:sz w:val="20"/>
                <w:szCs w:val="20"/>
                <w:color w:val="auto"/>
              </w:rPr>
            </w:pPr>
            <w:r>
              <w:rPr>
                <w:rFonts w:ascii="Arial" w:cs="Arial" w:eastAsia="Arial" w:hAnsi="Arial"/>
                <w:sz w:val="16"/>
                <w:szCs w:val="16"/>
                <w:b w:val="1"/>
                <w:bCs w:val="1"/>
                <w:color w:val="auto"/>
                <w:w w:val="90"/>
              </w:rPr>
              <w:t>Weighted-</w:t>
            </w: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Average</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3"/>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Range of Exercise</w:t>
            </w:r>
          </w:p>
        </w:tc>
        <w:tc>
          <w:tcPr>
            <w:tcW w:w="1840" w:type="dxa"/>
            <w:vAlign w:val="bottom"/>
          </w:tcPr>
          <w:p>
            <w:pPr>
              <w:jc w:val="right"/>
              <w:ind w:right="531"/>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Exercise</w:t>
            </w:r>
          </w:p>
        </w:tc>
        <w:tc>
          <w:tcPr>
            <w:tcW w:w="1800" w:type="dxa"/>
            <w:vAlign w:val="bottom"/>
          </w:tcPr>
          <w:p>
            <w:pPr>
              <w:jc w:val="right"/>
              <w:ind w:right="51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3"/>
              <w:spacing w:after="0"/>
              <w:rPr>
                <w:sz w:val="20"/>
                <w:szCs w:val="20"/>
                <w:color w:val="auto"/>
              </w:rPr>
            </w:pPr>
            <w:r>
              <w:rPr>
                <w:rFonts w:ascii="Arial" w:cs="Arial" w:eastAsia="Arial" w:hAnsi="Arial"/>
                <w:sz w:val="16"/>
                <w:szCs w:val="16"/>
                <w:b w:val="1"/>
                <w:bCs w:val="1"/>
                <w:color w:val="auto"/>
                <w:w w:val="88"/>
              </w:rPr>
              <w:t>Exercise</w:t>
            </w:r>
          </w:p>
        </w:tc>
      </w:tr>
      <w:tr>
        <w:trPr>
          <w:trHeight w:val="210"/>
        </w:trPr>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Prices</w:t>
            </w:r>
          </w:p>
        </w:tc>
        <w:tc>
          <w:tcPr>
            <w:tcW w:w="1840" w:type="dxa"/>
            <w:vAlign w:val="bottom"/>
          </w:tcPr>
          <w:p>
            <w:pPr>
              <w:jc w:val="right"/>
              <w:ind w:right="391"/>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34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Price</w:t>
            </w:r>
          </w:p>
        </w:tc>
        <w:tc>
          <w:tcPr>
            <w:tcW w:w="1800" w:type="dxa"/>
            <w:vAlign w:val="bottom"/>
          </w:tcPr>
          <w:p>
            <w:pPr>
              <w:jc w:val="right"/>
              <w:ind w:right="412"/>
              <w:spacing w:after="0"/>
              <w:rPr>
                <w:sz w:val="20"/>
                <w:szCs w:val="20"/>
                <w:color w:val="auto"/>
              </w:rPr>
            </w:pPr>
            <w:r>
              <w:rPr>
                <w:rFonts w:ascii="Arial" w:cs="Arial" w:eastAsia="Arial" w:hAnsi="Arial"/>
                <w:sz w:val="16"/>
                <w:szCs w:val="16"/>
                <w:b w:val="1"/>
                <w:bCs w:val="1"/>
                <w:color w:val="auto"/>
              </w:rPr>
              <w:t>Exercisable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right="273"/>
              <w:spacing w:after="0"/>
              <w:rPr>
                <w:sz w:val="20"/>
                <w:szCs w:val="20"/>
                <w:color w:val="auto"/>
              </w:rPr>
            </w:pPr>
            <w:r>
              <w:rPr>
                <w:rFonts w:ascii="Arial" w:cs="Arial" w:eastAsia="Arial" w:hAnsi="Arial"/>
                <w:sz w:val="16"/>
                <w:szCs w:val="16"/>
                <w:b w:val="1"/>
                <w:bCs w:val="1"/>
                <w:color w:val="auto"/>
                <w:w w:val="91"/>
              </w:rPr>
              <w:t>Price</w:t>
            </w:r>
          </w:p>
        </w:tc>
      </w:tr>
      <w:tr>
        <w:trPr>
          <w:trHeight w:val="33"/>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$0.98–$1.20</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r>
      <w:tr>
        <w:trPr>
          <w:trHeight w:val="243"/>
        </w:trPr>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3.74–4.65</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720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3.78</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5.50–6.25</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w:t>
            </w:r>
          </w:p>
        </w:tc>
      </w:tr>
      <w:tr>
        <w:trPr>
          <w:trHeight w:val="243"/>
        </w:trPr>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8.43–8.99</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851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8.51</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15.28–19.94</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15.89</w:t>
            </w:r>
          </w:p>
        </w:tc>
      </w:tr>
      <w:tr>
        <w:trPr>
          <w:trHeight w:val="243"/>
        </w:trPr>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20.13–24.92</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2,647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21.12</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26.49–26.70</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1,494</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26.70</w:t>
            </w:r>
          </w:p>
        </w:tc>
      </w:tr>
      <w:tr>
        <w:trPr>
          <w:trHeight w:val="243"/>
        </w:trPr>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32.79–33.31</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416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32.79</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38.73–48.83</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46.80</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6,968</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thousands, except per share amounts):</w:t>
      </w:r>
    </w:p>
    <w:p>
      <w:pPr>
        <w:spacing w:after="0" w:line="33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370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09"/>
        </w:trPr>
        <w:tc>
          <w:tcPr>
            <w:tcW w:w="7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 Grant</w:t>
            </w:r>
          </w:p>
        </w:tc>
      </w:tr>
      <w:tr>
        <w:trPr>
          <w:trHeight w:val="203"/>
        </w:trPr>
        <w:tc>
          <w:tcPr>
            <w:tcW w:w="7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Date Fair Value per</w:t>
            </w:r>
          </w:p>
        </w:tc>
      </w:tr>
      <w:tr>
        <w:trPr>
          <w:trHeight w:val="210"/>
        </w:trPr>
        <w:tc>
          <w:tcPr>
            <w:tcW w:w="752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620" w:type="dxa"/>
            <w:vAlign w:val="bottom"/>
          </w:tcPr>
          <w:p>
            <w:pPr>
              <w:jc w:val="right"/>
              <w:ind w:right="611"/>
              <w:spacing w:after="0"/>
              <w:rPr>
                <w:sz w:val="20"/>
                <w:szCs w:val="20"/>
                <w:color w:val="auto"/>
              </w:rPr>
            </w:pPr>
            <w:r>
              <w:rPr>
                <w:rFonts w:ascii="Arial" w:cs="Arial" w:eastAsia="Arial" w:hAnsi="Arial"/>
                <w:sz w:val="16"/>
                <w:szCs w:val="16"/>
                <w:b w:val="1"/>
                <w:bCs w:val="1"/>
                <w:color w:val="auto"/>
              </w:rPr>
              <w:t>Share</w:t>
            </w:r>
          </w:p>
        </w:tc>
      </w:tr>
      <w:tr>
        <w:trPr>
          <w:trHeight w:val="33"/>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2012</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23.73</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21.75</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23.89</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2013</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23.13</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21.92</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22.23</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2014</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22.93</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39.04</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22.74</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2015</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32.97</w:t>
            </w:r>
          </w:p>
        </w:tc>
      </w:tr>
      <w:tr>
        <w:trPr>
          <w:trHeight w:val="20"/>
        </w:trPr>
        <w:tc>
          <w:tcPr>
            <w:tcW w:w="7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RSUs expected to vest—December 31, 2015</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8,645</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32.47</w:t>
            </w:r>
          </w:p>
        </w:tc>
      </w:tr>
    </w:tbl>
    <w:p>
      <w:pPr>
        <w:spacing w:after="0" w:line="229"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As of December 31, 2015, total compensation expense related to unvested RSUs that were granted to employees and non-employees under the 2009 Plan, but not yet recognized, was $258.4 million. This expense is expected to be amortized on a straight-line basis over a weighted-average vesting period of 3.06 years.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28,871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1,452</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Stock Units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granted PSUs to certain of our executive officers. PSUs granted to executive officers are based on the achievement of the market-based vesting conditions during the performance period. The final settlement of the PSUs will range between 0% and 150% of the target shares underlying the PSUs based on a specified objective formula approved by our Compensation Committee. The PSUs entitle our executive officers to receive a number of shares of our common stock based on the performance of our stock price over a two- or three-year period as compared to the NASDAQ Composite index for the same periods.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the PSUs granted to executive officers:</w:t>
      </w:r>
    </w:p>
    <w:p>
      <w:pPr>
        <w:spacing w:after="0" w:line="356"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34290</wp:posOffset>
            </wp:positionV>
            <wp:extent cx="26327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gridSpan w:val="2"/>
          </w:tcPr>
          <w:p>
            <w:pPr>
              <w:ind w:left="7740"/>
              <w:spacing w:after="0"/>
              <w:rPr>
                <w:sz w:val="20"/>
                <w:szCs w:val="20"/>
                <w:color w:val="auto"/>
              </w:rPr>
            </w:pPr>
            <w:r>
              <w:rPr>
                <w:rFonts w:ascii="Arial" w:cs="Arial" w:eastAsia="Arial" w:hAnsi="Arial"/>
                <w:sz w:val="18"/>
                <w:szCs w:val="18"/>
                <w:b w:val="1"/>
                <w:bCs w:val="1"/>
                <w:color w:val="auto"/>
                <w:w w:val="94"/>
              </w:rPr>
              <w:t>2015</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7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5"/>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r>
      <w:tr>
        <w:trPr>
          <w:trHeight w:val="243"/>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Dividend rate</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2015, we also granted PSUs to employees who are not executive officers. These PSUs are based on the achievement of personal- and company-based performance vesting conditions during the performance period. The final settlement of these PSUs will range from 50% to 150% of the target shares underlying the PSUs, based on specified objective formulas approved by our Compensation Committee. The PSUs entitle such employees to receive a number of shares of our common stock based on a one-year performance period, and vest equally in the second and third years. The share-based compensation expenses related to these awards are not considered material.</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PSUs granted to executive officers and other employees for the periods presented below (in thousands, except per share amounts):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3"/>
              <w:spacing w:after="0"/>
              <w:rPr>
                <w:sz w:val="20"/>
                <w:szCs w:val="20"/>
                <w:color w:val="auto"/>
              </w:rPr>
            </w:pPr>
            <w:r>
              <w:rPr>
                <w:rFonts w:ascii="Arial" w:cs="Arial" w:eastAsia="Arial" w:hAnsi="Arial"/>
                <w:sz w:val="16"/>
                <w:szCs w:val="16"/>
                <w:b w:val="1"/>
                <w:bCs w:val="1"/>
                <w:color w:val="auto"/>
              </w:rPr>
              <w:t>2013</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granted to executive officers and employees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22.06</w:t>
            </w:r>
          </w:p>
        </w:tc>
      </w:tr>
    </w:tbl>
    <w:p>
      <w:pPr>
        <w:spacing w:after="0" w:line="229"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As of December 31, 2015, total compensation expense related to unvested PSUs that were granted to certain of our executive officers, but not yet recognized, was $5.0 million. This expense is expected to be amortized on a straight-line basis over a weighted-average vesting period of 1.87 years.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our ESPP, we use the Black-Scholes option pricing model that employs the following weighted-average assumptions:</w:t>
      </w:r>
    </w:p>
    <w:p>
      <w:pPr>
        <w:spacing w:after="0" w:line="200" w:lineRule="exact"/>
        <w:rPr>
          <w:sz w:val="20"/>
          <w:szCs w:val="20"/>
          <w:color w:val="auto"/>
        </w:rPr>
      </w:pPr>
    </w:p>
    <w:p>
      <w:pPr>
        <w:spacing w:after="0" w:line="206"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3267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340" w:type="dxa"/>
            <w:vAlign w:val="bottom"/>
            <w:gridSpan w:val="2"/>
          </w:tcPr>
          <w:p>
            <w:pPr>
              <w:ind w:left="6880"/>
              <w:spacing w:after="0"/>
              <w:rPr>
                <w:sz w:val="20"/>
                <w:szCs w:val="20"/>
                <w:color w:val="auto"/>
              </w:rPr>
            </w:pPr>
            <w:r>
              <w:rPr>
                <w:rFonts w:ascii="Arial" w:cs="Arial" w:eastAsia="Arial" w:hAnsi="Arial"/>
                <w:sz w:val="18"/>
                <w:szCs w:val="18"/>
                <w:b w:val="1"/>
                <w:bCs w:val="1"/>
                <w:color w:val="auto"/>
              </w:rPr>
              <w:t>2015</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r>
      <w:tr>
        <w:trPr>
          <w:trHeight w:val="27"/>
        </w:trPr>
        <w:tc>
          <w:tcPr>
            <w:tcW w:w="6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Dividend rate</w:t>
            </w:r>
          </w:p>
        </w:tc>
        <w:tc>
          <w:tcPr>
            <w:tcW w:w="1760" w:type="dxa"/>
            <w:vAlign w:val="bottom"/>
            <w:gridSpan w:val="3"/>
          </w:tcPr>
          <w:p>
            <w:pPr>
              <w:jc w:val="right"/>
              <w:ind w:right="12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the ESPP is provided below (in thousands, except per share amounts):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63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Shares issued under the ESPP</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672</w:t>
            </w:r>
          </w:p>
        </w:tc>
      </w:tr>
      <w:tr>
        <w:trPr>
          <w:trHeight w:val="27"/>
        </w:trPr>
        <w:tc>
          <w:tcPr>
            <w:tcW w:w="6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price per share issued</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24.30</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18.88</w:t>
            </w:r>
          </w:p>
        </w:tc>
      </w:tr>
      <w:tr>
        <w:trPr>
          <w:trHeight w:val="27"/>
        </w:trPr>
        <w:tc>
          <w:tcPr>
            <w:tcW w:w="6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Shares Reserved for Future Issuances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common stock reserved for future issuance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1"/>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1"/>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stock options and RSUs</w:t>
            </w: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16,225</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w w:val="95"/>
              </w:rPr>
              <w:t>Reserved for future stock option, RSU and other equity award grants</w:t>
            </w: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35,613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Reserved for future ESPP issuances</w:t>
            </w:r>
          </w:p>
        </w:tc>
        <w:tc>
          <w:tcPr>
            <w:tcW w:w="1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Total common stock reserved for future issuances</w:t>
            </w:r>
          </w:p>
        </w:tc>
        <w:tc>
          <w:tcPr>
            <w:tcW w:w="1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57,055</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Stock-based Compensation Expense</w:t>
            </w: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4"/>
          </w:tcPr>
          <w:p>
            <w:pPr>
              <w:ind w:left="660"/>
              <w:spacing w:after="0"/>
              <w:rPr>
                <w:sz w:val="20"/>
                <w:szCs w:val="20"/>
                <w:color w:val="auto"/>
              </w:rPr>
            </w:pPr>
            <w:r>
              <w:rPr>
                <w:rFonts w:ascii="Arial" w:cs="Arial" w:eastAsia="Arial" w:hAnsi="Arial"/>
                <w:sz w:val="18"/>
                <w:szCs w:val="18"/>
                <w:color w:val="auto"/>
                <w:w w:val="96"/>
              </w:rPr>
              <w:t>Stock-based compensation expense is included in costs and expenses as follows (in thousands):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5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gridSpan w:val="5"/>
          </w:tcPr>
          <w:p>
            <w:pPr>
              <w:jc w:val="right"/>
              <w:spacing w:after="0"/>
              <w:rPr>
                <w:sz w:val="20"/>
                <w:szCs w:val="20"/>
                <w:color w:val="auto"/>
              </w:rPr>
            </w:pPr>
            <w:r>
              <w:rPr>
                <w:rFonts w:ascii="Arial" w:cs="Arial" w:eastAsia="Arial" w:hAnsi="Arial"/>
                <w:sz w:val="16"/>
                <w:szCs w:val="16"/>
                <w:b w:val="1"/>
                <w:bCs w:val="1"/>
                <w:color w:val="auto"/>
                <w:w w:val="90"/>
              </w:rPr>
              <w:t>Year Ended December 31,</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3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product revenue</w:t>
            </w:r>
          </w:p>
        </w:tc>
        <w:tc>
          <w:tcPr>
            <w:tcW w:w="17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5300" w:type="dxa"/>
            <w:vAlign w:val="bottom"/>
          </w:tcPr>
          <w:p>
            <w:pPr>
              <w:ind w:left="500"/>
              <w:spacing w:after="0"/>
              <w:rPr>
                <w:sz w:val="20"/>
                <w:szCs w:val="20"/>
                <w:color w:val="auto"/>
              </w:rPr>
            </w:pPr>
            <w:r>
              <w:rPr>
                <w:rFonts w:ascii="Arial" w:cs="Arial" w:eastAsia="Arial" w:hAnsi="Arial"/>
                <w:sz w:val="18"/>
                <w:szCs w:val="18"/>
                <w:color w:val="auto"/>
              </w:rPr>
              <w:t>Cost of service revenue</w:t>
            </w: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43"/>
        </w:trPr>
        <w:tc>
          <w:tcPr>
            <w:tcW w:w="530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26,744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19,526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57"/>
        </w:trPr>
        <w:tc>
          <w:tcPr>
            <w:tcW w:w="530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13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95,088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58,994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44,471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40" w:type="dxa"/>
            <w:vAlign w:val="bottom"/>
            <w:vMerge w:val="restart"/>
          </w:tcPr>
          <w:p>
            <w:pPr>
              <w:jc w:val="right"/>
              <w:ind w:right="750"/>
              <w:spacing w:after="0"/>
              <w:rPr>
                <w:sz w:val="20"/>
                <w:szCs w:val="20"/>
                <w:color w:val="auto"/>
              </w:rPr>
            </w:pPr>
            <w:r>
              <w:rPr>
                <w:rFonts w:ascii="Arial" w:cs="Arial" w:eastAsia="Arial" w:hAnsi="Arial"/>
                <w:sz w:val="18"/>
                <w:szCs w:val="18"/>
                <w:color w:val="auto"/>
              </w:rPr>
              <w:t>86</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60" w:type="dxa"/>
            <w:vAlign w:val="bottom"/>
            <w:gridSpan w:val="5"/>
          </w:tcPr>
          <w:p>
            <w:pPr>
              <w:jc w:val="right"/>
              <w:ind w:right="170"/>
              <w:spacing w:after="0"/>
              <w:rPr>
                <w:sz w:val="20"/>
                <w:szCs w:val="20"/>
                <w:color w:val="auto"/>
              </w:rPr>
            </w:pPr>
            <w:r>
              <w:rPr>
                <w:rFonts w:ascii="Arial" w:cs="Arial" w:eastAsia="Arial" w:hAnsi="Arial"/>
                <w:sz w:val="16"/>
                <w:szCs w:val="16"/>
                <w:b w:val="1"/>
                <w:bCs w:val="1"/>
                <w:color w:val="auto"/>
                <w:w w:val="90"/>
              </w:rPr>
              <w:t>Year Ended December 31,</w:t>
            </w:r>
          </w:p>
        </w:tc>
        <w:tc>
          <w:tcPr>
            <w:tcW w:w="122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2013</w:t>
            </w:r>
          </w:p>
        </w:tc>
      </w:tr>
      <w:tr>
        <w:trPr>
          <w:trHeight w:val="3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11,425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20,806</w:t>
            </w:r>
          </w:p>
        </w:tc>
      </w:tr>
      <w:tr>
        <w:trPr>
          <w:trHeight w:val="243"/>
        </w:trPr>
        <w:tc>
          <w:tcPr>
            <w:tcW w:w="6640" w:type="dxa"/>
            <w:vAlign w:val="bottom"/>
          </w:tcPr>
          <w:p>
            <w:pPr>
              <w:ind w:left="500"/>
              <w:spacing w:after="0"/>
              <w:rPr>
                <w:sz w:val="20"/>
                <w:szCs w:val="20"/>
                <w:color w:val="auto"/>
              </w:rPr>
            </w:pPr>
            <w:r>
              <w:rPr>
                <w:rFonts w:ascii="Arial" w:cs="Arial" w:eastAsia="Arial" w:hAnsi="Arial"/>
                <w:sz w:val="18"/>
                <w:szCs w:val="18"/>
                <w:color w:val="auto"/>
              </w:rPr>
              <w:t>RSUs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77,262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37,068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18,968</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ESPP</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4,697</w:t>
            </w:r>
          </w:p>
        </w:tc>
      </w:tr>
      <w:tr>
        <w:trPr>
          <w:trHeight w:val="257"/>
        </w:trPr>
        <w:tc>
          <w:tcPr>
            <w:tcW w:w="664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95,088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58,994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44,471</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consolidated statements of operations is as follows (in thousands):</w:t>
      </w:r>
    </w:p>
    <w:p>
      <w:pPr>
        <w:spacing w:after="0" w:line="1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25,189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11,086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8,331</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On December 6, 2013, our board of directors authorized a Share Repurchase Program (“the Program”) to repurchase up to $200.0 million of our outstanding common stock through December 31, 2014. Under the Program, share repurchases may be made by us from time to time in privately negotiated transactions or in open market transactions. The Program does not require us to purchase a minimum number of shares, and may be suspended, modified or discontinued at any time without prior notice. On October 17, 2014, our board of directors extended the share repurchase authorization under the Program through December 31, 2015. In 2015, we repurchased 1.8 million shares of common stock under the Program in open market transactions for an aggregate purchase price of $60.0 million. The Program expired on December 31, 2015 with an unused balance under the Program of $62.5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before income taxes consisted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83,076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Foreign</w:t>
            </w:r>
          </w:p>
        </w:tc>
        <w:tc>
          <w:tcPr>
            <w:tcW w:w="2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54,442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25,771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before income taxes</w:t>
            </w:r>
          </w:p>
        </w:tc>
        <w:tc>
          <w:tcPr>
            <w:tcW w:w="2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17,005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61,549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75,941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87</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consisted of the following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2013</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9,864</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17,717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43,384</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2,490</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13,683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4,175</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23,411</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27,748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50,049</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(17,149)</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920"/>
              <w:spacing w:after="0"/>
              <w:rPr>
                <w:sz w:val="20"/>
                <w:szCs w:val="20"/>
                <w:color w:val="auto"/>
              </w:rPr>
            </w:pPr>
            <w:r>
              <w:rPr>
                <w:rFonts w:ascii="Arial" w:cs="Arial" w:eastAsia="Arial" w:hAnsi="Arial"/>
                <w:sz w:val="18"/>
                <w:szCs w:val="18"/>
                <w:color w:val="auto"/>
              </w:rPr>
              <w:t>Total deferred</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8,458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(18,381)</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9,018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36,206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31,668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provision for income taxes differs from the amount computed by applying the statutory federal income tax rate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2013</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federal statutory tax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5,951</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26,579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4,571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taxes—net of federal benefit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(3,256)</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Research and development credit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taxed at different rates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withholding taxes</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10,962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9,085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6,622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deemed dividend distribution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(1,691)</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provision for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9,018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36,206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31,668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Significant permanent differences arise from the portion of stock-based compensation expense that is not expected to generate a tax deduction, such as stock-based compensation expense on stock option grants to certain foreign employees, offset by the actual tax benefits in the current periods from disqualifying dispositions of shares held by our U.S. employees. For stock options exercised by our U.S. employees, we receive an income tax benefit calculated as the difference between the fair market value of the stock issued at the time of the exercise and the option price, tax effected. For 2015, income tax payable was reduced by excess tax benefits from the exercise or vesting of stock-based awards of $1.3 million. For 2014, income tax payable was not reduced by excess tax benefits from the exercise or vesting of stock-based awards, therefore we did not recognize a significant benefit in additional paid-in-capital. The income tax benefits for 2013 associated with dispositions from employee stock transactions of $3.5 million was recognized as additional paid-in capital because it reduced income taxes payable.</w:t>
      </w:r>
    </w:p>
    <w:p>
      <w:pPr>
        <w:spacing w:after="0" w:line="1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of December 31, 2015, there was additional Federal deferred tax assets related to stock-based compensation excess tax benefits of $29.7 million that we did not recognize. Unrecognized excess tax benefits will be accounted for as a credit to additional paid-in capital when realized through a reduction in income taxes payable.</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Our 2015 income tax provision reflected a $1.2 million tax benefit due to a recent U.S. Tax Court opinion involving an independent third party filed on July 27, 2015. Based on the findings of the U.S. Tax Court, we recognized the tax benefit for excluding the share-based compensation from intercompany charges in prior periods.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During 2015, we completed a corporate reorganization to convert our Canadian company to a branch of our U.S. company resulting on a $27.6 million deemed dividend distribution. The tax impact of the Canadian deemed dividend distribution of $9.6 million was partially offset by an additional tax benefit of $6.4 million due to the deferred tax benefit of the Canadian stock based compensation expense.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as of the years ended are presented below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2014</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Net operating loss carryforward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9,757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1,293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31,545</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Nondeductible reserves and accruals</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22,240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20,904</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General business credit carryforward</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22,121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2,155</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16,463</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119,216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72,564</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We concluded that it is more likely than not that we would be able to realize the benefits of our deferred tax assets in the future.</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of December 31, 2015, we had $84.9 million in federal net operating loss carryforwards to offset future income that will not expire until 2035, which is not limited by section 382. With the acquisition of Meru, we also had $22.9 million in federal net operating loss carryforwards which is limited by section 382 available from year 2019 with an annual limitation of $1.1 million. We had $17.4 million federal tax credits with certain amount available to carryback and claim federal tax refunds from prior year and the rest available to offset future federal taxes. As of December 31, 2015, we had $16.2 million in California net operating loss carryforwards to offset future income that will not expire until 2031. With the acquisition of Meru, we also had $22.1 million in California net operating loss carryforwards which is subject to section 382 limitation. We had state tax credit carryforwards of $12.3 million available to offset our future state taxes. The state credits carry forward indefinitely.</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policy with respect to undistributed foreign subsidiaries’ earnings is to consider those earnings to be indefinitely reinvested and, accordingly, no related provision of U.S. federal and state income taxes has been provided on such earnings. Upon distribution of those earnings in the form of dividends or otherwise, we would be subject to both U.S. income taxes (subject to an adjustment for foreign tax credits) and withholding taxes in the various foreign countries. As of December 31, 2015, we have not recorded U.S. income tax on $47.4 million of foreign earnings that are deemed to be permanently reinvested overseas.</w:t>
      </w:r>
    </w:p>
    <w:p>
      <w:pPr>
        <w:spacing w:after="0" w:line="188"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We operate under a tax incentive agreement in Singapore, which is effective through December 31, 2023, and may be extended if certain additional requirements are satisfied. The tax incentive agreement is conditional upon our meeting certain employment and investment thresholds.</w:t>
      </w:r>
    </w:p>
    <w:p>
      <w:pPr>
        <w:spacing w:after="0" w:line="14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December 31, 2015, we had $59.7 million of unrecognized tax benefits, of which, if recognized, $58.4 million would favorably affect our effective tax rate. Our policy is to include accrued interest and penalties related to uncertain tax benefits in income tax expense. As of December 31, 2015, 2014 and 2013, accrued interest and penalties were $5.5 million, $1.7 million and $1.0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changes in the balance of unrecognized tax benefits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44,151</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27,808</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Gross increases for tax positions related to the current year</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17,478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4,713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increases for tax positions related to the prior year</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Gross decreases for tax positions related to prior year</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decreases for tax positions related to expiration of statute of limitations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Unrecognized tax benefits,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59,672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44,151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29,604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December 31, 2015, 2014 and 2013, $60.6 million, $45.1 million and $30.2 million, respectively, of the amounts reflected above were recorded as Income tax liabilities—non-current in our consolidated balance sheet.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there was no unrecognized tax benefits that we expect would change significantly over the next 12 months.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file income tax returns in the U.S. federal jurisdiction, and various U.S. state and foreign jurisdictions. The statute of limitations is open for years that generated state net operating loss carryforwards and after 2009 for state jurisdictions. Additionally, we have foreign net operating losses that have an indefinite life. Generally, we are no longer subject to non-U.S. income tax examinations by tax authorities for tax years prior to 2009. We are no longer subject to examination by U.S federal income tax authorities for tax years prior to 2012. We are currently under examination by U.S federal income tax authorities for tax year 2014, 2013 and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PLANS</w:t>
      </w:r>
    </w:p>
    <w:p>
      <w:pPr>
        <w:spacing w:after="0" w:line="229"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the 401(k) Plans and RRSP for 2015, 2014 and 2013 were $3.5 million, $2.5 million and $2.1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and property and equipment by geographic region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0" w:type="dxa"/>
            <w:vAlign w:val="bottom"/>
            <w:gridSpan w:val="4"/>
          </w:tcPr>
          <w:p>
            <w:pPr>
              <w:ind w:left="40"/>
              <w:spacing w:after="0"/>
              <w:rPr>
                <w:sz w:val="20"/>
                <w:szCs w:val="20"/>
                <w:color w:val="auto"/>
              </w:rPr>
            </w:pPr>
            <w:r>
              <w:rPr>
                <w:rFonts w:ascii="Arial" w:cs="Arial" w:eastAsia="Arial" w:hAnsi="Arial"/>
                <w:sz w:val="16"/>
                <w:szCs w:val="16"/>
                <w:b w:val="1"/>
                <w:bCs w:val="1"/>
                <w:color w:val="auto"/>
              </w:rPr>
              <w:t>Revenue</w:t>
            </w:r>
          </w:p>
        </w:tc>
        <w:tc>
          <w:tcPr>
            <w:tcW w:w="380" w:type="dxa"/>
            <w:vAlign w:val="bottom"/>
          </w:tcPr>
          <w:p>
            <w:pPr>
              <w:spacing w:after="0"/>
              <w:rPr>
                <w:sz w:val="17"/>
                <w:szCs w:val="17"/>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42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279,564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200,294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162,327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101,594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Other Americas</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54,124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42,397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31,751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324,659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252,786</w:t>
            </w:r>
          </w:p>
        </w:tc>
        <w:tc>
          <w:tcPr>
            <w:tcW w:w="0" w:type="dxa"/>
            <w:vAlign w:val="bottom"/>
          </w:tcPr>
          <w:p>
            <w:pPr>
              <w:spacing w:after="0"/>
              <w:rPr>
                <w:sz w:val="1"/>
                <w:szCs w:val="1"/>
                <w:color w:val="auto"/>
              </w:rPr>
            </w:pP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Europe, Middle East, and Africa (“EMEA”)</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366,018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270,537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208,979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Asia Pacific (“APAC”)</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207,968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175,168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153,532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360" w:type="dxa"/>
            <w:vAlign w:val="bottom"/>
            <w:gridSpan w:val="3"/>
          </w:tcPr>
          <w:p>
            <w:pPr>
              <w:ind w:left="46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1,009,268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770,364</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615,297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4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24"/>
                <w:szCs w:val="24"/>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76"/>
        </w:trPr>
        <w:tc>
          <w:tcPr>
            <w:tcW w:w="640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551"/>
              <w:spacing w:after="0" w:line="176" w:lineRule="exact"/>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551"/>
              <w:spacing w:after="0" w:line="176" w:lineRule="exact"/>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400" w:type="dxa"/>
            <w:vAlign w:val="bottom"/>
            <w:gridSpan w:val="4"/>
            <w:vMerge w:val="restart"/>
          </w:tcPr>
          <w:p>
            <w:pPr>
              <w:ind w:left="40"/>
              <w:spacing w:after="0"/>
              <w:rPr>
                <w:sz w:val="20"/>
                <w:szCs w:val="20"/>
                <w:color w:val="auto"/>
              </w:rPr>
            </w:pPr>
            <w:r>
              <w:rPr>
                <w:rFonts w:ascii="Arial" w:cs="Arial" w:eastAsia="Arial" w:hAnsi="Arial"/>
                <w:sz w:val="18"/>
                <w:szCs w:val="18"/>
                <w:color w:val="auto"/>
              </w:rPr>
              <w:t>Americas:</w:t>
            </w: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400" w:type="dxa"/>
            <w:vAlign w:val="bottom"/>
            <w:gridSpan w:val="4"/>
            <w:vMerge w:val="continue"/>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Canada</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Total Americas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70,036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France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13,201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Other EMEA</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Total EMEA</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17,178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360" w:type="dxa"/>
            <w:vAlign w:val="bottom"/>
            <w:gridSpan w:val="3"/>
          </w:tcPr>
          <w:p>
            <w:pPr>
              <w:ind w:left="460"/>
              <w:spacing w:after="0"/>
              <w:rPr>
                <w:sz w:val="20"/>
                <w:szCs w:val="20"/>
                <w:color w:val="auto"/>
              </w:rPr>
            </w:pPr>
            <w:r>
              <w:rPr>
                <w:rFonts w:ascii="Arial" w:cs="Arial" w:eastAsia="Arial" w:hAnsi="Arial"/>
                <w:sz w:val="18"/>
                <w:szCs w:val="18"/>
                <w:color w:val="auto"/>
              </w:rPr>
              <w:t>Total property and equipment—net</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91,067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58,919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accumulated balances of other comprehensive income for 2015 and 2014 (in thousands):</w:t>
      </w:r>
    </w:p>
    <w:p>
      <w:pPr>
        <w:spacing w:after="0" w:line="395"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Tax benefit 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items of other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Unrealized Losses on</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comprehensive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Investments</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income or loss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40" w:type="dxa"/>
            <w:vAlign w:val="bottom"/>
            <w:gridSpan w:val="5"/>
          </w:tcPr>
          <w:p>
            <w:pPr>
              <w:ind w:left="440"/>
              <w:spacing w:after="0"/>
              <w:rPr>
                <w:sz w:val="20"/>
                <w:szCs w:val="20"/>
                <w:color w:val="auto"/>
              </w:rPr>
            </w:pPr>
            <w:r>
              <w:rPr>
                <w:rFonts w:ascii="Arial" w:cs="Arial" w:eastAsia="Arial" w:hAnsi="Arial"/>
                <w:sz w:val="16"/>
                <w:szCs w:val="16"/>
                <w:b w:val="1"/>
                <w:bCs w:val="1"/>
                <w:color w:val="auto"/>
              </w:rPr>
              <w:t>December 31, 2014</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Tax benefit or</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provision 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Foreign Currency</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items of other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Translation Gains and</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Unrealized Gains and</w:t>
            </w: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comprehensive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w w:val="92"/>
              </w:rPr>
              <w:t>Losses on Investments</w:t>
            </w:r>
          </w:p>
        </w:tc>
        <w:tc>
          <w:tcPr>
            <w:tcW w:w="12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income or loss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details about the reclassification out of accumulated other comprehensive loss for 2015 and 2014 (in thousands):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Details about Accumulated Other Comprehensive Income Components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spacing w:after="0" w:line="300" w:lineRule="auto"/>
        <w:rPr>
          <w:sz w:val="20"/>
          <w:szCs w:val="20"/>
          <w:color w:val="auto"/>
        </w:rPr>
      </w:pPr>
      <w:r>
        <w:rPr>
          <w:rFonts w:ascii="Arial" w:cs="Arial" w:eastAsia="Arial" w:hAnsi="Arial"/>
          <w:sz w:val="15"/>
          <w:szCs w:val="15"/>
          <w:b w:val="1"/>
          <w:bCs w:val="1"/>
          <w:color w:val="auto"/>
        </w:rPr>
        <w:t>Amount Reclassified from Accumulated Other Comprehensive Loss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right="80"/>
        <w:spacing w:after="0" w:line="332" w:lineRule="auto"/>
        <w:rPr>
          <w:sz w:val="20"/>
          <w:szCs w:val="20"/>
          <w:color w:val="auto"/>
        </w:rPr>
      </w:pPr>
      <w:r>
        <w:rPr>
          <w:rFonts w:ascii="Arial" w:cs="Arial" w:eastAsia="Arial" w:hAnsi="Arial"/>
          <w:sz w:val="14"/>
          <w:szCs w:val="14"/>
          <w:b w:val="1"/>
          <w:bCs w:val="1"/>
          <w:color w:val="auto"/>
        </w:rPr>
        <w:t>Affected Line Item in the Statement Where Net Income is Presented</w:t>
      </w:r>
    </w:p>
    <w:p>
      <w:pPr>
        <w:spacing w:after="0" w:line="1" w:lineRule="exact"/>
        <w:rPr>
          <w:sz w:val="20"/>
          <w:szCs w:val="20"/>
          <w:color w:val="auto"/>
        </w:rPr>
      </w:pPr>
    </w:p>
    <w:p>
      <w:pPr>
        <w:sectPr>
          <w:pgSz w:w="11900" w:h="16838" w:orient="portrait"/>
          <w:cols w:equalWidth="0" w:num="3">
            <w:col w:w="5980" w:space="720"/>
            <w:col w:w="1820" w:space="360"/>
            <w:col w:w="25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6400" w:type="dxa"/>
            <w:vAlign w:val="bottom"/>
            <w:tcBorders>
              <w:top w:val="single" w:sz="8" w:color="auto"/>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losses on investments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Tax provision related to items of other comprehensive loss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reclassification for the period</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562"/>
        </w:trPr>
        <w:tc>
          <w:tcPr>
            <w:tcW w:w="8700" w:type="dxa"/>
            <w:vAlign w:val="bottom"/>
            <w:gridSpan w:val="5"/>
          </w:tcPr>
          <w:p>
            <w:pPr>
              <w:ind w:left="4640"/>
              <w:spacing w:after="0"/>
              <w:rPr>
                <w:sz w:val="20"/>
                <w:szCs w:val="20"/>
                <w:color w:val="auto"/>
              </w:rPr>
            </w:pPr>
            <w:r>
              <w:rPr>
                <w:rFonts w:ascii="Arial" w:cs="Arial" w:eastAsia="Arial" w:hAnsi="Arial"/>
                <w:sz w:val="16"/>
                <w:szCs w:val="16"/>
                <w:b w:val="1"/>
                <w:bCs w:val="1"/>
                <w:color w:val="auto"/>
              </w:rPr>
              <w:t>Year Ended December 31, 2014</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ind w:right="153"/>
              <w:spacing w:after="0"/>
              <w:rPr>
                <w:sz w:val="20"/>
                <w:szCs w:val="20"/>
                <w:color w:val="auto"/>
              </w:rPr>
            </w:pPr>
            <w:r>
              <w:rPr>
                <w:rFonts w:ascii="Arial" w:cs="Arial" w:eastAsia="Arial" w:hAnsi="Arial"/>
                <w:sz w:val="16"/>
                <w:szCs w:val="16"/>
                <w:b w:val="1"/>
                <w:bCs w:val="1"/>
                <w:color w:val="auto"/>
                <w:w w:val="91"/>
              </w:rPr>
              <w:t>Amount Reclassified from</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jc w:val="center"/>
              <w:ind w:right="153"/>
              <w:spacing w:after="0"/>
              <w:rPr>
                <w:sz w:val="20"/>
                <w:szCs w:val="20"/>
                <w:color w:val="auto"/>
              </w:rPr>
            </w:pPr>
            <w:r>
              <w:rPr>
                <w:rFonts w:ascii="Arial" w:cs="Arial" w:eastAsia="Arial" w:hAnsi="Arial"/>
                <w:sz w:val="16"/>
                <w:szCs w:val="16"/>
                <w:b w:val="1"/>
                <w:bCs w:val="1"/>
                <w:color w:val="auto"/>
                <w:w w:val="93"/>
              </w:rPr>
              <w:t>Accumulated Other</w:t>
            </w:r>
          </w:p>
        </w:tc>
        <w:tc>
          <w:tcPr>
            <w:tcW w:w="100" w:type="dxa"/>
            <w:vAlign w:val="bottom"/>
          </w:tcPr>
          <w:p>
            <w:pPr>
              <w:spacing w:after="0"/>
              <w:rPr>
                <w:sz w:val="17"/>
                <w:szCs w:val="17"/>
                <w:color w:val="auto"/>
              </w:rPr>
            </w:pPr>
          </w:p>
        </w:tc>
        <w:tc>
          <w:tcPr>
            <w:tcW w:w="2620" w:type="dxa"/>
            <w:vAlign w:val="bottom"/>
          </w:tcPr>
          <w:p>
            <w:pPr>
              <w:ind w:left="80"/>
              <w:spacing w:after="0"/>
              <w:rPr>
                <w:sz w:val="20"/>
                <w:szCs w:val="20"/>
                <w:color w:val="auto"/>
              </w:rPr>
            </w:pPr>
            <w:r>
              <w:rPr>
                <w:rFonts w:ascii="Arial" w:cs="Arial" w:eastAsia="Arial" w:hAnsi="Arial"/>
                <w:sz w:val="16"/>
                <w:szCs w:val="16"/>
                <w:b w:val="1"/>
                <w:bCs w:val="1"/>
                <w:color w:val="auto"/>
                <w:w w:val="94"/>
              </w:rPr>
              <w:t>Affected Line Item in the Statement</w:t>
            </w:r>
          </w:p>
        </w:tc>
      </w:tr>
      <w:tr>
        <w:trPr>
          <w:trHeight w:val="210"/>
        </w:trPr>
        <w:tc>
          <w:tcPr>
            <w:tcW w:w="6400" w:type="dxa"/>
            <w:vAlign w:val="bottom"/>
            <w:gridSpan w:val="2"/>
          </w:tcPr>
          <w:p>
            <w:pPr>
              <w:ind w:left="700"/>
              <w:spacing w:after="0"/>
              <w:rPr>
                <w:sz w:val="20"/>
                <w:szCs w:val="20"/>
                <w:color w:val="auto"/>
              </w:rPr>
            </w:pPr>
            <w:r>
              <w:rPr>
                <w:rFonts w:ascii="Arial" w:cs="Arial" w:eastAsia="Arial" w:hAnsi="Arial"/>
                <w:sz w:val="16"/>
                <w:szCs w:val="16"/>
                <w:b w:val="1"/>
                <w:bCs w:val="1"/>
                <w:color w:val="auto"/>
              </w:rPr>
              <w:t>Details about Accumulated Other Comprehensive Income Components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Comprehensive Income</w:t>
            </w:r>
          </w:p>
        </w:tc>
        <w:tc>
          <w:tcPr>
            <w:tcW w:w="10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Arial" w:cs="Arial" w:eastAsia="Arial" w:hAnsi="Arial"/>
                <w:sz w:val="16"/>
                <w:szCs w:val="16"/>
                <w:b w:val="1"/>
                <w:bCs w:val="1"/>
                <w:color w:val="auto"/>
                <w:w w:val="99"/>
              </w:rPr>
              <w:t>Where Net Income is Presented</w:t>
            </w:r>
          </w:p>
        </w:tc>
      </w:tr>
      <w:tr>
        <w:trPr>
          <w:trHeight w:val="33"/>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translation losses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Unrealized losses on investments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Other expense—net</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provision related to items of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r>
      <w:tr>
        <w:trPr>
          <w:trHeight w:val="257"/>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Total reclassification for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son of one member of our board of directors is a partner of an outside law firm that we utilize for certain complex litigation matters. Expenses for legal services provided by the law firm related to matters that arose subsequent to the member joining our board of directors were $7.2 million, $1.7 million and $0.1 million in 2015, 2014 and 2013, respectively. Of such amounts, $2.5 million was incurred under contingent fee arrangements in 2015. There was no contingent fee arrangement in 2014 and 2013. Amounts due and payable to the law firm were $5.3 million and $1.3 million as of December 31, 2015 and December 31, 2014,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Share Repurchase Program</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January 2016, our board of directors approved a new Share Repurchase Program (the “New Program”), which authorizes the repurchase of up to $200.0 million of our outstanding common stock through December 31, 2017. Under the program, share repurchases may be made by us from time to time in privately negotiated transactions or in open market transactions. The program does not require us to purchase a minimum number of shares, and may be suspended, modified or discontinued at any time without prior notice. Subsequent to December 31, 2015, through the filing of this Report, we have repurchased 2.0 million shares of our common stock under the new program at an average price of $24.97 per share, for $50.0 million. We have $150.0 million authorized funds remaining under the new program as of the filing date.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Building Purchase</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February 2016, we purchased certain property in Union City, California totaling approximately 200,000 square feet for a total cash payment of $18.5 million.</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125" w:right="29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December 31, 2015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Report on Internal Control Over Financial Reporting</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and 15d-15(f) under the Exchange Act. Management conducted an evaluation of the effectiveness of our internal control over financial reporting based on the framework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set forth by the Committee of Sponsoring Organizations of the Treadway Commission.</w:t>
      </w:r>
    </w:p>
    <w:p>
      <w:pPr>
        <w:spacing w:after="0" w:line="93"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In accordance with guidance issued by the Securities and Exchange Commission, companies are permitted to exclude acquisitions from their final assessment of internal control over financial reporting for the first fiscal year in which the acquisition occurred. Our management’s evaluation of internal control over financial reporting excluded the internal control activities of Meru, which we acquired in July 2015. We have included the financial results of Meru in the consolidated financial statements from the date of acquisition. Total revenue subject to Meru’s internal control over financial reporting represented approximately 3% of our consolidated total revenues for the year ended December 31, 2015. Total assets subject to Meru’s internal control over financial reporting represented approximately 1% of our consolidated total assets as of December 31, 2015.</w:t>
      </w:r>
    </w:p>
    <w:p>
      <w:pPr>
        <w:spacing w:after="0" w:line="17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December 31, 2015. Management reviewed the results of its assessment with our Audit Committee. The effectiveness of our internal control over financial reporting as of December 31, 2015 has been audited by Deloitte &amp; Touche LLP, an independent registered public accounting firm, as stated in its report, which appears in this Item under the heading “Report of Independent Registered Public Accounting Firm.”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306"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In July 2015, we completed the acquisition of Meru. We are in the process of integrating Meru into our systems and control environment as of December 31, 2015. We believe that we have taken the necessary steps to monitor and maintain appropriate internal control over financial reporting during this integration. There were no changes in our internal control over financial reporting (as defined in Rules 13a-15(f) or 15d-15(f) under the Exchange Act) during the fourth quarter of 2015 that have materially affected, or are reasonably likely to materially affect, our internal control over financial reporting.</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Fortinet,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Sunnyvale, California</w:t>
      </w:r>
    </w:p>
    <w:p>
      <w:pPr>
        <w:spacing w:after="0" w:line="200" w:lineRule="exact"/>
        <w:rPr>
          <w:sz w:val="20"/>
          <w:szCs w:val="20"/>
          <w:color w:val="auto"/>
        </w:rPr>
      </w:pPr>
    </w:p>
    <w:p>
      <w:pPr>
        <w:spacing w:after="0" w:line="2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We have audited the internal control over financial reporting of Fortinet, Inc. and subsidiaries (the "Company") as of December 31, 2015,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As described in Management's Report on Internal Control over Financial Reporting management excluded from its assessment the internal control over financial reporting at Meru Networks, Inc. (“Meru”), which was acquired on July 8, 2015 and whose financial statements represent approximately 1% of total consolidated assets, 3% of total consolidated revenues, of the consolidated financial statement amounts as of and for the year ended December 31, 2015. Accordingly, our audit did not include the internal control over financial reporting at Meru.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2"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2015,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and financial statement schedule as of and for the year ended December 31, 2015 of the Company and our report dated February 26, 2016 expressed an unqualified opinion on those financial statements and financial statement schedule.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121" w:right="27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219"/>
          </w:cols>
          <w:pgMar w:left="240" w:top="121" w:right="1440"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2016 Annual Meeting of Stockholders to be filed with the SEC within 120 days after the end of the fiscal year covered by this Annual Report on Form 10-K.</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our employees, with regard to their Fortinet-related activities. Our code of business conduct and ethics is available on our website at www.fortinet.com under “Corporate—Investor Relations—Corporate Governance.” We will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2016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2016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2016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2016 Annual Meeting of Stockholders to be filed with the SEC within 120 days after the end of the fiscal year covered by this Annual Report on Form 10-K.</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122" w:right="29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25" w:lineRule="exact"/>
        <w:rPr>
          <w:sz w:val="20"/>
          <w:szCs w:val="20"/>
          <w:color w:val="auto"/>
        </w:rPr>
      </w:pPr>
    </w:p>
    <w:p>
      <w:pPr>
        <w:ind w:left="1300" w:right="22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Fortinet’s financial statements and the Report of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required by this Item 15(a)(1) is incorporated by reference herein to the section of this Annual Report on Form 10-K in Part II, Item 8, titled “Financial Statements and Supplementary Data.”</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Financial Statement Schedule: </w:t>
      </w:r>
      <w:r>
        <w:rPr>
          <w:rFonts w:ascii="Arial" w:cs="Arial" w:eastAsia="Arial" w:hAnsi="Arial"/>
          <w:sz w:val="17"/>
          <w:szCs w:val="17"/>
          <w:color w:val="auto"/>
        </w:rPr>
        <w:t>The following financial statement schedule of Fortinet, Inc., for the fiscal years ended December 31,</w:t>
      </w:r>
    </w:p>
    <w:p>
      <w:pPr>
        <w:spacing w:after="0" w:line="34" w:lineRule="exact"/>
        <w:rPr>
          <w:rFonts w:ascii="Arial" w:cs="Arial" w:eastAsia="Arial" w:hAnsi="Arial"/>
          <w:sz w:val="17"/>
          <w:szCs w:val="17"/>
          <w:i w:val="1"/>
          <w:iCs w:val="1"/>
          <w:color w:val="auto"/>
        </w:rPr>
      </w:pPr>
    </w:p>
    <w:p>
      <w:pPr>
        <w:ind w:left="1300"/>
        <w:spacing w:after="0" w:line="261" w:lineRule="auto"/>
        <w:rPr>
          <w:rFonts w:ascii="Arial" w:cs="Arial" w:eastAsia="Arial" w:hAnsi="Arial"/>
          <w:sz w:val="17"/>
          <w:szCs w:val="17"/>
          <w:i w:val="1"/>
          <w:iCs w:val="1"/>
          <w:color w:val="auto"/>
        </w:rPr>
      </w:pPr>
      <w:r>
        <w:rPr>
          <w:rFonts w:ascii="Arial" w:cs="Arial" w:eastAsia="Arial" w:hAnsi="Arial"/>
          <w:sz w:val="18"/>
          <w:szCs w:val="18"/>
          <w:color w:val="auto"/>
        </w:rPr>
        <w:t>2015, 2014 and 2013, is filed as part of this Annual Report on Form 10-K and should be read in conjunction with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121" w:right="27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2013</w:t>
            </w:r>
          </w:p>
        </w:tc>
      </w:tr>
      <w:tr>
        <w:trPr>
          <w:trHeight w:val="33"/>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8"/>
              </w:rPr>
              <w:t>(in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Returns Reserve: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Beginning balance</w:t>
            </w:r>
          </w:p>
        </w:tc>
        <w:tc>
          <w:tcPr>
            <w:tcW w:w="1040" w:type="dxa"/>
            <w:vAlign w:val="bottom"/>
          </w:tcPr>
          <w:p>
            <w:pPr>
              <w:jc w:val="right"/>
              <w:ind w:right="83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5,842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4,573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2,267</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Charged (credited) to costs and expenses, net of deductions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2,306</w:t>
            </w:r>
          </w:p>
        </w:tc>
      </w:tr>
      <w:tr>
        <w:trPr>
          <w:trHeight w:val="297"/>
        </w:trPr>
        <w:tc>
          <w:tcPr>
            <w:tcW w:w="64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Ending balance</w:t>
            </w:r>
          </w:p>
        </w:tc>
        <w:tc>
          <w:tcPr>
            <w:tcW w:w="1040" w:type="dxa"/>
            <w:vAlign w:val="bottom"/>
            <w:tcBorders>
              <w:top w:val="single" w:sz="8" w:color="auto"/>
              <w:bottom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5,482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5,842</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4,573</w:t>
            </w:r>
          </w:p>
        </w:tc>
      </w:tr>
      <w:tr>
        <w:trPr>
          <w:trHeight w:val="284"/>
        </w:trPr>
        <w:tc>
          <w:tcPr>
            <w:tcW w:w="6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Beginning balance</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Charged (credited) to costs and expenses, net of write-offs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Ending balance</w:t>
            </w:r>
          </w:p>
        </w:tc>
        <w:tc>
          <w:tcPr>
            <w:tcW w:w="10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left="13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Annual Report on Form 10-K by reference, the exhibits listed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Exhibit Index immediately following the signature page of this Annual Report on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exhibit list in the Exhibit Index immediately following the signature page of this Annual Report on Form 10-K is incorporated herein by reference as the list of exhibits required by this Item 15(b).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Financial Statement Schedules: See Item 15(a) above.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26, 2016.</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720" w:val="left"/>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Andrew Del Matto, Chief Financial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Financial Officer)</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120" w:val="left"/>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Keith Jensen, Chief Accounting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Accounting Officer)</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Ken Xie and Andrew Del Matto,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121" w:right="29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360" w:type="dxa"/>
            <w:vAlign w:val="bottom"/>
            <w:gridSpan w:val="3"/>
          </w:tcPr>
          <w:p>
            <w:pPr>
              <w:ind w:left="1240"/>
              <w:spacing w:after="0"/>
              <w:rPr>
                <w:sz w:val="20"/>
                <w:szCs w:val="20"/>
                <w:color w:val="auto"/>
              </w:rPr>
            </w:pPr>
            <w:r>
              <w:rPr>
                <w:rFonts w:ascii="Arial" w:cs="Arial" w:eastAsia="Arial" w:hAnsi="Arial"/>
                <w:sz w:val="18"/>
                <w:szCs w:val="18"/>
                <w:b w:val="1"/>
                <w:bCs w:val="1"/>
                <w:color w:val="auto"/>
              </w:rPr>
              <w:t>Date</w:t>
            </w:r>
          </w:p>
        </w:tc>
      </w:tr>
      <w:tr>
        <w:trPr>
          <w:trHeight w:val="20"/>
        </w:trPr>
        <w:tc>
          <w:tcPr>
            <w:tcW w:w="1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15"/>
        </w:trPr>
        <w:tc>
          <w:tcPr>
            <w:tcW w:w="1220" w:type="dxa"/>
            <w:vAlign w:val="bottom"/>
          </w:tcPr>
          <w:p>
            <w:pPr>
              <w:spacing w:after="0"/>
              <w:rPr>
                <w:sz w:val="24"/>
                <w:szCs w:val="24"/>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/s/</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Ken Xie</w:t>
            </w:r>
          </w:p>
        </w:tc>
        <w:tc>
          <w:tcPr>
            <w:tcW w:w="1620" w:type="dxa"/>
            <w:vAlign w:val="bottom"/>
          </w:tcPr>
          <w:p>
            <w:pPr>
              <w:spacing w:after="0"/>
              <w:rPr>
                <w:sz w:val="24"/>
                <w:szCs w:val="24"/>
                <w:color w:val="auto"/>
              </w:rPr>
            </w:pPr>
          </w:p>
        </w:tc>
        <w:tc>
          <w:tcPr>
            <w:tcW w:w="498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Chairman</w:t>
            </w:r>
          </w:p>
        </w:tc>
        <w:tc>
          <w:tcPr>
            <w:tcW w:w="2360" w:type="dxa"/>
            <w:vAlign w:val="bottom"/>
            <w:gridSpan w:val="3"/>
          </w:tcPr>
          <w:p>
            <w:pPr>
              <w:ind w:left="1040"/>
              <w:spacing w:after="0"/>
              <w:rPr>
                <w:sz w:val="20"/>
                <w:szCs w:val="20"/>
                <w:color w:val="auto"/>
              </w:rPr>
            </w:pPr>
            <w:r>
              <w:rPr>
                <w:rFonts w:ascii="Arial" w:cs="Arial" w:eastAsia="Arial" w:hAnsi="Arial"/>
                <w:sz w:val="18"/>
                <w:szCs w:val="18"/>
                <w:color w:val="auto"/>
                <w:w w:val="88"/>
              </w:rPr>
              <w:t>February 26, 2016</w:t>
            </w:r>
          </w:p>
        </w:tc>
      </w:tr>
      <w:tr>
        <w:trPr>
          <w:trHeight w:val="27"/>
        </w:trPr>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8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6"/>
              </w:rPr>
              <w:t>Ken Xie</w:t>
            </w:r>
          </w:p>
        </w:tc>
        <w:tc>
          <w:tcPr>
            <w:tcW w:w="498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220" w:type="dxa"/>
            <w:vAlign w:val="bottom"/>
          </w:tcPr>
          <w:p>
            <w:pPr>
              <w:ind w:left="980"/>
              <w:spacing w:after="0"/>
              <w:rPr>
                <w:sz w:val="20"/>
                <w:szCs w:val="20"/>
                <w:color w:val="auto"/>
              </w:rPr>
            </w:pPr>
            <w:r>
              <w:rPr>
                <w:rFonts w:ascii="Arial" w:cs="Arial" w:eastAsia="Arial" w:hAnsi="Arial"/>
                <w:sz w:val="18"/>
                <w:szCs w:val="18"/>
                <w:color w:val="auto"/>
              </w:rPr>
              <w:t>/s/</w:t>
            </w:r>
          </w:p>
        </w:tc>
        <w:tc>
          <w:tcPr>
            <w:tcW w:w="2780" w:type="dxa"/>
            <w:vAlign w:val="bottom"/>
            <w:gridSpan w:val="5"/>
          </w:tcPr>
          <w:p>
            <w:pPr>
              <w:jc w:val="center"/>
              <w:ind w:right="1240"/>
              <w:spacing w:after="0"/>
              <w:rPr>
                <w:sz w:val="20"/>
                <w:szCs w:val="20"/>
                <w:color w:val="auto"/>
              </w:rPr>
            </w:pPr>
            <w:r>
              <w:rPr>
                <w:rFonts w:ascii="Arial" w:cs="Arial" w:eastAsia="Arial" w:hAnsi="Arial"/>
                <w:sz w:val="18"/>
                <w:szCs w:val="18"/>
                <w:color w:val="auto"/>
                <w:w w:val="93"/>
              </w:rPr>
              <w:t>Andrew Del Matto</w:t>
            </w:r>
          </w:p>
        </w:tc>
        <w:tc>
          <w:tcPr>
            <w:tcW w:w="498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w:t>
            </w:r>
          </w:p>
        </w:tc>
        <w:tc>
          <w:tcPr>
            <w:tcW w:w="2360" w:type="dxa"/>
            <w:vAlign w:val="bottom"/>
            <w:gridSpan w:val="3"/>
          </w:tcPr>
          <w:p>
            <w:pPr>
              <w:ind w:left="1040"/>
              <w:spacing w:after="0"/>
              <w:rPr>
                <w:sz w:val="20"/>
                <w:szCs w:val="20"/>
                <w:color w:val="auto"/>
              </w:rPr>
            </w:pPr>
            <w:r>
              <w:rPr>
                <w:rFonts w:ascii="Arial" w:cs="Arial" w:eastAsia="Arial" w:hAnsi="Arial"/>
                <w:sz w:val="18"/>
                <w:szCs w:val="18"/>
                <w:color w:val="auto"/>
                <w:w w:val="88"/>
              </w:rPr>
              <w:t>February 26, 2016</w:t>
            </w:r>
          </w:p>
        </w:tc>
      </w:tr>
      <w:tr>
        <w:trPr>
          <w:trHeight w:val="27"/>
        </w:trPr>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780" w:type="dxa"/>
            <w:vAlign w:val="bottom"/>
            <w:gridSpan w:val="5"/>
          </w:tcPr>
          <w:p>
            <w:pPr>
              <w:jc w:val="center"/>
              <w:ind w:right="1220"/>
              <w:spacing w:after="0"/>
              <w:rPr>
                <w:sz w:val="20"/>
                <w:szCs w:val="20"/>
                <w:color w:val="auto"/>
              </w:rPr>
            </w:pPr>
            <w:r>
              <w:rPr>
                <w:rFonts w:ascii="Arial" w:cs="Arial" w:eastAsia="Arial" w:hAnsi="Arial"/>
                <w:sz w:val="18"/>
                <w:szCs w:val="18"/>
                <w:b w:val="1"/>
                <w:bCs w:val="1"/>
                <w:color w:val="auto"/>
                <w:w w:val="94"/>
              </w:rPr>
              <w:t>Andrew Del Matto</w:t>
            </w:r>
          </w:p>
        </w:tc>
        <w:tc>
          <w:tcPr>
            <w:tcW w:w="4980" w:type="dxa"/>
            <w:vAlign w:val="bottom"/>
            <w:gridSpan w:val="3"/>
          </w:tcPr>
          <w:p>
            <w:pPr>
              <w:ind w:left="380"/>
              <w:spacing w:after="0"/>
              <w:rPr>
                <w:sz w:val="20"/>
                <w:szCs w:val="20"/>
                <w:color w:val="auto"/>
              </w:rPr>
            </w:pPr>
            <w:r>
              <w:rPr>
                <w:rFonts w:ascii="Arial" w:cs="Arial" w:eastAsia="Arial" w:hAnsi="Arial"/>
                <w:sz w:val="18"/>
                <w:szCs w:val="18"/>
                <w:color w:val="auto"/>
              </w:rPr>
              <w:t>(Principal Financial Officer)</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gridSpan w:val="2"/>
          </w:tcPr>
          <w:p>
            <w:pPr>
              <w:ind w:left="1180"/>
              <w:spacing w:after="0"/>
              <w:rPr>
                <w:sz w:val="20"/>
                <w:szCs w:val="20"/>
                <w:color w:val="auto"/>
              </w:rPr>
            </w:pPr>
            <w:r>
              <w:rPr>
                <w:rFonts w:ascii="Arial" w:cs="Arial" w:eastAsia="Arial" w:hAnsi="Arial"/>
                <w:sz w:val="18"/>
                <w:szCs w:val="18"/>
                <w:color w:val="auto"/>
              </w:rPr>
              <w:t>/s/</w:t>
            </w: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color w:val="auto"/>
                <w:w w:val="88"/>
              </w:rPr>
              <w:t>Keith Jensen</w:t>
            </w:r>
          </w:p>
        </w:tc>
        <w:tc>
          <w:tcPr>
            <w:tcW w:w="4980" w:type="dxa"/>
            <w:vAlign w:val="bottom"/>
            <w:gridSpan w:val="3"/>
          </w:tcPr>
          <w:p>
            <w:pPr>
              <w:ind w:left="380"/>
              <w:spacing w:after="0"/>
              <w:rPr>
                <w:sz w:val="20"/>
                <w:szCs w:val="20"/>
                <w:color w:val="auto"/>
              </w:rPr>
            </w:pPr>
            <w:r>
              <w:rPr>
                <w:rFonts w:ascii="Arial" w:cs="Arial" w:eastAsia="Arial" w:hAnsi="Arial"/>
                <w:sz w:val="18"/>
                <w:szCs w:val="18"/>
                <w:color w:val="auto"/>
              </w:rPr>
              <w:t>Chief Accounting Officer</w:t>
            </w:r>
          </w:p>
        </w:tc>
        <w:tc>
          <w:tcPr>
            <w:tcW w:w="2360" w:type="dxa"/>
            <w:vAlign w:val="bottom"/>
            <w:gridSpan w:val="3"/>
          </w:tcPr>
          <w:p>
            <w:pPr>
              <w:ind w:left="1040"/>
              <w:spacing w:after="0"/>
              <w:rPr>
                <w:sz w:val="20"/>
                <w:szCs w:val="20"/>
                <w:color w:val="auto"/>
              </w:rPr>
            </w:pPr>
            <w:r>
              <w:rPr>
                <w:rFonts w:ascii="Arial" w:cs="Arial" w:eastAsia="Arial" w:hAnsi="Arial"/>
                <w:sz w:val="18"/>
                <w:szCs w:val="18"/>
                <w:color w:val="auto"/>
                <w:w w:val="88"/>
              </w:rPr>
              <w:t>February 26, 2016</w:t>
            </w:r>
          </w:p>
        </w:tc>
      </w:tr>
      <w:tr>
        <w:trPr>
          <w:trHeight w:val="27"/>
        </w:trPr>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89"/>
              </w:rPr>
              <w:t>Keith Jensen</w:t>
            </w:r>
          </w:p>
        </w:tc>
        <w:tc>
          <w:tcPr>
            <w:tcW w:w="4980" w:type="dxa"/>
            <w:vAlign w:val="bottom"/>
            <w:gridSpan w:val="3"/>
          </w:tcPr>
          <w:p>
            <w:pPr>
              <w:ind w:left="380"/>
              <w:spacing w:after="0"/>
              <w:rPr>
                <w:sz w:val="20"/>
                <w:szCs w:val="20"/>
                <w:color w:val="auto"/>
              </w:rPr>
            </w:pPr>
            <w:r>
              <w:rPr>
                <w:rFonts w:ascii="Arial" w:cs="Arial" w:eastAsia="Arial" w:hAnsi="Arial"/>
                <w:sz w:val="18"/>
                <w:szCs w:val="18"/>
                <w:color w:val="auto"/>
              </w:rPr>
              <w:t>(Principal Accounting Officer)</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gridSpan w:val="2"/>
          </w:tcPr>
          <w:p>
            <w:pPr>
              <w:ind w:left="1200"/>
              <w:spacing w:after="0"/>
              <w:rPr>
                <w:sz w:val="20"/>
                <w:szCs w:val="20"/>
                <w:color w:val="auto"/>
              </w:rPr>
            </w:pPr>
            <w:r>
              <w:rPr>
                <w:rFonts w:ascii="Arial" w:cs="Arial" w:eastAsia="Arial" w:hAnsi="Arial"/>
                <w:sz w:val="18"/>
                <w:szCs w:val="18"/>
                <w:color w:val="auto"/>
                <w:w w:val="94"/>
              </w:rPr>
              <w:t>/s/</w:t>
            </w:r>
          </w:p>
        </w:tc>
        <w:tc>
          <w:tcPr>
            <w:tcW w:w="2600" w:type="dxa"/>
            <w:vAlign w:val="bottom"/>
            <w:gridSpan w:val="4"/>
          </w:tcPr>
          <w:p>
            <w:pPr>
              <w:jc w:val="center"/>
              <w:ind w:right="1420"/>
              <w:spacing w:after="0"/>
              <w:rPr>
                <w:sz w:val="20"/>
                <w:szCs w:val="20"/>
                <w:color w:val="auto"/>
              </w:rPr>
            </w:pPr>
            <w:r>
              <w:rPr>
                <w:rFonts w:ascii="Arial" w:cs="Arial" w:eastAsia="Arial" w:hAnsi="Arial"/>
                <w:sz w:val="18"/>
                <w:szCs w:val="18"/>
                <w:color w:val="auto"/>
                <w:w w:val="96"/>
              </w:rPr>
              <w:t>Michael Xie</w:t>
            </w:r>
          </w:p>
        </w:tc>
        <w:tc>
          <w:tcPr>
            <w:tcW w:w="4980" w:type="dxa"/>
            <w:vAlign w:val="bottom"/>
            <w:gridSpan w:val="3"/>
          </w:tcPr>
          <w:p>
            <w:pPr>
              <w:ind w:left="380"/>
              <w:spacing w:after="0"/>
              <w:rPr>
                <w:sz w:val="20"/>
                <w:szCs w:val="20"/>
                <w:color w:val="auto"/>
              </w:rPr>
            </w:pPr>
            <w:r>
              <w:rPr>
                <w:rFonts w:ascii="Arial" w:cs="Arial" w:eastAsia="Arial" w:hAnsi="Arial"/>
                <w:sz w:val="18"/>
                <w:szCs w:val="18"/>
                <w:color w:val="auto"/>
              </w:rPr>
              <w:t>President, Chief Technology Officer and Director</w:t>
            </w:r>
          </w:p>
        </w:tc>
        <w:tc>
          <w:tcPr>
            <w:tcW w:w="2360" w:type="dxa"/>
            <w:vAlign w:val="bottom"/>
            <w:gridSpan w:val="3"/>
          </w:tcPr>
          <w:p>
            <w:pPr>
              <w:ind w:left="1040"/>
              <w:spacing w:after="0"/>
              <w:rPr>
                <w:sz w:val="20"/>
                <w:szCs w:val="20"/>
                <w:color w:val="auto"/>
              </w:rPr>
            </w:pPr>
            <w:r>
              <w:rPr>
                <w:rFonts w:ascii="Arial" w:cs="Arial" w:eastAsia="Arial" w:hAnsi="Arial"/>
                <w:sz w:val="18"/>
                <w:szCs w:val="18"/>
                <w:color w:val="auto"/>
                <w:w w:val="88"/>
              </w:rPr>
              <w:t>February 26, 2016</w:t>
            </w:r>
          </w:p>
        </w:tc>
      </w:tr>
      <w:tr>
        <w:trPr>
          <w:trHeight w:val="27"/>
        </w:trPr>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3"/>
              </w:rPr>
              <w:t>Michael Xie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2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3"/>
              </w:rPr>
              <w:t>/s/</w:t>
            </w:r>
          </w:p>
        </w:tc>
        <w:tc>
          <w:tcPr>
            <w:tcW w:w="160" w:type="dxa"/>
            <w:vAlign w:val="bottom"/>
          </w:tcPr>
          <w:p>
            <w:pPr>
              <w:spacing w:after="0"/>
              <w:rPr>
                <w:sz w:val="24"/>
                <w:szCs w:val="24"/>
                <w:color w:val="auto"/>
              </w:rPr>
            </w:pPr>
          </w:p>
        </w:tc>
        <w:tc>
          <w:tcPr>
            <w:tcW w:w="2440" w:type="dxa"/>
            <w:vAlign w:val="bottom"/>
            <w:gridSpan w:val="3"/>
          </w:tcPr>
          <w:p>
            <w:pPr>
              <w:jc w:val="center"/>
              <w:ind w:right="1580"/>
              <w:spacing w:after="0"/>
              <w:rPr>
                <w:sz w:val="20"/>
                <w:szCs w:val="20"/>
                <w:color w:val="auto"/>
              </w:rPr>
            </w:pPr>
            <w:r>
              <w:rPr>
                <w:rFonts w:ascii="Arial" w:cs="Arial" w:eastAsia="Arial" w:hAnsi="Arial"/>
                <w:sz w:val="18"/>
                <w:szCs w:val="18"/>
                <w:color w:val="auto"/>
                <w:w w:val="95"/>
              </w:rPr>
              <w:t>Ming Hsieh</w:t>
            </w:r>
          </w:p>
        </w:tc>
        <w:tc>
          <w:tcPr>
            <w:tcW w:w="49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1040"/>
              <w:spacing w:after="0"/>
              <w:rPr>
                <w:sz w:val="20"/>
                <w:szCs w:val="20"/>
                <w:color w:val="auto"/>
              </w:rPr>
            </w:pPr>
            <w:r>
              <w:rPr>
                <w:rFonts w:ascii="Arial" w:cs="Arial" w:eastAsia="Arial" w:hAnsi="Arial"/>
                <w:sz w:val="18"/>
                <w:szCs w:val="18"/>
                <w:color w:val="auto"/>
                <w:w w:val="88"/>
              </w:rPr>
              <w:t>February 26, 2016</w:t>
            </w:r>
          </w:p>
        </w:tc>
      </w:tr>
      <w:tr>
        <w:trPr>
          <w:trHeight w:val="27"/>
        </w:trPr>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1"/>
              </w:rPr>
              <w:t>Ming Hsieh</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73"/>
              </w:rPr>
              <w:t>/s/</w:t>
            </w:r>
          </w:p>
        </w:tc>
        <w:tc>
          <w:tcPr>
            <w:tcW w:w="60" w:type="dxa"/>
            <w:vAlign w:val="bottom"/>
          </w:tcPr>
          <w:p>
            <w:pPr>
              <w:spacing w:after="0"/>
              <w:rPr>
                <w:sz w:val="24"/>
                <w:szCs w:val="24"/>
                <w:color w:val="auto"/>
              </w:rPr>
            </w:pPr>
          </w:p>
        </w:tc>
        <w:tc>
          <w:tcPr>
            <w:tcW w:w="2380" w:type="dxa"/>
            <w:vAlign w:val="bottom"/>
            <w:gridSpan w:val="2"/>
          </w:tcPr>
          <w:p>
            <w:pPr>
              <w:jc w:val="center"/>
              <w:ind w:right="1280"/>
              <w:spacing w:after="0"/>
              <w:rPr>
                <w:sz w:val="20"/>
                <w:szCs w:val="20"/>
                <w:color w:val="auto"/>
              </w:rPr>
            </w:pPr>
            <w:r>
              <w:rPr>
                <w:rFonts w:ascii="Arial" w:cs="Arial" w:eastAsia="Arial" w:hAnsi="Arial"/>
                <w:sz w:val="18"/>
                <w:szCs w:val="18"/>
                <w:color w:val="auto"/>
                <w:w w:val="93"/>
              </w:rPr>
              <w:t>Gary Locke</w:t>
            </w:r>
          </w:p>
        </w:tc>
        <w:tc>
          <w:tcPr>
            <w:tcW w:w="49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1040"/>
              <w:spacing w:after="0"/>
              <w:rPr>
                <w:sz w:val="20"/>
                <w:szCs w:val="20"/>
                <w:color w:val="auto"/>
              </w:rPr>
            </w:pPr>
            <w:r>
              <w:rPr>
                <w:rFonts w:ascii="Arial" w:cs="Arial" w:eastAsia="Arial" w:hAnsi="Arial"/>
                <w:sz w:val="18"/>
                <w:szCs w:val="18"/>
                <w:color w:val="auto"/>
                <w:w w:val="88"/>
              </w:rPr>
              <w:t>February 26, 2016</w:t>
            </w:r>
          </w:p>
        </w:tc>
      </w:tr>
      <w:tr>
        <w:trPr>
          <w:trHeight w:val="27"/>
        </w:trPr>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3"/>
              </w:rPr>
              <w:t>Gary Locke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gridSpan w:val="2"/>
          </w:tcPr>
          <w:p>
            <w:pPr>
              <w:ind w:left="1100"/>
              <w:spacing w:after="0"/>
              <w:rPr>
                <w:sz w:val="20"/>
                <w:szCs w:val="20"/>
                <w:color w:val="auto"/>
              </w:rPr>
            </w:pPr>
            <w:r>
              <w:rPr>
                <w:rFonts w:ascii="Arial" w:cs="Arial" w:eastAsia="Arial" w:hAnsi="Arial"/>
                <w:sz w:val="18"/>
                <w:szCs w:val="18"/>
                <w:color w:val="auto"/>
              </w:rPr>
              <w:t>/s/</w:t>
            </w:r>
          </w:p>
        </w:tc>
        <w:tc>
          <w:tcPr>
            <w:tcW w:w="2600" w:type="dxa"/>
            <w:vAlign w:val="bottom"/>
            <w:gridSpan w:val="4"/>
          </w:tcPr>
          <w:p>
            <w:pPr>
              <w:jc w:val="center"/>
              <w:ind w:right="1060"/>
              <w:spacing w:after="0"/>
              <w:rPr>
                <w:sz w:val="20"/>
                <w:szCs w:val="20"/>
                <w:color w:val="auto"/>
              </w:rPr>
            </w:pPr>
            <w:r>
              <w:rPr>
                <w:rFonts w:ascii="Arial" w:cs="Arial" w:eastAsia="Arial" w:hAnsi="Arial"/>
                <w:sz w:val="18"/>
                <w:szCs w:val="18"/>
                <w:color w:val="auto"/>
                <w:w w:val="95"/>
              </w:rPr>
              <w:t>William H. Neukom</w:t>
            </w:r>
          </w:p>
        </w:tc>
        <w:tc>
          <w:tcPr>
            <w:tcW w:w="49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1040"/>
              <w:spacing w:after="0"/>
              <w:rPr>
                <w:sz w:val="20"/>
                <w:szCs w:val="20"/>
                <w:color w:val="auto"/>
              </w:rPr>
            </w:pPr>
            <w:r>
              <w:rPr>
                <w:rFonts w:ascii="Arial" w:cs="Arial" w:eastAsia="Arial" w:hAnsi="Arial"/>
                <w:sz w:val="18"/>
                <w:szCs w:val="18"/>
                <w:color w:val="auto"/>
                <w:w w:val="88"/>
              </w:rPr>
              <w:t>February 26, 2016</w:t>
            </w:r>
          </w:p>
        </w:tc>
      </w:tr>
      <w:tr>
        <w:trPr>
          <w:trHeight w:val="27"/>
        </w:trPr>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780" w:type="dxa"/>
            <w:vAlign w:val="bottom"/>
            <w:gridSpan w:val="5"/>
          </w:tcPr>
          <w:p>
            <w:pPr>
              <w:jc w:val="center"/>
              <w:ind w:right="1220"/>
              <w:spacing w:after="0"/>
              <w:rPr>
                <w:sz w:val="20"/>
                <w:szCs w:val="20"/>
                <w:color w:val="auto"/>
              </w:rPr>
            </w:pPr>
            <w:r>
              <w:rPr>
                <w:rFonts w:ascii="Arial" w:cs="Arial" w:eastAsia="Arial" w:hAnsi="Arial"/>
                <w:sz w:val="18"/>
                <w:szCs w:val="18"/>
                <w:b w:val="1"/>
                <w:bCs w:val="1"/>
                <w:color w:val="auto"/>
                <w:w w:val="96"/>
              </w:rPr>
              <w:t>William H. Neukom</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220" w:type="dxa"/>
            <w:vAlign w:val="bottom"/>
          </w:tcPr>
          <w:p>
            <w:pPr>
              <w:ind w:left="1040"/>
              <w:spacing w:after="0"/>
              <w:rPr>
                <w:sz w:val="20"/>
                <w:szCs w:val="20"/>
                <w:color w:val="auto"/>
              </w:rPr>
            </w:pPr>
            <w:r>
              <w:rPr>
                <w:rFonts w:ascii="Arial" w:cs="Arial" w:eastAsia="Arial" w:hAnsi="Arial"/>
                <w:sz w:val="18"/>
                <w:szCs w:val="18"/>
                <w:color w:val="auto"/>
                <w:w w:val="83"/>
              </w:rPr>
              <w:t>/s/</w:t>
            </w:r>
          </w:p>
        </w:tc>
        <w:tc>
          <w:tcPr>
            <w:tcW w:w="2780" w:type="dxa"/>
            <w:vAlign w:val="bottom"/>
            <w:gridSpan w:val="5"/>
          </w:tcPr>
          <w:p>
            <w:pPr>
              <w:jc w:val="center"/>
              <w:ind w:right="920"/>
              <w:spacing w:after="0"/>
              <w:rPr>
                <w:sz w:val="20"/>
                <w:szCs w:val="20"/>
                <w:color w:val="auto"/>
              </w:rPr>
            </w:pPr>
            <w:r>
              <w:rPr>
                <w:rFonts w:ascii="Arial" w:cs="Arial" w:eastAsia="Arial" w:hAnsi="Arial"/>
                <w:sz w:val="18"/>
                <w:szCs w:val="18"/>
                <w:color w:val="auto"/>
                <w:w w:val="90"/>
              </w:rPr>
              <w:t>Christopher B. Paisley</w:t>
            </w:r>
          </w:p>
        </w:tc>
        <w:tc>
          <w:tcPr>
            <w:tcW w:w="49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1040"/>
              <w:spacing w:after="0"/>
              <w:rPr>
                <w:sz w:val="20"/>
                <w:szCs w:val="20"/>
                <w:color w:val="auto"/>
              </w:rPr>
            </w:pPr>
            <w:r>
              <w:rPr>
                <w:rFonts w:ascii="Arial" w:cs="Arial" w:eastAsia="Arial" w:hAnsi="Arial"/>
                <w:sz w:val="18"/>
                <w:szCs w:val="18"/>
                <w:color w:val="auto"/>
                <w:w w:val="88"/>
              </w:rPr>
              <w:t>February 26, 2016</w:t>
            </w:r>
          </w:p>
        </w:tc>
      </w:tr>
      <w:tr>
        <w:trPr>
          <w:trHeight w:val="27"/>
        </w:trPr>
        <w:tc>
          <w:tcPr>
            <w:tcW w:w="162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Christopher B. Paisley</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54"/>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color w:val="auto"/>
                <w:w w:val="92"/>
              </w:rPr>
              <w:t>/s/ Judith Sim</w:t>
            </w:r>
          </w:p>
        </w:tc>
        <w:tc>
          <w:tcPr>
            <w:tcW w:w="49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1040"/>
              <w:spacing w:after="0"/>
              <w:rPr>
                <w:sz w:val="20"/>
                <w:szCs w:val="20"/>
                <w:color w:val="auto"/>
              </w:rPr>
            </w:pPr>
            <w:r>
              <w:rPr>
                <w:rFonts w:ascii="Arial" w:cs="Arial" w:eastAsia="Arial" w:hAnsi="Arial"/>
                <w:sz w:val="18"/>
                <w:szCs w:val="18"/>
                <w:color w:val="auto"/>
                <w:w w:val="88"/>
              </w:rPr>
              <w:t>February 26, 2016</w:t>
            </w:r>
          </w:p>
        </w:tc>
      </w:tr>
      <w:tr>
        <w:trPr>
          <w:trHeight w:val="27"/>
        </w:trPr>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Judith Sim</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702"/>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tcPr>
          <w:p>
            <w:pPr>
              <w:ind w:left="158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340"/>
          </w:cols>
          <w:pgMar w:left="240" w:top="121" w:right="31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tcPr>
          <w:p>
            <w:pPr>
              <w:ind w:left="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402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Incorporated by reference herein</w:t>
            </w:r>
          </w:p>
        </w:tc>
        <w:tc>
          <w:tcPr>
            <w:tcW w:w="0" w:type="dxa"/>
            <w:vAlign w:val="bottom"/>
          </w:tcPr>
          <w:p>
            <w:pPr>
              <w:spacing w:after="0"/>
              <w:rPr>
                <w:sz w:val="1"/>
                <w:szCs w:val="1"/>
                <w:color w:val="auto"/>
              </w:rPr>
            </w:pPr>
          </w:p>
        </w:tc>
      </w:tr>
      <w:tr>
        <w:trPr>
          <w:trHeight w:val="192"/>
        </w:trPr>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4020" w:type="dxa"/>
            <w:vAlign w:val="bottom"/>
            <w:gridSpan w:val="2"/>
            <w:vMerge w:val="continue"/>
          </w:tcPr>
          <w:p>
            <w:pPr>
              <w:spacing w:after="0"/>
              <w:rPr>
                <w:sz w:val="16"/>
                <w:szCs w:val="16"/>
                <w:color w:val="auto"/>
              </w:rPr>
            </w:pPr>
          </w:p>
        </w:tc>
        <w:tc>
          <w:tcPr>
            <w:tcW w:w="3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Borders>
              <w:top w:val="single" w:sz="8" w:color="auto"/>
            </w:tcBorders>
          </w:tcPr>
          <w:p>
            <w:pPr>
              <w:ind w:left="1760"/>
              <w:spacing w:after="0"/>
              <w:rPr>
                <w:sz w:val="20"/>
                <w:szCs w:val="20"/>
                <w:color w:val="auto"/>
              </w:rPr>
            </w:pPr>
            <w:r>
              <w:rPr>
                <w:rFonts w:ascii="Arial" w:cs="Arial" w:eastAsia="Arial" w:hAnsi="Arial"/>
                <w:sz w:val="14"/>
                <w:szCs w:val="14"/>
                <w:b w:val="1"/>
                <w:bCs w:val="1"/>
                <w:color w:val="auto"/>
              </w:rPr>
              <w:t>Form</w:t>
            </w:r>
          </w:p>
        </w:tc>
        <w:tc>
          <w:tcPr>
            <w:tcW w:w="0" w:type="dxa"/>
            <w:vAlign w:val="bottom"/>
          </w:tcPr>
          <w:p>
            <w:pPr>
              <w:spacing w:after="0"/>
              <w:rPr>
                <w:sz w:val="1"/>
                <w:szCs w:val="1"/>
                <w:color w:val="auto"/>
              </w:rPr>
            </w:pPr>
          </w:p>
        </w:tc>
      </w:tr>
      <w:tr>
        <w:trPr>
          <w:trHeight w:val="290"/>
        </w:trPr>
        <w:tc>
          <w:tcPr>
            <w:tcW w:w="820" w:type="dxa"/>
            <w:vAlign w:val="bottom"/>
          </w:tcPr>
          <w:p>
            <w:pPr>
              <w:ind w:left="4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Agreement and Plan of Merger, dated May 27, 2015, by and</w:t>
            </w:r>
          </w:p>
        </w:tc>
        <w:tc>
          <w:tcPr>
            <w:tcW w:w="3860" w:type="dxa"/>
            <w:vAlign w:val="bottom"/>
          </w:tcPr>
          <w:p>
            <w:pPr>
              <w:ind w:left="20"/>
              <w:spacing w:after="0"/>
              <w:rPr>
                <w:sz w:val="20"/>
                <w:szCs w:val="20"/>
                <w:color w:val="auto"/>
              </w:rPr>
            </w:pPr>
            <w:r>
              <w:rPr>
                <w:rFonts w:ascii="Arial" w:cs="Arial" w:eastAsia="Arial" w:hAnsi="Arial"/>
                <w:sz w:val="14"/>
                <w:szCs w:val="14"/>
                <w:color w:val="auto"/>
              </w:rPr>
              <w:t>Current Report on Form 8-K (File No. 001-34511)</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among Fortinet, Inc., Malbrouck Acquisition Corp. and Meru</w:t>
            </w: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Networks, Inc.</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Amended and Restated Certificate of Incorporation</w:t>
            </w:r>
          </w:p>
        </w:tc>
        <w:tc>
          <w:tcPr>
            <w:tcW w:w="3860" w:type="dxa"/>
            <w:vAlign w:val="bottom"/>
          </w:tcPr>
          <w:p>
            <w:pPr>
              <w:ind w:left="20"/>
              <w:spacing w:after="0"/>
              <w:rPr>
                <w:sz w:val="20"/>
                <w:szCs w:val="20"/>
                <w:color w:val="auto"/>
              </w:rPr>
            </w:pPr>
            <w:r>
              <w:rPr>
                <w:rFonts w:ascii="Arial" w:cs="Arial" w:eastAsia="Arial" w:hAnsi="Arial"/>
                <w:sz w:val="14"/>
                <w:szCs w:val="14"/>
                <w:color w:val="auto"/>
              </w:rPr>
              <w:t>Registration Statement on Form S-l (File No. 333-161190)</w:t>
            </w:r>
          </w:p>
        </w:tc>
        <w:tc>
          <w:tcPr>
            <w:tcW w:w="0" w:type="dxa"/>
            <w:vAlign w:val="bottom"/>
          </w:tcPr>
          <w:p>
            <w:pPr>
              <w:spacing w:after="0"/>
              <w:rPr>
                <w:sz w:val="1"/>
                <w:szCs w:val="1"/>
                <w:color w:val="auto"/>
              </w:rPr>
            </w:pPr>
          </w:p>
        </w:tc>
      </w:tr>
      <w:tr>
        <w:trPr>
          <w:trHeight w:val="392"/>
        </w:trPr>
        <w:tc>
          <w:tcPr>
            <w:tcW w:w="82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Bylaws</w:t>
            </w:r>
          </w:p>
        </w:tc>
        <w:tc>
          <w:tcPr>
            <w:tcW w:w="3860" w:type="dxa"/>
            <w:vAlign w:val="bottom"/>
          </w:tcPr>
          <w:p>
            <w:pPr>
              <w:ind w:left="20"/>
              <w:spacing w:after="0"/>
              <w:rPr>
                <w:sz w:val="20"/>
                <w:szCs w:val="20"/>
                <w:color w:val="auto"/>
              </w:rPr>
            </w:pPr>
            <w:r>
              <w:rPr>
                <w:rFonts w:ascii="Arial" w:cs="Arial" w:eastAsia="Arial" w:hAnsi="Arial"/>
                <w:sz w:val="14"/>
                <w:szCs w:val="14"/>
                <w:color w:val="auto"/>
              </w:rPr>
              <w:t>Current Report on Form 8-K (File No. 001-34511)</w:t>
            </w:r>
          </w:p>
        </w:tc>
        <w:tc>
          <w:tcPr>
            <w:tcW w:w="0" w:type="dxa"/>
            <w:vAlign w:val="bottom"/>
          </w:tcPr>
          <w:p>
            <w:pPr>
              <w:spacing w:after="0"/>
              <w:rPr>
                <w:sz w:val="1"/>
                <w:szCs w:val="1"/>
                <w:color w:val="auto"/>
              </w:rPr>
            </w:pPr>
          </w:p>
        </w:tc>
      </w:tr>
      <w:tr>
        <w:trPr>
          <w:trHeight w:val="358"/>
        </w:trPr>
        <w:tc>
          <w:tcPr>
            <w:tcW w:w="820" w:type="dxa"/>
            <w:vAlign w:val="bottom"/>
          </w:tcPr>
          <w:p>
            <w:pPr>
              <w:ind w:left="4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Specimen common stock certificate of the Company</w:t>
            </w:r>
          </w:p>
        </w:tc>
        <w:tc>
          <w:tcPr>
            <w:tcW w:w="3860" w:type="dxa"/>
            <w:vAlign w:val="bottom"/>
          </w:tcPr>
          <w:p>
            <w:pPr>
              <w:ind w:left="20"/>
              <w:spacing w:after="0"/>
              <w:rPr>
                <w:sz w:val="20"/>
                <w:szCs w:val="20"/>
                <w:color w:val="auto"/>
              </w:rPr>
            </w:pPr>
            <w:r>
              <w:rPr>
                <w:rFonts w:ascii="Arial" w:cs="Arial" w:eastAsia="Arial" w:hAnsi="Arial"/>
                <w:sz w:val="14"/>
                <w:szCs w:val="14"/>
                <w:color w:val="auto"/>
                <w:w w:val="97"/>
              </w:rPr>
              <w:t>Registration Statement on Form S-l, as amended (File No. 333-</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161190)</w:t>
            </w:r>
          </w:p>
        </w:tc>
        <w:tc>
          <w:tcPr>
            <w:tcW w:w="0" w:type="dxa"/>
            <w:vAlign w:val="bottom"/>
          </w:tcPr>
          <w:p>
            <w:pPr>
              <w:spacing w:after="0"/>
              <w:rPr>
                <w:sz w:val="1"/>
                <w:szCs w:val="1"/>
                <w:color w:val="auto"/>
              </w:rPr>
            </w:pPr>
          </w:p>
        </w:tc>
      </w:tr>
      <w:tr>
        <w:trPr>
          <w:trHeight w:val="290"/>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w:t>
            </w:r>
            <w:r>
              <w:rPr>
                <w:rFonts w:ascii="Arial" w:cs="Arial" w:eastAsia="Arial" w:hAnsi="Arial"/>
                <w:sz w:val="8"/>
                <w:szCs w:val="8"/>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Forms of Indemnification Agreement between the Company and</w:t>
            </w:r>
          </w:p>
        </w:tc>
        <w:tc>
          <w:tcPr>
            <w:tcW w:w="3860" w:type="dxa"/>
            <w:vAlign w:val="bottom"/>
          </w:tcPr>
          <w:p>
            <w:pPr>
              <w:ind w:left="20"/>
              <w:spacing w:after="0"/>
              <w:rPr>
                <w:sz w:val="20"/>
                <w:szCs w:val="20"/>
                <w:color w:val="auto"/>
              </w:rPr>
            </w:pPr>
            <w:r>
              <w:rPr>
                <w:rFonts w:ascii="Arial" w:cs="Arial" w:eastAsia="Arial" w:hAnsi="Arial"/>
                <w:sz w:val="14"/>
                <w:szCs w:val="14"/>
                <w:color w:val="auto"/>
              </w:rPr>
              <w:t>Registration Statement on Form S-l (File No. 333-161190)</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its directors and officers</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10.2</w:t>
            </w:r>
            <w:r>
              <w:rPr>
                <w:rFonts w:ascii="Arial" w:cs="Arial" w:eastAsia="Arial" w:hAnsi="Arial"/>
                <w:sz w:val="8"/>
                <w:szCs w:val="8"/>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2000 Stock Plan and forms of agreement thereunder</w:t>
            </w:r>
          </w:p>
        </w:tc>
        <w:tc>
          <w:tcPr>
            <w:tcW w:w="3860" w:type="dxa"/>
            <w:vAlign w:val="bottom"/>
          </w:tcPr>
          <w:p>
            <w:pPr>
              <w:ind w:left="20"/>
              <w:spacing w:after="0"/>
              <w:rPr>
                <w:sz w:val="20"/>
                <w:szCs w:val="20"/>
                <w:color w:val="auto"/>
              </w:rPr>
            </w:pPr>
            <w:r>
              <w:rPr>
                <w:rFonts w:ascii="Arial" w:cs="Arial" w:eastAsia="Arial" w:hAnsi="Arial"/>
                <w:sz w:val="14"/>
                <w:szCs w:val="14"/>
                <w:color w:val="auto"/>
              </w:rPr>
              <w:t>Registration Statement on Form S-l (File No. 333-161190)</w:t>
            </w: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10.3</w:t>
            </w:r>
            <w:r>
              <w:rPr>
                <w:rFonts w:ascii="Arial" w:cs="Arial" w:eastAsia="Arial" w:hAnsi="Arial"/>
                <w:sz w:val="8"/>
                <w:szCs w:val="8"/>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2008 Stock Plan and forms of agreement thereunder</w:t>
            </w:r>
          </w:p>
        </w:tc>
        <w:tc>
          <w:tcPr>
            <w:tcW w:w="3860" w:type="dxa"/>
            <w:vAlign w:val="bottom"/>
          </w:tcPr>
          <w:p>
            <w:pPr>
              <w:ind w:left="20"/>
              <w:spacing w:after="0"/>
              <w:rPr>
                <w:sz w:val="20"/>
                <w:szCs w:val="20"/>
                <w:color w:val="auto"/>
              </w:rPr>
            </w:pPr>
            <w:r>
              <w:rPr>
                <w:rFonts w:ascii="Arial" w:cs="Arial" w:eastAsia="Arial" w:hAnsi="Arial"/>
                <w:sz w:val="14"/>
                <w:szCs w:val="14"/>
                <w:color w:val="auto"/>
              </w:rPr>
              <w:t>Registration Statement on Form S-l (File No. 333-161190)</w:t>
            </w:r>
          </w:p>
        </w:tc>
        <w:tc>
          <w:tcPr>
            <w:tcW w:w="0" w:type="dxa"/>
            <w:vAlign w:val="bottom"/>
          </w:tcPr>
          <w:p>
            <w:pPr>
              <w:spacing w:after="0"/>
              <w:rPr>
                <w:sz w:val="1"/>
                <w:szCs w:val="1"/>
                <w:color w:val="auto"/>
              </w:rPr>
            </w:pPr>
          </w:p>
        </w:tc>
      </w:tr>
      <w:tr>
        <w:trPr>
          <w:trHeight w:val="358"/>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10.4</w:t>
            </w:r>
            <w:r>
              <w:rPr>
                <w:rFonts w:ascii="Arial" w:cs="Arial" w:eastAsia="Arial" w:hAnsi="Arial"/>
                <w:sz w:val="8"/>
                <w:szCs w:val="8"/>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2009 Equity Incentive Plan and forms of restricted stock unit</w:t>
            </w:r>
          </w:p>
        </w:tc>
        <w:tc>
          <w:tcPr>
            <w:tcW w:w="3860" w:type="dxa"/>
            <w:vAlign w:val="bottom"/>
          </w:tcPr>
          <w:p>
            <w:pPr>
              <w:ind w:left="20"/>
              <w:spacing w:after="0"/>
              <w:rPr>
                <w:sz w:val="20"/>
                <w:szCs w:val="20"/>
                <w:color w:val="auto"/>
              </w:rPr>
            </w:pPr>
            <w:r>
              <w:rPr>
                <w:rFonts w:ascii="Arial" w:cs="Arial" w:eastAsia="Arial" w:hAnsi="Arial"/>
                <w:sz w:val="14"/>
                <w:szCs w:val="14"/>
                <w:color w:val="auto"/>
              </w:rPr>
              <w:t>Registration Statement on Form S-l (File No. 333-161190)</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award and restricted stock agreement thereunder</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10.5</w:t>
            </w:r>
            <w:r>
              <w:rPr>
                <w:rFonts w:ascii="Arial" w:cs="Arial" w:eastAsia="Arial" w:hAnsi="Arial"/>
                <w:sz w:val="8"/>
                <w:szCs w:val="8"/>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Forms of stock option agreement under 2009 Equity Incentive</w:t>
            </w:r>
          </w:p>
        </w:tc>
        <w:tc>
          <w:tcPr>
            <w:tcW w:w="386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Plan</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10.6</w:t>
            </w:r>
            <w:r>
              <w:rPr>
                <w:rFonts w:ascii="Arial" w:cs="Arial" w:eastAsia="Arial" w:hAnsi="Arial"/>
                <w:sz w:val="8"/>
                <w:szCs w:val="8"/>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Form of performance stock unit award agreement under 2009</w:t>
            </w:r>
          </w:p>
        </w:tc>
        <w:tc>
          <w:tcPr>
            <w:tcW w:w="386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Equity Incentive Plan</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10.7</w:t>
            </w:r>
            <w:r>
              <w:rPr>
                <w:rFonts w:ascii="Arial" w:cs="Arial" w:eastAsia="Arial" w:hAnsi="Arial"/>
                <w:sz w:val="8"/>
                <w:szCs w:val="8"/>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Forms of restricted stock unit award and performance stock unit</w:t>
            </w:r>
          </w:p>
        </w:tc>
        <w:tc>
          <w:tcPr>
            <w:tcW w:w="386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award agreement under 2009 Equity Incentive Plan (Additional</w:t>
            </w: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Forms)</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10.8</w:t>
            </w:r>
            <w:r>
              <w:rPr>
                <w:rFonts w:ascii="Arial" w:cs="Arial" w:eastAsia="Arial" w:hAnsi="Arial"/>
                <w:sz w:val="8"/>
                <w:szCs w:val="8"/>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Fortinet, Inc. 2011 Employee Stock Purchase Plan</w:t>
            </w:r>
          </w:p>
        </w:tc>
        <w:tc>
          <w:tcPr>
            <w:tcW w:w="3860" w:type="dxa"/>
            <w:vAlign w:val="bottom"/>
          </w:tcPr>
          <w:p>
            <w:pPr>
              <w:ind w:left="20"/>
              <w:spacing w:after="0"/>
              <w:rPr>
                <w:sz w:val="20"/>
                <w:szCs w:val="20"/>
                <w:color w:val="auto"/>
              </w:rPr>
            </w:pPr>
            <w:r>
              <w:rPr>
                <w:rFonts w:ascii="Arial" w:cs="Arial" w:eastAsia="Arial" w:hAnsi="Arial"/>
                <w:sz w:val="14"/>
                <w:szCs w:val="14"/>
                <w:color w:val="auto"/>
              </w:rPr>
              <w:t>Current Report on Form 8-K (File No. 001-34511)</w:t>
            </w: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10.9</w:t>
            </w:r>
            <w:r>
              <w:rPr>
                <w:rFonts w:ascii="Arial" w:cs="Arial" w:eastAsia="Arial" w:hAnsi="Arial"/>
                <w:sz w:val="8"/>
                <w:szCs w:val="8"/>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Meru Networks, Inc. 2010 Equity Incentive Plan</w:t>
            </w:r>
          </w:p>
        </w:tc>
        <w:tc>
          <w:tcPr>
            <w:tcW w:w="3860" w:type="dxa"/>
            <w:vAlign w:val="bottom"/>
          </w:tcPr>
          <w:p>
            <w:pPr>
              <w:ind w:left="20"/>
              <w:spacing w:after="0"/>
              <w:rPr>
                <w:sz w:val="20"/>
                <w:szCs w:val="20"/>
                <w:color w:val="auto"/>
              </w:rPr>
            </w:pPr>
            <w:r>
              <w:rPr>
                <w:rFonts w:ascii="Arial" w:cs="Arial" w:eastAsia="Arial" w:hAnsi="Arial"/>
                <w:sz w:val="14"/>
                <w:szCs w:val="14"/>
                <w:color w:val="auto"/>
              </w:rPr>
              <w:t>Registration Statement on Form S-8 (File No. 333-205958)</w:t>
            </w:r>
          </w:p>
        </w:tc>
        <w:tc>
          <w:tcPr>
            <w:tcW w:w="0" w:type="dxa"/>
            <w:vAlign w:val="bottom"/>
          </w:tcPr>
          <w:p>
            <w:pPr>
              <w:spacing w:after="0"/>
              <w:rPr>
                <w:sz w:val="1"/>
                <w:szCs w:val="1"/>
                <w:color w:val="auto"/>
              </w:rPr>
            </w:pPr>
          </w:p>
        </w:tc>
      </w:tr>
      <w:tr>
        <w:trPr>
          <w:trHeight w:val="473"/>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10.10</w:t>
            </w:r>
            <w:r>
              <w:rPr>
                <w:rFonts w:ascii="Arial" w:cs="Arial" w:eastAsia="Arial" w:hAnsi="Arial"/>
                <w:sz w:val="8"/>
                <w:szCs w:val="8"/>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w w:val="98"/>
              </w:rPr>
              <w:t>Meru Networks, Inc. 2013 New Employee Stock Inducement Plan</w:t>
            </w:r>
          </w:p>
        </w:tc>
        <w:tc>
          <w:tcPr>
            <w:tcW w:w="3860" w:type="dxa"/>
            <w:vAlign w:val="bottom"/>
          </w:tcPr>
          <w:p>
            <w:pPr>
              <w:ind w:left="20"/>
              <w:spacing w:after="0"/>
              <w:rPr>
                <w:sz w:val="20"/>
                <w:szCs w:val="20"/>
                <w:color w:val="auto"/>
              </w:rPr>
            </w:pPr>
            <w:r>
              <w:rPr>
                <w:rFonts w:ascii="Arial" w:cs="Arial" w:eastAsia="Arial" w:hAnsi="Arial"/>
                <w:sz w:val="14"/>
                <w:szCs w:val="14"/>
                <w:color w:val="auto"/>
              </w:rPr>
              <w:t>Registration Statement on Form S-8 (File No. 333-205958)</w:t>
            </w:r>
          </w:p>
        </w:tc>
        <w:tc>
          <w:tcPr>
            <w:tcW w:w="0" w:type="dxa"/>
            <w:vAlign w:val="bottom"/>
          </w:tcPr>
          <w:p>
            <w:pPr>
              <w:spacing w:after="0"/>
              <w:rPr>
                <w:sz w:val="1"/>
                <w:szCs w:val="1"/>
                <w:color w:val="auto"/>
              </w:rPr>
            </w:pPr>
          </w:p>
        </w:tc>
      </w:tr>
      <w:tr>
        <w:trPr>
          <w:trHeight w:val="439"/>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10.11</w:t>
            </w:r>
            <w:r>
              <w:rPr>
                <w:rFonts w:ascii="Arial" w:cs="Arial" w:eastAsia="Arial" w:hAnsi="Arial"/>
                <w:sz w:val="8"/>
                <w:szCs w:val="8"/>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Forms of Fortinet, Inc. Restricted Stock Unit Assumption</w:t>
            </w:r>
          </w:p>
        </w:tc>
        <w:tc>
          <w:tcPr>
            <w:tcW w:w="3860" w:type="dxa"/>
            <w:vAlign w:val="bottom"/>
          </w:tcPr>
          <w:p>
            <w:pPr>
              <w:ind w:left="20"/>
              <w:spacing w:after="0"/>
              <w:rPr>
                <w:sz w:val="20"/>
                <w:szCs w:val="20"/>
                <w:color w:val="auto"/>
              </w:rPr>
            </w:pPr>
            <w:r>
              <w:rPr>
                <w:rFonts w:ascii="Arial" w:cs="Arial" w:eastAsia="Arial" w:hAnsi="Arial"/>
                <w:sz w:val="14"/>
                <w:szCs w:val="14"/>
                <w:color w:val="auto"/>
              </w:rPr>
              <w:t>Registration Statement on Form S-8 (File No. 333-205958)</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Agreement</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3"/>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10.12</w:t>
            </w:r>
            <w:r>
              <w:rPr>
                <w:rFonts w:ascii="Arial" w:cs="Arial" w:eastAsia="Arial" w:hAnsi="Arial"/>
                <w:sz w:val="8"/>
                <w:szCs w:val="8"/>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Fortinet, Inc. Bonus Plan</w:t>
            </w:r>
          </w:p>
        </w:tc>
        <w:tc>
          <w:tcPr>
            <w:tcW w:w="3860" w:type="dxa"/>
            <w:vAlign w:val="bottom"/>
          </w:tcPr>
          <w:p>
            <w:pPr>
              <w:ind w:left="20"/>
              <w:spacing w:after="0"/>
              <w:rPr>
                <w:sz w:val="20"/>
                <w:szCs w:val="20"/>
                <w:color w:val="auto"/>
              </w:rPr>
            </w:pPr>
            <w:r>
              <w:rPr>
                <w:rFonts w:ascii="Arial" w:cs="Arial" w:eastAsia="Arial" w:hAnsi="Arial"/>
                <w:sz w:val="14"/>
                <w:szCs w:val="14"/>
                <w:color w:val="auto"/>
              </w:rPr>
              <w:t>Current Report on Form 8-K (File No. 001-34511)</w:t>
            </w:r>
          </w:p>
        </w:tc>
        <w:tc>
          <w:tcPr>
            <w:tcW w:w="0" w:type="dxa"/>
            <w:vAlign w:val="bottom"/>
          </w:tcPr>
          <w:p>
            <w:pPr>
              <w:spacing w:after="0"/>
              <w:rPr>
                <w:sz w:val="1"/>
                <w:szCs w:val="1"/>
                <w:color w:val="auto"/>
              </w:rPr>
            </w:pPr>
          </w:p>
        </w:tc>
      </w:tr>
      <w:tr>
        <w:trPr>
          <w:trHeight w:val="473"/>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10.13</w:t>
            </w:r>
            <w:r>
              <w:rPr>
                <w:rFonts w:ascii="Arial" w:cs="Arial" w:eastAsia="Arial" w:hAnsi="Arial"/>
                <w:sz w:val="8"/>
                <w:szCs w:val="8"/>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Fortinet, Inc. Cash and Equity Incentive Plan</w:t>
            </w:r>
          </w:p>
        </w:tc>
        <w:tc>
          <w:tcPr>
            <w:tcW w:w="386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358"/>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10.14</w:t>
            </w:r>
            <w:r>
              <w:rPr>
                <w:rFonts w:ascii="Arial" w:cs="Arial" w:eastAsia="Arial" w:hAnsi="Arial"/>
                <w:sz w:val="8"/>
                <w:szCs w:val="8"/>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w w:val="97"/>
              </w:rPr>
              <w:t>Form of Change of Control Agreement between the Company and</w:t>
            </w:r>
          </w:p>
        </w:tc>
        <w:tc>
          <w:tcPr>
            <w:tcW w:w="386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its directors</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10.15</w:t>
            </w:r>
            <w:r>
              <w:rPr>
                <w:rFonts w:ascii="Arial" w:cs="Arial" w:eastAsia="Arial" w:hAnsi="Arial"/>
                <w:sz w:val="8"/>
                <w:szCs w:val="8"/>
                <w:color w:val="auto"/>
              </w:rPr>
              <w:t>†</w:t>
            </w:r>
            <w:r>
              <w:rPr>
                <w:rFonts w:ascii="Arial" w:cs="Arial" w:eastAsia="Arial" w:hAnsi="Arial"/>
                <w:sz w:val="14"/>
                <w:szCs w:val="14"/>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w w:val="96"/>
              </w:rPr>
              <w:t>Amended and Restated Change of Control Agreement, dated as of</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February 4, 2016, between the Company and Ken Xie</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10.16</w:t>
            </w:r>
            <w:r>
              <w:rPr>
                <w:rFonts w:ascii="Arial" w:cs="Arial" w:eastAsia="Arial" w:hAnsi="Arial"/>
                <w:sz w:val="8"/>
                <w:szCs w:val="8"/>
                <w:color w:val="auto"/>
              </w:rPr>
              <w:t>†</w:t>
            </w:r>
            <w:r>
              <w:rPr>
                <w:rFonts w:ascii="Arial" w:cs="Arial" w:eastAsia="Arial" w:hAnsi="Arial"/>
                <w:sz w:val="14"/>
                <w:szCs w:val="14"/>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w w:val="96"/>
              </w:rPr>
              <w:t>Amended and Restated Change of Control Agreement, dated as of</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February 4, 2016, between the Company and Michael Xie</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10.17</w:t>
            </w:r>
            <w:r>
              <w:rPr>
                <w:rFonts w:ascii="Arial" w:cs="Arial" w:eastAsia="Arial" w:hAnsi="Arial"/>
                <w:sz w:val="8"/>
                <w:szCs w:val="8"/>
                <w:color w:val="auto"/>
              </w:rPr>
              <w:t>†</w:t>
            </w:r>
            <w:r>
              <w:rPr>
                <w:rFonts w:ascii="Arial" w:cs="Arial" w:eastAsia="Arial" w:hAnsi="Arial"/>
                <w:sz w:val="14"/>
                <w:szCs w:val="14"/>
                <w:color w:val="auto"/>
              </w:rPr>
              <w:t>*</w:t>
            </w:r>
          </w:p>
        </w:tc>
        <w:tc>
          <w:tcPr>
            <w:tcW w:w="4020" w:type="dxa"/>
            <w:vAlign w:val="bottom"/>
            <w:gridSpan w:val="2"/>
          </w:tcPr>
          <w:p>
            <w:pPr>
              <w:ind w:left="20"/>
              <w:spacing w:after="0"/>
              <w:rPr>
                <w:sz w:val="20"/>
                <w:szCs w:val="20"/>
                <w:color w:val="auto"/>
              </w:rPr>
            </w:pPr>
            <w:r>
              <w:rPr>
                <w:rFonts w:ascii="Arial" w:cs="Arial" w:eastAsia="Arial" w:hAnsi="Arial"/>
                <w:sz w:val="14"/>
                <w:szCs w:val="14"/>
                <w:color w:val="auto"/>
                <w:w w:val="96"/>
              </w:rPr>
              <w:t>Amended and Restated Change of Control Agreement, dated as of</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February 4, 2016, between the Company and John Whittle</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3"/>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Pr>
          <w:p>
            <w:pPr>
              <w:ind w:left="6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w:t>
            </w:r>
          </w:p>
        </w:tc>
        <w:tc>
          <w:tcPr>
            <w:tcW w:w="940" w:type="dxa"/>
            <w:vAlign w:val="bottom"/>
          </w:tcPr>
          <w:p>
            <w:pPr>
              <w:ind w:left="460"/>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86"/>
        </w:trPr>
        <w:tc>
          <w:tcPr>
            <w:tcW w:w="1320" w:type="dxa"/>
            <w:vAlign w:val="bottom"/>
            <w:vMerge w:val="continue"/>
          </w:tcPr>
          <w:p>
            <w:pPr>
              <w:spacing w:after="0"/>
              <w:rPr>
                <w:sz w:val="16"/>
                <w:szCs w:val="16"/>
                <w:color w:val="auto"/>
              </w:rPr>
            </w:pPr>
          </w:p>
        </w:tc>
        <w:tc>
          <w:tcPr>
            <w:tcW w:w="940" w:type="dxa"/>
            <w:vAlign w:val="bottom"/>
          </w:tcPr>
          <w:p>
            <w:pPr>
              <w:ind w:left="44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14"/>
                <w:szCs w:val="14"/>
                <w:color w:val="auto"/>
              </w:rPr>
              <w:t>July 8, 2015</w:t>
            </w:r>
          </w:p>
        </w:tc>
        <w:tc>
          <w:tcPr>
            <w:tcW w:w="940" w:type="dxa"/>
            <w:vAlign w:val="bottom"/>
          </w:tcPr>
          <w:p>
            <w:pPr>
              <w:ind w:left="2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621"/>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940" w:type="dxa"/>
            <w:vAlign w:val="bottom"/>
          </w:tcPr>
          <w:p>
            <w:pPr>
              <w:ind w:left="26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April 21, 2014</w:t>
            </w:r>
          </w:p>
        </w:tc>
        <w:tc>
          <w:tcPr>
            <w:tcW w:w="940" w:type="dxa"/>
            <w:vAlign w:val="bottom"/>
          </w:tcPr>
          <w:p>
            <w:pPr>
              <w:ind w:left="2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November 2, 2009</w:t>
            </w:r>
          </w:p>
        </w:tc>
        <w:tc>
          <w:tcPr>
            <w:tcW w:w="940" w:type="dxa"/>
            <w:vAlign w:val="bottom"/>
          </w:tcPr>
          <w:p>
            <w:pPr>
              <w:ind w:left="26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940" w:type="dxa"/>
            <w:vAlign w:val="bottom"/>
          </w:tcPr>
          <w:p>
            <w:pPr>
              <w:ind w:left="26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940" w:type="dxa"/>
            <w:vAlign w:val="bottom"/>
          </w:tcPr>
          <w:p>
            <w:pPr>
              <w:ind w:left="26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940" w:type="dxa"/>
            <w:vAlign w:val="bottom"/>
          </w:tcPr>
          <w:p>
            <w:pPr>
              <w:ind w:left="26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940" w:type="dxa"/>
            <w:vAlign w:val="bottom"/>
          </w:tcPr>
          <w:p>
            <w:pPr>
              <w:ind w:left="26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28, 2012</w:t>
            </w:r>
          </w:p>
        </w:tc>
        <w:tc>
          <w:tcPr>
            <w:tcW w:w="940" w:type="dxa"/>
            <w:vAlign w:val="bottom"/>
          </w:tcPr>
          <w:p>
            <w:pPr>
              <w:ind w:left="2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6, 2013</w:t>
            </w:r>
          </w:p>
        </w:tc>
        <w:tc>
          <w:tcPr>
            <w:tcW w:w="940" w:type="dxa"/>
            <w:vAlign w:val="bottom"/>
          </w:tcPr>
          <w:p>
            <w:pPr>
              <w:ind w:left="260"/>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March 2, 2015</w:t>
            </w:r>
          </w:p>
        </w:tc>
        <w:tc>
          <w:tcPr>
            <w:tcW w:w="940" w:type="dxa"/>
            <w:vAlign w:val="bottom"/>
          </w:tcPr>
          <w:p>
            <w:pPr>
              <w:ind w:left="26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621"/>
        </w:trPr>
        <w:tc>
          <w:tcPr>
            <w:tcW w:w="1320" w:type="dxa"/>
            <w:vAlign w:val="bottom"/>
          </w:tcPr>
          <w:p>
            <w:pPr>
              <w:spacing w:after="0"/>
              <w:rPr>
                <w:sz w:val="20"/>
                <w:szCs w:val="20"/>
                <w:color w:val="auto"/>
              </w:rPr>
            </w:pPr>
            <w:r>
              <w:rPr>
                <w:rFonts w:ascii="Arial" w:cs="Arial" w:eastAsia="Arial" w:hAnsi="Arial"/>
                <w:sz w:val="14"/>
                <w:szCs w:val="14"/>
                <w:color w:val="auto"/>
              </w:rPr>
              <w:t>June 27, 2011</w:t>
            </w:r>
          </w:p>
        </w:tc>
        <w:tc>
          <w:tcPr>
            <w:tcW w:w="940" w:type="dxa"/>
            <w:vAlign w:val="bottom"/>
          </w:tcPr>
          <w:p>
            <w:pPr>
              <w:ind w:left="26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July 30, 2015</w:t>
            </w:r>
          </w:p>
        </w:tc>
        <w:tc>
          <w:tcPr>
            <w:tcW w:w="940" w:type="dxa"/>
            <w:vAlign w:val="bottom"/>
          </w:tcPr>
          <w:p>
            <w:pPr>
              <w:ind w:left="260"/>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July 30, 2015</w:t>
            </w:r>
          </w:p>
        </w:tc>
        <w:tc>
          <w:tcPr>
            <w:tcW w:w="940" w:type="dxa"/>
            <w:vAlign w:val="bottom"/>
          </w:tcPr>
          <w:p>
            <w:pPr>
              <w:ind w:left="260"/>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July 30, 2015</w:t>
            </w:r>
          </w:p>
        </w:tc>
        <w:tc>
          <w:tcPr>
            <w:tcW w:w="940" w:type="dxa"/>
            <w:vAlign w:val="bottom"/>
          </w:tcPr>
          <w:p>
            <w:pPr>
              <w:ind w:left="260"/>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621"/>
        </w:trPr>
        <w:tc>
          <w:tcPr>
            <w:tcW w:w="1320" w:type="dxa"/>
            <w:vAlign w:val="bottom"/>
          </w:tcPr>
          <w:p>
            <w:pPr>
              <w:spacing w:after="0"/>
              <w:rPr>
                <w:sz w:val="20"/>
                <w:szCs w:val="20"/>
                <w:color w:val="auto"/>
              </w:rPr>
            </w:pPr>
            <w:r>
              <w:rPr>
                <w:rFonts w:ascii="Arial" w:cs="Arial" w:eastAsia="Arial" w:hAnsi="Arial"/>
                <w:sz w:val="14"/>
                <w:szCs w:val="14"/>
                <w:color w:val="auto"/>
              </w:rPr>
              <w:t>January 26, 2010</w:t>
            </w:r>
          </w:p>
        </w:tc>
        <w:tc>
          <w:tcPr>
            <w:tcW w:w="940" w:type="dxa"/>
            <w:vAlign w:val="bottom"/>
          </w:tcPr>
          <w:p>
            <w:pPr>
              <w:ind w:left="26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November 5, 2013</w:t>
            </w:r>
          </w:p>
        </w:tc>
        <w:tc>
          <w:tcPr>
            <w:tcW w:w="940" w:type="dxa"/>
            <w:vAlign w:val="bottom"/>
          </w:tcPr>
          <w:p>
            <w:pPr>
              <w:ind w:left="26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August 4, 2015</w:t>
            </w:r>
          </w:p>
        </w:tc>
        <w:tc>
          <w:tcPr>
            <w:tcW w:w="940" w:type="dxa"/>
            <w:vAlign w:val="bottom"/>
          </w:tcPr>
          <w:p>
            <w:pPr>
              <w:ind w:left="26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-5506085</wp:posOffset>
            </wp:positionV>
            <wp:extent cx="15779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ectPr>
          <w:pgSz w:w="11900" w:h="16838" w:orient="portrait"/>
          <w:cols w:equalWidth="0" w:num="2">
            <w:col w:w="8820" w:space="140"/>
            <w:col w:w="2260"/>
          </w:cols>
          <w:pgMar w:left="240" w:top="121" w:right="4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48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542"/>
        </w:trPr>
        <w:tc>
          <w:tcPr>
            <w:tcW w:w="800" w:type="dxa"/>
            <w:vAlign w:val="bottom"/>
          </w:tcPr>
          <w:p>
            <w:pPr>
              <w:ind w:left="40"/>
              <w:spacing w:after="0"/>
              <w:rPr>
                <w:sz w:val="20"/>
                <w:szCs w:val="20"/>
                <w:color w:val="auto"/>
              </w:rPr>
            </w:pPr>
            <w:r>
              <w:rPr>
                <w:rFonts w:ascii="Arial" w:cs="Arial" w:eastAsia="Arial" w:hAnsi="Arial"/>
                <w:sz w:val="14"/>
                <w:szCs w:val="14"/>
                <w:color w:val="auto"/>
              </w:rPr>
              <w:t>10.18</w:t>
            </w:r>
            <w:r>
              <w:rPr>
                <w:rFonts w:ascii="Arial" w:cs="Arial" w:eastAsia="Arial" w:hAnsi="Arial"/>
                <w:sz w:val="8"/>
                <w:szCs w:val="8"/>
                <w:color w:val="auto"/>
              </w:rPr>
              <w:t>†</w:t>
            </w:r>
            <w:r>
              <w:rPr>
                <w:rFonts w:ascii="Arial" w:cs="Arial" w:eastAsia="Arial" w:hAnsi="Arial"/>
                <w:sz w:val="14"/>
                <w:szCs w:val="14"/>
                <w:color w:val="auto"/>
              </w:rPr>
              <w:t>*</w:t>
            </w: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w w:val="94"/>
              </w:rPr>
              <w:t>Amended and Restated Change of Control Agreement, dated as of</w:t>
            </w:r>
          </w:p>
        </w:tc>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w w:val="98"/>
              </w:rPr>
              <w:t>February 4, 2016, between the Company and Andrew Del Matto</w:t>
            </w:r>
          </w:p>
        </w:tc>
        <w:tc>
          <w:tcPr>
            <w:tcW w:w="3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90"/>
        </w:trPr>
        <w:tc>
          <w:tcPr>
            <w:tcW w:w="800" w:type="dxa"/>
            <w:vAlign w:val="bottom"/>
          </w:tcPr>
          <w:p>
            <w:pPr>
              <w:ind w:left="40"/>
              <w:spacing w:after="0"/>
              <w:rPr>
                <w:sz w:val="20"/>
                <w:szCs w:val="20"/>
                <w:color w:val="auto"/>
              </w:rPr>
            </w:pPr>
            <w:r>
              <w:rPr>
                <w:rFonts w:ascii="Arial" w:cs="Arial" w:eastAsia="Arial" w:hAnsi="Arial"/>
                <w:sz w:val="14"/>
                <w:szCs w:val="14"/>
                <w:color w:val="auto"/>
              </w:rPr>
              <w:t>10.19</w:t>
            </w:r>
            <w:r>
              <w:rPr>
                <w:rFonts w:ascii="Arial" w:cs="Arial" w:eastAsia="Arial" w:hAnsi="Arial"/>
                <w:sz w:val="8"/>
                <w:szCs w:val="8"/>
                <w:color w:val="auto"/>
              </w:rPr>
              <w:t>†</w:t>
            </w: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Offer Letter, dated as of August 31, 2007, by and between the</w:t>
            </w:r>
          </w:p>
        </w:tc>
        <w:tc>
          <w:tcPr>
            <w:tcW w:w="3920" w:type="dxa"/>
            <w:vAlign w:val="bottom"/>
          </w:tcPr>
          <w:p>
            <w:pPr>
              <w:ind w:left="100"/>
              <w:spacing w:after="0"/>
              <w:rPr>
                <w:sz w:val="20"/>
                <w:szCs w:val="20"/>
                <w:color w:val="auto"/>
              </w:rPr>
            </w:pPr>
            <w:r>
              <w:rPr>
                <w:rFonts w:ascii="Arial" w:cs="Arial" w:eastAsia="Arial" w:hAnsi="Arial"/>
                <w:sz w:val="14"/>
                <w:szCs w:val="14"/>
                <w:color w:val="auto"/>
                <w:w w:val="96"/>
              </w:rPr>
              <w:t>Registration Statement on Form S-l, as amended (File No. 333-</w:t>
            </w:r>
          </w:p>
        </w:tc>
        <w:tc>
          <w:tcPr>
            <w:tcW w:w="1520" w:type="dxa"/>
            <w:vAlign w:val="bottom"/>
          </w:tcPr>
          <w:p>
            <w:pPr>
              <w:ind w:left="160"/>
              <w:spacing w:after="0"/>
              <w:rPr>
                <w:sz w:val="20"/>
                <w:szCs w:val="20"/>
                <w:color w:val="auto"/>
              </w:rPr>
            </w:pPr>
            <w:r>
              <w:rPr>
                <w:rFonts w:ascii="Arial" w:cs="Arial" w:eastAsia="Arial" w:hAnsi="Arial"/>
                <w:sz w:val="14"/>
                <w:szCs w:val="14"/>
                <w:color w:val="auto"/>
              </w:rPr>
              <w:t>August 10, 2009</w:t>
            </w:r>
          </w:p>
        </w:tc>
        <w:tc>
          <w:tcPr>
            <w:tcW w:w="820" w:type="dxa"/>
            <w:vAlign w:val="bottom"/>
          </w:tcPr>
          <w:p>
            <w:pPr>
              <w:ind w:left="220"/>
              <w:spacing w:after="0"/>
              <w:rPr>
                <w:sz w:val="20"/>
                <w:szCs w:val="20"/>
                <w:color w:val="auto"/>
              </w:rPr>
            </w:pPr>
            <w:r>
              <w:rPr>
                <w:rFonts w:ascii="Arial" w:cs="Arial" w:eastAsia="Arial" w:hAnsi="Arial"/>
                <w:sz w:val="14"/>
                <w:szCs w:val="14"/>
                <w:color w:val="auto"/>
              </w:rPr>
              <w:t>10.10</w:t>
            </w:r>
          </w:p>
        </w:tc>
      </w:tr>
      <w:tr>
        <w:trPr>
          <w:trHeight w:val="182"/>
        </w:trPr>
        <w:tc>
          <w:tcPr>
            <w:tcW w:w="800" w:type="dxa"/>
            <w:vAlign w:val="bottom"/>
          </w:tcPr>
          <w:p>
            <w:pPr>
              <w:spacing w:after="0"/>
              <w:rPr>
                <w:sz w:val="15"/>
                <w:szCs w:val="15"/>
                <w:color w:val="auto"/>
              </w:rPr>
            </w:pP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Company and John Whittle</w:t>
            </w:r>
          </w:p>
        </w:tc>
        <w:tc>
          <w:tcPr>
            <w:tcW w:w="3920" w:type="dxa"/>
            <w:vAlign w:val="bottom"/>
          </w:tcPr>
          <w:p>
            <w:pPr>
              <w:ind w:left="100"/>
              <w:spacing w:after="0"/>
              <w:rPr>
                <w:sz w:val="20"/>
                <w:szCs w:val="20"/>
                <w:color w:val="auto"/>
              </w:rPr>
            </w:pPr>
            <w:r>
              <w:rPr>
                <w:rFonts w:ascii="Arial" w:cs="Arial" w:eastAsia="Arial" w:hAnsi="Arial"/>
                <w:sz w:val="14"/>
                <w:szCs w:val="14"/>
                <w:color w:val="auto"/>
              </w:rPr>
              <w:t>161190)</w:t>
            </w: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90"/>
        </w:trPr>
        <w:tc>
          <w:tcPr>
            <w:tcW w:w="800" w:type="dxa"/>
            <w:vAlign w:val="bottom"/>
          </w:tcPr>
          <w:p>
            <w:pPr>
              <w:ind w:left="40"/>
              <w:spacing w:after="0"/>
              <w:rPr>
                <w:sz w:val="20"/>
                <w:szCs w:val="20"/>
                <w:color w:val="auto"/>
              </w:rPr>
            </w:pPr>
            <w:r>
              <w:rPr>
                <w:rFonts w:ascii="Arial" w:cs="Arial" w:eastAsia="Arial" w:hAnsi="Arial"/>
                <w:sz w:val="14"/>
                <w:szCs w:val="14"/>
                <w:color w:val="auto"/>
              </w:rPr>
              <w:t>10.20</w:t>
            </w:r>
            <w:r>
              <w:rPr>
                <w:rFonts w:ascii="Arial" w:cs="Arial" w:eastAsia="Arial" w:hAnsi="Arial"/>
                <w:sz w:val="8"/>
                <w:szCs w:val="8"/>
                <w:color w:val="auto"/>
              </w:rPr>
              <w:t>†</w:t>
            </w: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w w:val="96"/>
              </w:rPr>
              <w:t>Offer Letter, dated as of December 17, 2013, by and between the</w:t>
            </w:r>
          </w:p>
        </w:tc>
        <w:tc>
          <w:tcPr>
            <w:tcW w:w="3920" w:type="dxa"/>
            <w:vAlign w:val="bottom"/>
          </w:tcPr>
          <w:p>
            <w:pPr>
              <w:ind w:left="100"/>
              <w:spacing w:after="0"/>
              <w:rPr>
                <w:sz w:val="20"/>
                <w:szCs w:val="20"/>
                <w:color w:val="auto"/>
              </w:rPr>
            </w:pPr>
            <w:r>
              <w:rPr>
                <w:rFonts w:ascii="Arial" w:cs="Arial" w:eastAsia="Arial" w:hAnsi="Arial"/>
                <w:sz w:val="14"/>
                <w:szCs w:val="14"/>
                <w:color w:val="auto"/>
              </w:rPr>
              <w:t>Current Report on Form 8-K (File No. 001-34511)</w:t>
            </w:r>
          </w:p>
        </w:tc>
        <w:tc>
          <w:tcPr>
            <w:tcW w:w="1520" w:type="dxa"/>
            <w:vAlign w:val="bottom"/>
          </w:tcPr>
          <w:p>
            <w:pPr>
              <w:ind w:left="160"/>
              <w:spacing w:after="0"/>
              <w:rPr>
                <w:sz w:val="20"/>
                <w:szCs w:val="20"/>
                <w:color w:val="auto"/>
              </w:rPr>
            </w:pPr>
            <w:r>
              <w:rPr>
                <w:rFonts w:ascii="Arial" w:cs="Arial" w:eastAsia="Arial" w:hAnsi="Arial"/>
                <w:sz w:val="14"/>
                <w:szCs w:val="14"/>
                <w:color w:val="auto"/>
              </w:rPr>
              <w:t>December 20, 2013</w:t>
            </w:r>
          </w:p>
        </w:tc>
        <w:tc>
          <w:tcPr>
            <w:tcW w:w="820" w:type="dxa"/>
            <w:vAlign w:val="bottom"/>
          </w:tcPr>
          <w:p>
            <w:pPr>
              <w:ind w:left="220"/>
              <w:spacing w:after="0"/>
              <w:rPr>
                <w:sz w:val="20"/>
                <w:szCs w:val="20"/>
                <w:color w:val="auto"/>
              </w:rPr>
            </w:pPr>
            <w:r>
              <w:rPr>
                <w:rFonts w:ascii="Arial" w:cs="Arial" w:eastAsia="Arial" w:hAnsi="Arial"/>
                <w:sz w:val="14"/>
                <w:szCs w:val="14"/>
                <w:color w:val="auto"/>
              </w:rPr>
              <w:t>99.1</w:t>
            </w:r>
          </w:p>
        </w:tc>
      </w:tr>
      <w:tr>
        <w:trPr>
          <w:trHeight w:val="182"/>
        </w:trPr>
        <w:tc>
          <w:tcPr>
            <w:tcW w:w="800" w:type="dxa"/>
            <w:vAlign w:val="bottom"/>
          </w:tcPr>
          <w:p>
            <w:pPr>
              <w:spacing w:after="0"/>
              <w:rPr>
                <w:sz w:val="15"/>
                <w:szCs w:val="15"/>
                <w:color w:val="auto"/>
              </w:rPr>
            </w:pP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Company and Andrew Del Matto</w:t>
            </w:r>
          </w:p>
        </w:tc>
        <w:tc>
          <w:tcPr>
            <w:tcW w:w="3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90"/>
        </w:trPr>
        <w:tc>
          <w:tcPr>
            <w:tcW w:w="800" w:type="dxa"/>
            <w:vAlign w:val="bottom"/>
          </w:tcPr>
          <w:p>
            <w:pPr>
              <w:ind w:left="40"/>
              <w:spacing w:after="0"/>
              <w:rPr>
                <w:sz w:val="20"/>
                <w:szCs w:val="20"/>
                <w:color w:val="auto"/>
              </w:rPr>
            </w:pPr>
            <w:r>
              <w:rPr>
                <w:rFonts w:ascii="Arial" w:cs="Arial" w:eastAsia="Arial" w:hAnsi="Arial"/>
                <w:sz w:val="14"/>
                <w:szCs w:val="14"/>
                <w:color w:val="auto"/>
              </w:rPr>
              <w:t>10.21</w:t>
            </w:r>
            <w:r>
              <w:rPr>
                <w:rFonts w:ascii="Arial" w:cs="Arial" w:eastAsia="Arial" w:hAnsi="Arial"/>
                <w:sz w:val="8"/>
                <w:szCs w:val="8"/>
                <w:color w:val="auto"/>
              </w:rPr>
              <w:t>†</w:t>
            </w: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Letter regarding stock grants, dated as of December 17, 2013,</w:t>
            </w:r>
          </w:p>
        </w:tc>
        <w:tc>
          <w:tcPr>
            <w:tcW w:w="3920" w:type="dxa"/>
            <w:vAlign w:val="bottom"/>
          </w:tcPr>
          <w:p>
            <w:pPr>
              <w:ind w:left="100"/>
              <w:spacing w:after="0"/>
              <w:rPr>
                <w:sz w:val="20"/>
                <w:szCs w:val="20"/>
                <w:color w:val="auto"/>
              </w:rPr>
            </w:pPr>
            <w:r>
              <w:rPr>
                <w:rFonts w:ascii="Arial" w:cs="Arial" w:eastAsia="Arial" w:hAnsi="Arial"/>
                <w:sz w:val="14"/>
                <w:szCs w:val="14"/>
                <w:color w:val="auto"/>
              </w:rPr>
              <w:t>Current Report on Form 8-K (File No. 001-34511)</w:t>
            </w:r>
          </w:p>
        </w:tc>
        <w:tc>
          <w:tcPr>
            <w:tcW w:w="1520" w:type="dxa"/>
            <w:vAlign w:val="bottom"/>
          </w:tcPr>
          <w:p>
            <w:pPr>
              <w:ind w:left="160"/>
              <w:spacing w:after="0"/>
              <w:rPr>
                <w:sz w:val="20"/>
                <w:szCs w:val="20"/>
                <w:color w:val="auto"/>
              </w:rPr>
            </w:pPr>
            <w:r>
              <w:rPr>
                <w:rFonts w:ascii="Arial" w:cs="Arial" w:eastAsia="Arial" w:hAnsi="Arial"/>
                <w:sz w:val="14"/>
                <w:szCs w:val="14"/>
                <w:color w:val="auto"/>
              </w:rPr>
              <w:t>December 20, 2013</w:t>
            </w:r>
          </w:p>
        </w:tc>
        <w:tc>
          <w:tcPr>
            <w:tcW w:w="820" w:type="dxa"/>
            <w:vAlign w:val="bottom"/>
          </w:tcPr>
          <w:p>
            <w:pPr>
              <w:ind w:left="220"/>
              <w:spacing w:after="0"/>
              <w:rPr>
                <w:sz w:val="20"/>
                <w:szCs w:val="20"/>
                <w:color w:val="auto"/>
              </w:rPr>
            </w:pPr>
            <w:r>
              <w:rPr>
                <w:rFonts w:ascii="Arial" w:cs="Arial" w:eastAsia="Arial" w:hAnsi="Arial"/>
                <w:sz w:val="14"/>
                <w:szCs w:val="14"/>
                <w:color w:val="auto"/>
              </w:rPr>
              <w:t>99.2</w:t>
            </w:r>
          </w:p>
        </w:tc>
      </w:tr>
      <w:tr>
        <w:trPr>
          <w:trHeight w:val="182"/>
        </w:trPr>
        <w:tc>
          <w:tcPr>
            <w:tcW w:w="800" w:type="dxa"/>
            <w:vAlign w:val="bottom"/>
          </w:tcPr>
          <w:p>
            <w:pPr>
              <w:spacing w:after="0"/>
              <w:rPr>
                <w:sz w:val="15"/>
                <w:szCs w:val="15"/>
                <w:color w:val="auto"/>
              </w:rPr>
            </w:pP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between the Company and Andrew Del Matto</w:t>
            </w:r>
          </w:p>
        </w:tc>
        <w:tc>
          <w:tcPr>
            <w:tcW w:w="3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24"/>
        </w:trPr>
        <w:tc>
          <w:tcPr>
            <w:tcW w:w="800" w:type="dxa"/>
            <w:vAlign w:val="bottom"/>
          </w:tcPr>
          <w:p>
            <w:pPr>
              <w:ind w:left="40"/>
              <w:spacing w:after="0"/>
              <w:rPr>
                <w:sz w:val="20"/>
                <w:szCs w:val="20"/>
                <w:color w:val="auto"/>
              </w:rPr>
            </w:pPr>
            <w:r>
              <w:rPr>
                <w:rFonts w:ascii="Arial" w:cs="Arial" w:eastAsia="Arial" w:hAnsi="Arial"/>
                <w:sz w:val="14"/>
                <w:szCs w:val="14"/>
                <w:color w:val="auto"/>
              </w:rPr>
              <w:t>21.1*</w:t>
            </w: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List of subsidiaries</w:t>
            </w:r>
          </w:p>
        </w:tc>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2"/>
        </w:trPr>
        <w:tc>
          <w:tcPr>
            <w:tcW w:w="800" w:type="dxa"/>
            <w:vAlign w:val="bottom"/>
          </w:tcPr>
          <w:p>
            <w:pPr>
              <w:ind w:left="40"/>
              <w:spacing w:after="0"/>
              <w:rPr>
                <w:sz w:val="20"/>
                <w:szCs w:val="20"/>
                <w:color w:val="auto"/>
              </w:rPr>
            </w:pPr>
            <w:r>
              <w:rPr>
                <w:rFonts w:ascii="Arial" w:cs="Arial" w:eastAsia="Arial" w:hAnsi="Arial"/>
                <w:sz w:val="14"/>
                <w:szCs w:val="14"/>
                <w:color w:val="auto"/>
              </w:rPr>
              <w:t>23.1*</w:t>
            </w: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Consent of Independent Registered Public Accounting Firm</w:t>
            </w:r>
          </w:p>
        </w:tc>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8"/>
        </w:trPr>
        <w:tc>
          <w:tcPr>
            <w:tcW w:w="800" w:type="dxa"/>
            <w:vAlign w:val="bottom"/>
          </w:tcPr>
          <w:p>
            <w:pPr>
              <w:ind w:left="40"/>
              <w:spacing w:after="0"/>
              <w:rPr>
                <w:sz w:val="20"/>
                <w:szCs w:val="20"/>
                <w:color w:val="auto"/>
              </w:rPr>
            </w:pPr>
            <w:r>
              <w:rPr>
                <w:rFonts w:ascii="Arial" w:cs="Arial" w:eastAsia="Arial" w:hAnsi="Arial"/>
                <w:sz w:val="14"/>
                <w:szCs w:val="14"/>
                <w:color w:val="auto"/>
              </w:rPr>
              <w:t>24.1*</w:t>
            </w: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Power of Attorney (incorporated by reference to the signature</w:t>
            </w:r>
          </w:p>
        </w:tc>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page of this Annual Report on Form 10-K)</w:t>
            </w:r>
          </w:p>
        </w:tc>
        <w:tc>
          <w:tcPr>
            <w:tcW w:w="3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38"/>
        </w:trPr>
        <w:tc>
          <w:tcPr>
            <w:tcW w:w="800" w:type="dxa"/>
            <w:vAlign w:val="bottom"/>
          </w:tcPr>
          <w:p>
            <w:pPr>
              <w:ind w:left="40"/>
              <w:spacing w:after="0"/>
              <w:rPr>
                <w:sz w:val="20"/>
                <w:szCs w:val="20"/>
                <w:color w:val="auto"/>
              </w:rPr>
            </w:pPr>
            <w:r>
              <w:rPr>
                <w:rFonts w:ascii="Arial" w:cs="Arial" w:eastAsia="Arial" w:hAnsi="Arial"/>
                <w:sz w:val="14"/>
                <w:szCs w:val="14"/>
                <w:color w:val="auto"/>
              </w:rPr>
              <w:t>31.1*</w:t>
            </w:r>
          </w:p>
        </w:tc>
        <w:tc>
          <w:tcPr>
            <w:tcW w:w="10340" w:type="dxa"/>
            <w:vAlign w:val="bottom"/>
            <w:gridSpan w:val="5"/>
          </w:tcPr>
          <w:p>
            <w:pPr>
              <w:ind w:left="160"/>
              <w:spacing w:after="0"/>
              <w:rPr>
                <w:sz w:val="20"/>
                <w:szCs w:val="20"/>
                <w:color w:val="auto"/>
              </w:rPr>
            </w:pPr>
            <w:r>
              <w:rPr>
                <w:rFonts w:ascii="Arial" w:cs="Arial" w:eastAsia="Arial" w:hAnsi="Arial"/>
                <w:sz w:val="14"/>
                <w:szCs w:val="14"/>
                <w:color w:val="auto"/>
                <w:w w:val="97"/>
              </w:rPr>
              <w:t>Certification of Chief Executive Officer pursuant to Exchange Act Rules 13a-14(a) and 15d-14(a), as adopted pursuant to Section 302 of the Sarbanes-Oxley Act of 2002</w:t>
            </w:r>
          </w:p>
        </w:tc>
      </w:tr>
      <w:tr>
        <w:trPr>
          <w:trHeight w:val="392"/>
        </w:trPr>
        <w:tc>
          <w:tcPr>
            <w:tcW w:w="800" w:type="dxa"/>
            <w:vAlign w:val="bottom"/>
          </w:tcPr>
          <w:p>
            <w:pPr>
              <w:ind w:left="40"/>
              <w:spacing w:after="0"/>
              <w:rPr>
                <w:sz w:val="20"/>
                <w:szCs w:val="20"/>
                <w:color w:val="auto"/>
              </w:rPr>
            </w:pPr>
            <w:r>
              <w:rPr>
                <w:rFonts w:ascii="Arial" w:cs="Arial" w:eastAsia="Arial" w:hAnsi="Arial"/>
                <w:sz w:val="14"/>
                <w:szCs w:val="14"/>
                <w:color w:val="auto"/>
              </w:rPr>
              <w:t>31.2*</w:t>
            </w:r>
          </w:p>
        </w:tc>
        <w:tc>
          <w:tcPr>
            <w:tcW w:w="10340" w:type="dxa"/>
            <w:vAlign w:val="bottom"/>
            <w:gridSpan w:val="5"/>
          </w:tcPr>
          <w:p>
            <w:pPr>
              <w:ind w:left="160"/>
              <w:spacing w:after="0"/>
              <w:rPr>
                <w:sz w:val="20"/>
                <w:szCs w:val="20"/>
                <w:color w:val="auto"/>
              </w:rPr>
            </w:pPr>
            <w:r>
              <w:rPr>
                <w:rFonts w:ascii="Arial" w:cs="Arial" w:eastAsia="Arial" w:hAnsi="Arial"/>
                <w:sz w:val="14"/>
                <w:szCs w:val="14"/>
                <w:color w:val="auto"/>
                <w:w w:val="97"/>
              </w:rPr>
              <w:t>Certification of Chief Financial Officer pursuant to Exchange Act Rules 13a-14(a) and 15d-14(a), as adopted pursuant to Section 302 of the Sarbanes-Oxley Act of 2002</w:t>
            </w:r>
          </w:p>
        </w:tc>
      </w:tr>
      <w:tr>
        <w:trPr>
          <w:trHeight w:val="392"/>
        </w:trPr>
        <w:tc>
          <w:tcPr>
            <w:tcW w:w="800" w:type="dxa"/>
            <w:vAlign w:val="bottom"/>
          </w:tcPr>
          <w:p>
            <w:pPr>
              <w:ind w:left="40"/>
              <w:spacing w:after="0"/>
              <w:rPr>
                <w:sz w:val="20"/>
                <w:szCs w:val="20"/>
                <w:color w:val="auto"/>
              </w:rPr>
            </w:pPr>
            <w:r>
              <w:rPr>
                <w:rFonts w:ascii="Arial" w:cs="Arial" w:eastAsia="Arial" w:hAnsi="Arial"/>
                <w:sz w:val="14"/>
                <w:szCs w:val="14"/>
                <w:color w:val="auto"/>
              </w:rPr>
              <w:t>32.1*</w:t>
            </w:r>
          </w:p>
        </w:tc>
        <w:tc>
          <w:tcPr>
            <w:tcW w:w="10340" w:type="dxa"/>
            <w:vAlign w:val="bottom"/>
            <w:gridSpan w:val="5"/>
          </w:tcPr>
          <w:p>
            <w:pPr>
              <w:ind w:left="160"/>
              <w:spacing w:after="0"/>
              <w:rPr>
                <w:sz w:val="20"/>
                <w:szCs w:val="20"/>
                <w:color w:val="auto"/>
              </w:rPr>
            </w:pPr>
            <w:r>
              <w:rPr>
                <w:rFonts w:ascii="Arial" w:cs="Arial" w:eastAsia="Arial" w:hAnsi="Arial"/>
                <w:sz w:val="14"/>
                <w:szCs w:val="14"/>
                <w:color w:val="auto"/>
                <w:w w:val="93"/>
              </w:rPr>
              <w:t>Certifications of Chief Executive Officer and Chief Financial Officer pursuant to 18 U.S.C. Section 1350, as adopted pursuant to Section 906 of the Sarbanes-Oxley Act of 2002</w:t>
            </w:r>
          </w:p>
        </w:tc>
      </w:tr>
      <w:tr>
        <w:trPr>
          <w:trHeight w:val="392"/>
        </w:trPr>
        <w:tc>
          <w:tcPr>
            <w:tcW w:w="800" w:type="dxa"/>
            <w:vAlign w:val="bottom"/>
          </w:tcPr>
          <w:p>
            <w:pPr>
              <w:ind w:left="40"/>
              <w:spacing w:after="0"/>
              <w:rPr>
                <w:sz w:val="20"/>
                <w:szCs w:val="20"/>
                <w:color w:val="auto"/>
              </w:rPr>
            </w:pPr>
            <w:r>
              <w:rPr>
                <w:rFonts w:ascii="Arial" w:cs="Arial" w:eastAsia="Arial" w:hAnsi="Arial"/>
                <w:sz w:val="14"/>
                <w:szCs w:val="14"/>
                <w:color w:val="auto"/>
              </w:rPr>
              <w:t>101.SCH*</w:t>
            </w: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XBRL Taxonomy Extension Schema Document</w:t>
            </w:r>
          </w:p>
        </w:tc>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2"/>
        </w:trPr>
        <w:tc>
          <w:tcPr>
            <w:tcW w:w="800" w:type="dxa"/>
            <w:vAlign w:val="bottom"/>
          </w:tcPr>
          <w:p>
            <w:pPr>
              <w:ind w:left="40"/>
              <w:spacing w:after="0"/>
              <w:rPr>
                <w:sz w:val="20"/>
                <w:szCs w:val="20"/>
                <w:color w:val="auto"/>
              </w:rPr>
            </w:pPr>
            <w:r>
              <w:rPr>
                <w:rFonts w:ascii="Arial" w:cs="Arial" w:eastAsia="Arial" w:hAnsi="Arial"/>
                <w:sz w:val="14"/>
                <w:szCs w:val="14"/>
                <w:color w:val="auto"/>
              </w:rPr>
              <w:t>101.CAL*</w:t>
            </w: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XBRL Taxonomy Extension Calculation Linkbase Document</w:t>
            </w:r>
          </w:p>
        </w:tc>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2"/>
        </w:trPr>
        <w:tc>
          <w:tcPr>
            <w:tcW w:w="800" w:type="dxa"/>
            <w:vAlign w:val="bottom"/>
          </w:tcPr>
          <w:p>
            <w:pPr>
              <w:ind w:left="40"/>
              <w:spacing w:after="0"/>
              <w:rPr>
                <w:sz w:val="20"/>
                <w:szCs w:val="20"/>
                <w:color w:val="auto"/>
              </w:rPr>
            </w:pPr>
            <w:r>
              <w:rPr>
                <w:rFonts w:ascii="Arial" w:cs="Arial" w:eastAsia="Arial" w:hAnsi="Arial"/>
                <w:sz w:val="14"/>
                <w:szCs w:val="14"/>
                <w:color w:val="auto"/>
              </w:rPr>
              <w:t>101.PRE*</w:t>
            </w: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XBRL Taxonomy Extension Presentation Linkbase Document</w:t>
            </w:r>
          </w:p>
        </w:tc>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2"/>
        </w:trPr>
        <w:tc>
          <w:tcPr>
            <w:tcW w:w="800" w:type="dxa"/>
            <w:vAlign w:val="bottom"/>
          </w:tcPr>
          <w:p>
            <w:pPr>
              <w:ind w:left="40"/>
              <w:spacing w:after="0"/>
              <w:rPr>
                <w:sz w:val="20"/>
                <w:szCs w:val="20"/>
                <w:color w:val="auto"/>
              </w:rPr>
            </w:pPr>
            <w:r>
              <w:rPr>
                <w:rFonts w:ascii="Arial" w:cs="Arial" w:eastAsia="Arial" w:hAnsi="Arial"/>
                <w:sz w:val="14"/>
                <w:szCs w:val="14"/>
                <w:color w:val="auto"/>
              </w:rPr>
              <w:t>101.DEF*</w:t>
            </w: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XBRL Taxonomy Extension Definition Linkbase Document</w:t>
            </w:r>
          </w:p>
        </w:tc>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2"/>
        </w:trPr>
        <w:tc>
          <w:tcPr>
            <w:tcW w:w="800" w:type="dxa"/>
            <w:vAlign w:val="bottom"/>
          </w:tcPr>
          <w:p>
            <w:pPr>
              <w:ind w:left="40"/>
              <w:spacing w:after="0"/>
              <w:rPr>
                <w:sz w:val="20"/>
                <w:szCs w:val="20"/>
                <w:color w:val="auto"/>
              </w:rPr>
            </w:pPr>
            <w:r>
              <w:rPr>
                <w:rFonts w:ascii="Arial" w:cs="Arial" w:eastAsia="Arial" w:hAnsi="Arial"/>
                <w:sz w:val="14"/>
                <w:szCs w:val="14"/>
                <w:color w:val="auto"/>
              </w:rPr>
              <w:t>101.LAB*</w:t>
            </w: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XBRL Taxonomy Extension Label Linkbase Document</w:t>
            </w:r>
          </w:p>
        </w:tc>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2"/>
        </w:trPr>
        <w:tc>
          <w:tcPr>
            <w:tcW w:w="800" w:type="dxa"/>
            <w:vAlign w:val="bottom"/>
          </w:tcPr>
          <w:p>
            <w:pPr>
              <w:ind w:left="40"/>
              <w:spacing w:after="0"/>
              <w:rPr>
                <w:sz w:val="20"/>
                <w:szCs w:val="20"/>
                <w:color w:val="auto"/>
              </w:rPr>
            </w:pPr>
            <w:r>
              <w:rPr>
                <w:rFonts w:ascii="Arial" w:cs="Arial" w:eastAsia="Arial" w:hAnsi="Arial"/>
                <w:sz w:val="14"/>
                <w:szCs w:val="14"/>
                <w:color w:val="auto"/>
              </w:rPr>
              <w:t>101.INS*</w:t>
            </w:r>
          </w:p>
        </w:tc>
        <w:tc>
          <w:tcPr>
            <w:tcW w:w="4080" w:type="dxa"/>
            <w:vAlign w:val="bottom"/>
            <w:gridSpan w:val="2"/>
          </w:tcPr>
          <w:p>
            <w:pPr>
              <w:ind w:left="160"/>
              <w:spacing w:after="0"/>
              <w:rPr>
                <w:sz w:val="20"/>
                <w:szCs w:val="20"/>
                <w:color w:val="auto"/>
              </w:rPr>
            </w:pPr>
            <w:r>
              <w:rPr>
                <w:rFonts w:ascii="Arial" w:cs="Arial" w:eastAsia="Arial" w:hAnsi="Arial"/>
                <w:sz w:val="14"/>
                <w:szCs w:val="14"/>
                <w:color w:val="auto"/>
              </w:rPr>
              <w:t>XBRL Instance Document</w:t>
            </w:r>
          </w:p>
        </w:tc>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90" w:lineRule="exact"/>
        <w:rPr>
          <w:sz w:val="20"/>
          <w:szCs w:val="20"/>
          <w:color w:val="auto"/>
        </w:rPr>
      </w:pPr>
    </w:p>
    <w:p>
      <w:pPr>
        <w:ind w:right="7140" w:firstLine="8"/>
        <w:spacing w:after="0" w:line="221" w:lineRule="auto"/>
        <w:tabs>
          <w:tab w:leader="none" w:pos="94" w:val="left"/>
        </w:tabs>
        <w:numPr>
          <w:ilvl w:val="0"/>
          <w:numId w:val="33"/>
        </w:numPr>
        <w:rPr>
          <w:rFonts w:ascii="Arial" w:cs="Arial" w:eastAsia="Arial" w:hAnsi="Arial"/>
          <w:sz w:val="23"/>
          <w:szCs w:val="23"/>
          <w:color w:val="auto"/>
          <w:vertAlign w:val="superscript"/>
        </w:rPr>
      </w:pPr>
      <w:r>
        <w:rPr>
          <w:rFonts w:ascii="Arial" w:cs="Arial" w:eastAsia="Arial" w:hAnsi="Arial"/>
          <w:sz w:val="13"/>
          <w:szCs w:val="13"/>
          <w:color w:val="auto"/>
        </w:rPr>
        <w:t xml:space="preserve">Indicates management compensatory plan, contract or arrangement. </w:t>
      </w:r>
      <w:r>
        <w:rPr>
          <w:rFonts w:ascii="Arial" w:cs="Arial" w:eastAsia="Arial" w:hAnsi="Arial"/>
          <w:sz w:val="17"/>
          <w:szCs w:val="17"/>
          <w:color w:val="auto"/>
        </w:rPr>
        <w:t xml:space="preserve">* </w:t>
      </w:r>
      <w:r>
        <w:rPr>
          <w:rFonts w:ascii="Arial" w:cs="Arial" w:eastAsia="Arial" w:hAnsi="Arial"/>
          <w:sz w:val="13"/>
          <w:szCs w:val="13"/>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240" w:top="114" w:right="51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10.15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FORTINET,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 SEVERANCE AGREEMENT</w:t>
      </w:r>
    </w:p>
    <w:p>
      <w:pPr>
        <w:spacing w:after="0" w:line="226"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This Amended and Restated Change of Control Severance Agreement (the “Agreement”) is made and entered into by and between Ken Xie (“Executive”) and Fortinet, Inc. (the “Company”), effective as of February 4, 2016 (the “Effective Date”) and supersedes the Change of Control Severance Agreement, between Executive and the Company (the “Prior Agreement”), effective as of August 7, 2009 (the “Prior Effective Date”).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ind w:right="80" w:firstLine="656"/>
        <w:spacing w:after="0" w:line="247" w:lineRule="auto"/>
        <w:tabs>
          <w:tab w:leader="none" w:pos="1026" w:val="left"/>
        </w:tabs>
        <w:numPr>
          <w:ilvl w:val="0"/>
          <w:numId w:val="34"/>
        </w:numPr>
        <w:rPr>
          <w:rFonts w:ascii="Arial" w:cs="Arial" w:eastAsia="Arial" w:hAnsi="Arial"/>
          <w:sz w:val="22"/>
          <w:szCs w:val="22"/>
          <w:color w:val="auto"/>
        </w:rPr>
      </w:pPr>
      <w:r>
        <w:rPr>
          <w:rFonts w:ascii="Arial" w:cs="Arial" w:eastAsia="Arial" w:hAnsi="Arial"/>
          <w:sz w:val="22"/>
          <w:szCs w:val="22"/>
          <w:color w:val="auto"/>
        </w:rPr>
        <w:t>It is expected that the Company from time to time will consider the possibility of an acquisition by another company or other change of control. The Board of Directors of the Company (the “Board”)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193" w:lineRule="exact"/>
        <w:rPr>
          <w:rFonts w:ascii="Arial" w:cs="Arial" w:eastAsia="Arial" w:hAnsi="Arial"/>
          <w:sz w:val="22"/>
          <w:szCs w:val="22"/>
          <w:color w:val="auto"/>
        </w:rPr>
      </w:pPr>
    </w:p>
    <w:p>
      <w:pPr>
        <w:ind w:right="280" w:firstLine="656"/>
        <w:spacing w:after="0" w:line="253" w:lineRule="auto"/>
        <w:tabs>
          <w:tab w:leader="none" w:pos="1023"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85" w:lineRule="exact"/>
        <w:rPr>
          <w:rFonts w:ascii="Arial" w:cs="Arial" w:eastAsia="Arial" w:hAnsi="Arial"/>
          <w:sz w:val="22"/>
          <w:szCs w:val="22"/>
          <w:color w:val="auto"/>
        </w:rPr>
      </w:pPr>
    </w:p>
    <w:p>
      <w:pPr>
        <w:ind w:right="240" w:firstLine="656"/>
        <w:spacing w:after="0" w:line="253" w:lineRule="auto"/>
        <w:tabs>
          <w:tab w:leader="none" w:pos="1023"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Board believes that it is imperative to provide Executive with certain benefits upon termination of employment prior to and following a Change of Control. These benefits will provide Executive with enhanced financial security and incentive and encouragement to remain with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NOW, THEREFORE, in consideration of the mutual covenants contained herein, the parties hereto agree as follows:</w:t>
      </w:r>
    </w:p>
    <w:p>
      <w:pPr>
        <w:spacing w:after="0" w:line="220" w:lineRule="exact"/>
        <w:rPr>
          <w:sz w:val="20"/>
          <w:szCs w:val="20"/>
          <w:color w:val="auto"/>
        </w:rPr>
      </w:pPr>
    </w:p>
    <w:p>
      <w:pPr>
        <w:jc w:val="both"/>
        <w:ind w:right="180" w:firstLine="656"/>
        <w:spacing w:after="0" w:line="253" w:lineRule="auto"/>
        <w:tabs>
          <w:tab w:leader="none" w:pos="1459" w:val="left"/>
        </w:tabs>
        <w:numPr>
          <w:ilvl w:val="0"/>
          <w:numId w:val="35"/>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terminate upon the earlier to occur of: (a) the Agreement’s termination date as provided in Section 8 below, and (b) the date that all of the obligations of the parties hereto with respect to this Agreement have been satisfied.</w:t>
      </w:r>
    </w:p>
    <w:p>
      <w:pPr>
        <w:spacing w:after="0" w:line="185" w:lineRule="exact"/>
        <w:rPr>
          <w:rFonts w:ascii="Arial" w:cs="Arial" w:eastAsia="Arial" w:hAnsi="Arial"/>
          <w:sz w:val="22"/>
          <w:szCs w:val="22"/>
          <w:color w:val="010000"/>
        </w:rPr>
      </w:pPr>
    </w:p>
    <w:p>
      <w:pPr>
        <w:ind w:right="20" w:firstLine="656"/>
        <w:spacing w:after="0" w:line="278" w:lineRule="auto"/>
        <w:tabs>
          <w:tab w:leader="none" w:pos="990" w:val="left"/>
        </w:tabs>
        <w:numPr>
          <w:ilvl w:val="0"/>
          <w:numId w:val="35"/>
        </w:numPr>
        <w:rPr>
          <w:rFonts w:ascii="Arial" w:cs="Arial" w:eastAsia="Arial" w:hAnsi="Arial"/>
          <w:sz w:val="21"/>
          <w:szCs w:val="21"/>
          <w:color w:val="010000"/>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The Company and Executive acknowledge that Executive’s employment is and will continue to be at-will, as defined under applicable law. If Executive’s employment terminates for any reason, including (without limitation) any termination prior to or following a Change of Control, Executive will not be entitled to any</w:t>
      </w:r>
    </w:p>
    <w:p>
      <w:pPr>
        <w:sectPr>
          <w:pgSz w:w="11900" w:h="16838" w:orient="portrait"/>
          <w:cols w:equalWidth="0" w:num="1">
            <w:col w:w="11420"/>
          </w:cols>
          <w:pgMar w:left="240" w:top="625" w:right="23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color w:val="auto"/>
        </w:rPr>
        <w:t>acceleration of Award vesting or severance pay based on termination of employment other than as provided by this Agreement.</w:t>
      </w:r>
    </w:p>
    <w:p>
      <w:pPr>
        <w:spacing w:after="0" w:line="254" w:lineRule="exact"/>
        <w:rPr>
          <w:sz w:val="20"/>
          <w:szCs w:val="20"/>
          <w:color w:val="auto"/>
        </w:rPr>
      </w:pPr>
    </w:p>
    <w:p>
      <w:pPr>
        <w:ind w:left="1000" w:hanging="344"/>
        <w:spacing w:after="0"/>
        <w:tabs>
          <w:tab w:leader="none" w:pos="1000" w:val="left"/>
        </w:tabs>
        <w:numPr>
          <w:ilvl w:val="0"/>
          <w:numId w:val="36"/>
        </w:numPr>
        <w:rPr>
          <w:rFonts w:ascii="Arial" w:cs="Arial" w:eastAsia="Arial" w:hAnsi="Arial"/>
          <w:sz w:val="22"/>
          <w:szCs w:val="22"/>
          <w:color w:val="010000"/>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20" w:firstLine="980"/>
        <w:spacing w:after="0" w:line="266" w:lineRule="auto"/>
        <w:tabs>
          <w:tab w:leader="none" w:pos="1392" w:val="left"/>
        </w:tabs>
        <w:numPr>
          <w:ilvl w:val="1"/>
          <w:numId w:val="36"/>
        </w:numPr>
        <w:rPr>
          <w:rFonts w:ascii="Arial" w:cs="Arial" w:eastAsia="Arial" w:hAnsi="Arial"/>
          <w:sz w:val="21"/>
          <w:szCs w:val="21"/>
          <w:color w:val="010000"/>
        </w:rPr>
      </w:pPr>
      <w:r>
        <w:rPr>
          <w:rFonts w:ascii="Arial" w:cs="Arial" w:eastAsia="Arial" w:hAnsi="Arial"/>
          <w:sz w:val="21"/>
          <w:szCs w:val="21"/>
          <w:u w:val="single" w:color="auto"/>
          <w:color w:val="auto"/>
        </w:rPr>
        <w:t>Involuntary Termination Prior to, or Absent, a Change of Control or After 12 Months Following a Change of Control</w:t>
      </w:r>
      <w:r>
        <w:rPr>
          <w:rFonts w:ascii="Arial" w:cs="Arial" w:eastAsia="Arial" w:hAnsi="Arial"/>
          <w:sz w:val="21"/>
          <w:szCs w:val="21"/>
          <w:color w:val="auto"/>
        </w:rPr>
        <w:t>. If prior to, or absent, a Change of Control or after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Sections 3(c) and (d) below, Executive will receive the following severance from the Company:</w:t>
      </w:r>
    </w:p>
    <w:p>
      <w:pPr>
        <w:spacing w:after="0" w:line="174" w:lineRule="exact"/>
        <w:rPr>
          <w:rFonts w:ascii="Arial" w:cs="Arial" w:eastAsia="Arial" w:hAnsi="Arial"/>
          <w:sz w:val="21"/>
          <w:szCs w:val="21"/>
          <w:color w:val="010000"/>
        </w:rPr>
      </w:pPr>
    </w:p>
    <w:p>
      <w:pPr>
        <w:ind w:right="220" w:firstLine="1305"/>
        <w:spacing w:after="0" w:line="260" w:lineRule="auto"/>
        <w:tabs>
          <w:tab w:leader="none" w:pos="1680" w:val="left"/>
        </w:tabs>
        <w:numPr>
          <w:ilvl w:val="2"/>
          <w:numId w:val="36"/>
        </w:numPr>
        <w:rPr>
          <w:rFonts w:ascii="Arial" w:cs="Arial" w:eastAsia="Arial" w:hAnsi="Arial"/>
          <w:sz w:val="22"/>
          <w:szCs w:val="22"/>
          <w:color w:val="010000"/>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Executive will receive continuing payments of severance pay for a period of twelve (12) months from the date of such termination equal to Executive’s base salary rate as in effect immediately prior to Executive’s termination.</w:t>
      </w:r>
    </w:p>
    <w:p>
      <w:pPr>
        <w:spacing w:after="0" w:line="177" w:lineRule="exact"/>
        <w:rPr>
          <w:rFonts w:ascii="Arial" w:cs="Arial" w:eastAsia="Arial" w:hAnsi="Arial"/>
          <w:sz w:val="22"/>
          <w:szCs w:val="22"/>
          <w:color w:val="010000"/>
        </w:rPr>
      </w:pPr>
    </w:p>
    <w:p>
      <w:pPr>
        <w:ind w:right="460" w:firstLine="1305"/>
        <w:spacing w:after="0" w:line="276" w:lineRule="auto"/>
        <w:tabs>
          <w:tab w:leader="none" w:pos="1741" w:val="left"/>
        </w:tabs>
        <w:numPr>
          <w:ilvl w:val="2"/>
          <w:numId w:val="36"/>
        </w:numPr>
        <w:rPr>
          <w:rFonts w:ascii="Arial" w:cs="Arial" w:eastAsia="Arial" w:hAnsi="Arial"/>
          <w:sz w:val="22"/>
          <w:szCs w:val="22"/>
          <w:color w:val="010000"/>
        </w:rPr>
      </w:pPr>
      <w:r>
        <w:rPr>
          <w:rFonts w:ascii="Arial" w:cs="Arial" w:eastAsia="Arial" w:hAnsi="Arial"/>
          <w:sz w:val="22"/>
          <w:szCs w:val="22"/>
          <w:u w:val="single" w:color="auto"/>
          <w:color w:val="auto"/>
        </w:rPr>
        <w:t>Continued Employee Benefits</w:t>
      </w:r>
      <w:r>
        <w:rPr>
          <w:rFonts w:ascii="Arial" w:cs="Arial" w:eastAsia="Arial" w:hAnsi="Arial"/>
          <w:sz w:val="22"/>
          <w:szCs w:val="22"/>
          <w:color w:val="auto"/>
        </w:rPr>
        <w:t>. Executive will receive Company-paid coverage for a period of twelve (12) months for Executive and Executive’s eligible dependents under the Company’s Benefit Plans.</w:t>
      </w:r>
    </w:p>
    <w:p>
      <w:pPr>
        <w:spacing w:after="0" w:line="160" w:lineRule="exact"/>
        <w:rPr>
          <w:rFonts w:ascii="Arial" w:cs="Arial" w:eastAsia="Arial" w:hAnsi="Arial"/>
          <w:sz w:val="22"/>
          <w:szCs w:val="22"/>
          <w:color w:val="010000"/>
        </w:rPr>
      </w:pPr>
    </w:p>
    <w:p>
      <w:pPr>
        <w:ind w:firstLine="980"/>
        <w:spacing w:after="0" w:line="251" w:lineRule="auto"/>
        <w:tabs>
          <w:tab w:leader="none" w:pos="1404" w:val="left"/>
        </w:tabs>
        <w:numPr>
          <w:ilvl w:val="1"/>
          <w:numId w:val="36"/>
        </w:numPr>
        <w:rPr>
          <w:rFonts w:ascii="Arial" w:cs="Arial" w:eastAsia="Arial" w:hAnsi="Arial"/>
          <w:sz w:val="22"/>
          <w:szCs w:val="22"/>
          <w:color w:val="010000"/>
        </w:rPr>
      </w:pPr>
      <w:r>
        <w:rPr>
          <w:rFonts w:ascii="Arial" w:cs="Arial" w:eastAsia="Arial" w:hAnsi="Arial"/>
          <w:sz w:val="22"/>
          <w:szCs w:val="22"/>
          <w:u w:val="single" w:color="auto"/>
          <w:color w:val="auto"/>
        </w:rPr>
        <w:t>Involuntary Termination within 12 Months Following a Change of Control</w:t>
      </w:r>
      <w:r>
        <w:rPr>
          <w:rFonts w:ascii="Arial" w:cs="Arial" w:eastAsia="Arial" w:hAnsi="Arial"/>
          <w:sz w:val="22"/>
          <w:szCs w:val="22"/>
          <w:color w:val="auto"/>
        </w:rPr>
        <w:t>. If within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 3(c) and Section 3(d) below, Executive will receive the following severance from the Company:</w:t>
      </w:r>
    </w:p>
    <w:p>
      <w:pPr>
        <w:spacing w:after="0" w:line="189" w:lineRule="exact"/>
        <w:rPr>
          <w:rFonts w:ascii="Arial" w:cs="Arial" w:eastAsia="Arial" w:hAnsi="Arial"/>
          <w:sz w:val="22"/>
          <w:szCs w:val="22"/>
          <w:color w:val="010000"/>
        </w:rPr>
      </w:pPr>
    </w:p>
    <w:p>
      <w:pPr>
        <w:ind w:right="140" w:firstLine="1305"/>
        <w:spacing w:after="0" w:line="260" w:lineRule="auto"/>
        <w:tabs>
          <w:tab w:leader="none" w:pos="1680" w:val="left"/>
        </w:tabs>
        <w:numPr>
          <w:ilvl w:val="2"/>
          <w:numId w:val="36"/>
        </w:numPr>
        <w:rPr>
          <w:rFonts w:ascii="Arial" w:cs="Arial" w:eastAsia="Arial" w:hAnsi="Arial"/>
          <w:sz w:val="22"/>
          <w:szCs w:val="22"/>
          <w:color w:val="010000"/>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Executive will receive continuing payments of severance pay for a period of twelve (12) months from the date of such termination equal to Executive’s base salary rate as in effect immediately prior to (A) the Change of Control, or (B) Executive’s termination, whichever is greater.</w:t>
      </w:r>
    </w:p>
    <w:p>
      <w:pPr>
        <w:spacing w:after="0" w:line="177" w:lineRule="exact"/>
        <w:rPr>
          <w:rFonts w:ascii="Arial" w:cs="Arial" w:eastAsia="Arial" w:hAnsi="Arial"/>
          <w:sz w:val="22"/>
          <w:szCs w:val="22"/>
          <w:color w:val="010000"/>
        </w:rPr>
      </w:pPr>
    </w:p>
    <w:p>
      <w:pPr>
        <w:ind w:firstLine="1305"/>
        <w:spacing w:after="0" w:line="292" w:lineRule="auto"/>
        <w:tabs>
          <w:tab w:leader="none" w:pos="1741" w:val="left"/>
        </w:tabs>
        <w:numPr>
          <w:ilvl w:val="2"/>
          <w:numId w:val="36"/>
        </w:numPr>
        <w:rPr>
          <w:rFonts w:ascii="Arial" w:cs="Arial" w:eastAsia="Arial" w:hAnsi="Arial"/>
          <w:sz w:val="19"/>
          <w:szCs w:val="19"/>
          <w:color w:val="010000"/>
        </w:rPr>
      </w:pPr>
      <w:r>
        <w:rPr>
          <w:rFonts w:ascii="Arial" w:cs="Arial" w:eastAsia="Arial" w:hAnsi="Arial"/>
          <w:sz w:val="19"/>
          <w:szCs w:val="19"/>
          <w:u w:val="single" w:color="auto"/>
          <w:color w:val="auto"/>
        </w:rPr>
        <w:t>Equity Awards</w:t>
      </w:r>
      <w:r>
        <w:rPr>
          <w:rFonts w:ascii="Arial" w:cs="Arial" w:eastAsia="Arial" w:hAnsi="Arial"/>
          <w:sz w:val="19"/>
          <w:szCs w:val="19"/>
          <w:color w:val="auto"/>
        </w:rPr>
        <w:t>. If Executive holds unvested equity awards (“Awards”) at the time of Executive’s termination, then one hundred percent (100%) of the then- unvested shares subject to such Awards will immediately vest as of Executive’s termination date. For the sake of clarity, Executive will fully vest in and have the right to exercise stock options and/or stock appreciation rights as to all of the shares underlying such Awards, including those shares which would not otherwise be vested or exercisable, all restrictions on restricted stock and restricted stock units will lapse, and, with respect to performance stock units and performance shares, all performance goals or other vesting criteria will be deemed to have been achieved at one hundred percent (100%) of target levels and all other terms and conditions met. The Awards will remain exercisable, to the extent applicable, following the termination for the period prescribed in the respective stock plan and agreement for each Award.</w:t>
      </w:r>
    </w:p>
    <w:p>
      <w:pPr>
        <w:sectPr>
          <w:pgSz w:w="11900" w:h="16838" w:orient="portrait"/>
          <w:cols w:equalWidth="0" w:num="1">
            <w:col w:w="11360"/>
          </w:cols>
          <w:pgMar w:left="240" w:top="631" w:right="299" w:bottom="1440" w:gutter="0" w:footer="0" w:header="0"/>
        </w:sectPr>
      </w:pPr>
    </w:p>
    <w:bookmarkStart w:id="108" w:name="page109"/>
    <w:bookmarkEnd w:id="108"/>
    <w:p>
      <w:pPr>
        <w:ind w:right="460" w:firstLine="1305"/>
        <w:spacing w:after="0" w:line="276" w:lineRule="auto"/>
        <w:tabs>
          <w:tab w:leader="none" w:pos="1800" w:val="left"/>
        </w:tabs>
        <w:numPr>
          <w:ilvl w:val="1"/>
          <w:numId w:val="37"/>
        </w:numPr>
        <w:rPr>
          <w:rFonts w:ascii="Arial" w:cs="Arial" w:eastAsia="Arial" w:hAnsi="Arial"/>
          <w:sz w:val="22"/>
          <w:szCs w:val="22"/>
          <w:color w:val="010000"/>
        </w:rPr>
      </w:pPr>
      <w:r>
        <w:rPr>
          <w:rFonts w:ascii="Arial" w:cs="Arial" w:eastAsia="Arial" w:hAnsi="Arial"/>
          <w:sz w:val="22"/>
          <w:szCs w:val="22"/>
          <w:u w:val="single" w:color="auto"/>
          <w:color w:val="auto"/>
        </w:rPr>
        <w:t>Continued Employee Benefits</w:t>
      </w:r>
      <w:r>
        <w:rPr>
          <w:rFonts w:ascii="Arial" w:cs="Arial" w:eastAsia="Arial" w:hAnsi="Arial"/>
          <w:sz w:val="22"/>
          <w:szCs w:val="22"/>
          <w:color w:val="auto"/>
        </w:rPr>
        <w:t>. Executive will receive Company-paid coverage for a period of twelve (12) months for Executive and Executive’s eligible dependents under the Company’s Benefit Plans.</w:t>
      </w:r>
    </w:p>
    <w:p>
      <w:pPr>
        <w:spacing w:after="0" w:line="160" w:lineRule="exact"/>
        <w:rPr>
          <w:rFonts w:ascii="Arial" w:cs="Arial" w:eastAsia="Arial" w:hAnsi="Arial"/>
          <w:sz w:val="22"/>
          <w:szCs w:val="22"/>
          <w:color w:val="010000"/>
        </w:rPr>
      </w:pPr>
    </w:p>
    <w:p>
      <w:pPr>
        <w:ind w:right="120" w:firstLine="980"/>
        <w:spacing w:after="0" w:line="260" w:lineRule="auto"/>
        <w:tabs>
          <w:tab w:leader="none" w:pos="1392" w:val="left"/>
        </w:tabs>
        <w:numPr>
          <w:ilvl w:val="0"/>
          <w:numId w:val="38"/>
        </w:numPr>
        <w:rPr>
          <w:rFonts w:ascii="Arial" w:cs="Arial" w:eastAsia="Arial" w:hAnsi="Arial"/>
          <w:sz w:val="21"/>
          <w:szCs w:val="21"/>
          <w:color w:val="010000"/>
        </w:rPr>
      </w:pPr>
      <w:r>
        <w:rPr>
          <w:rFonts w:ascii="Arial" w:cs="Arial" w:eastAsia="Arial" w:hAnsi="Arial"/>
          <w:sz w:val="21"/>
          <w:szCs w:val="21"/>
          <w:u w:val="single" w:color="auto"/>
          <w:color w:val="auto"/>
        </w:rPr>
        <w:t>Release of Claims Agreement</w:t>
      </w:r>
      <w:r>
        <w:rPr>
          <w:rFonts w:ascii="Arial" w:cs="Arial" w:eastAsia="Arial" w:hAnsi="Arial"/>
          <w:sz w:val="21"/>
          <w:szCs w:val="21"/>
          <w:color w:val="auto"/>
        </w:rPr>
        <w:t>. The receipt of any severance pay or other benefits pursuant to Sections 3(a) and (b) above will be subject to Executive signing and not revoking a release of claims agreement with the Company in a form reasonably acceptable to the Company (provided the Company will work in good faith with Executive to reach agreement on the form of release) that is effective and irrevocable no later than the later of (i) the fifteenth day of the third month after the end of the Company’s fiscal year in which such termination of employment occurs, or (ii) March 15 of the calendar year following the calendar year in which such termination of employment occurs. No severance pay or other benefits will be paid or provided until the release of claims agreement becomes effective, and any severance amounts or benefits otherwise payable between the date of Executive’s termination and the date of such release becomes effective and irrevocable shall be paid on the effective date of such release.</w:t>
      </w:r>
    </w:p>
    <w:p>
      <w:pPr>
        <w:spacing w:after="0" w:line="184" w:lineRule="exact"/>
        <w:rPr>
          <w:rFonts w:ascii="Arial" w:cs="Arial" w:eastAsia="Arial" w:hAnsi="Arial"/>
          <w:sz w:val="21"/>
          <w:szCs w:val="21"/>
          <w:color w:val="010000"/>
        </w:rPr>
      </w:pPr>
    </w:p>
    <w:p>
      <w:pPr>
        <w:ind w:firstLine="980"/>
        <w:spacing w:after="0" w:line="259" w:lineRule="auto"/>
        <w:tabs>
          <w:tab w:leader="none" w:pos="1404" w:val="left"/>
        </w:tabs>
        <w:numPr>
          <w:ilvl w:val="0"/>
          <w:numId w:val="38"/>
        </w:numPr>
        <w:rPr>
          <w:rFonts w:ascii="Arial" w:cs="Arial" w:eastAsia="Arial" w:hAnsi="Arial"/>
          <w:sz w:val="21"/>
          <w:szCs w:val="21"/>
          <w:color w:val="010000"/>
        </w:rPr>
      </w:pPr>
      <w:r>
        <w:rPr>
          <w:rFonts w:ascii="Arial" w:cs="Arial" w:eastAsia="Arial" w:hAnsi="Arial"/>
          <w:sz w:val="21"/>
          <w:szCs w:val="21"/>
          <w:u w:val="single" w:color="auto"/>
          <w:color w:val="auto"/>
        </w:rPr>
        <w:t>Non-solicitation and Non-competition</w:t>
      </w:r>
      <w:r>
        <w:rPr>
          <w:rFonts w:ascii="Arial" w:cs="Arial" w:eastAsia="Arial" w:hAnsi="Arial"/>
          <w:sz w:val="21"/>
          <w:szCs w:val="21"/>
          <w:color w:val="auto"/>
        </w:rPr>
        <w:t>. Executive agrees, to the extent permitted by applicable law, that in the event Executive receives severance pay or other benefits pursuant to Sections 3(a) and (b) above, for the twelve (12) consecutive month period immediately following the date of Executive’s termination, Executive, as a condition to receipt of severance pay and benefits under Sections 3(a) and (b), will not (i) either directly or indirectly, solicit, induce, recruit, encourage any employee of the Company to leave his employment either for Executive or for any other entity or person, or (ii) without the express written consent of the Company, directly or indirectly engage in, enter the employ, have any ownership interest in, or participate in any entity that as of the date of involuntary termination, engages in the design, development, manufacture, production, marketing, sale or servicing of any product or the provision of any service that competes with any service offered by the Company or any product sold by the Company or under development by the Company; provided, however, that ownership of less than one percent (1%) of the outstanding stock of any publicly traded corporation will not be deemed to be violative of the restrictive covenant set forth in this paragraph. The provisions of clause (ii) will not apply to Executive to the extent Executive is providing services or residing in the State of California.</w:t>
      </w:r>
    </w:p>
    <w:p>
      <w:pPr>
        <w:spacing w:after="0" w:line="182"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The covenants contained in this Section 3(d) hereof shall be construed as a series of separate covenants, one for each country, province, state, city or other political subdivision in which the Company currently engages in its business or, during the term of this Agreement, becomes engaged in its business. Except for geographic coverage, each such separate covenant shall be deemed identical in terms to the covenant contained in this Section 3(d).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the provisions of this Section 3(d) are deemed to exceed the time, geographic or scope limitations permitted by applicable law, then such provisions shall be reformed to the maximum time, geographic or scope limitations, as the case may be, permitted by applicable law.</w:t>
      </w:r>
    </w:p>
    <w:p>
      <w:pPr>
        <w:sectPr>
          <w:pgSz w:w="11900" w:h="16838" w:orient="portrait"/>
          <w:cols w:equalWidth="0" w:num="1">
            <w:col w:w="11420"/>
          </w:cols>
          <w:pgMar w:left="240" w:top="631" w:right="239" w:bottom="1440" w:gutter="0" w:footer="0" w:header="0"/>
        </w:sectPr>
      </w:pPr>
    </w:p>
    <w:bookmarkStart w:id="109" w:name="page110"/>
    <w:bookmarkEnd w:id="109"/>
    <w:p>
      <w:pPr>
        <w:ind w:left="-8" w:right="80" w:firstLine="980"/>
        <w:spacing w:after="0" w:line="251" w:lineRule="auto"/>
        <w:tabs>
          <w:tab w:leader="none" w:pos="1384" w:val="left"/>
        </w:tabs>
        <w:numPr>
          <w:ilvl w:val="1"/>
          <w:numId w:val="39"/>
        </w:numPr>
        <w:rPr>
          <w:rFonts w:ascii="Arial" w:cs="Arial" w:eastAsia="Arial" w:hAnsi="Arial"/>
          <w:sz w:val="22"/>
          <w:szCs w:val="22"/>
          <w:color w:val="010000"/>
        </w:rPr>
      </w:pPr>
      <w:r>
        <w:rPr>
          <w:rFonts w:ascii="Arial" w:cs="Arial" w:eastAsia="Arial" w:hAnsi="Arial"/>
          <w:sz w:val="22"/>
          <w:szCs w:val="22"/>
          <w:u w:val="single" w:color="auto"/>
          <w:color w:val="auto"/>
        </w:rPr>
        <w:t>Timing of Severance Payments</w:t>
      </w:r>
      <w:r>
        <w:rPr>
          <w:rFonts w:ascii="Arial" w:cs="Arial" w:eastAsia="Arial" w:hAnsi="Arial"/>
          <w:sz w:val="22"/>
          <w:szCs w:val="22"/>
          <w:color w:val="auto"/>
        </w:rPr>
        <w:t>. Subject to Section 3(c), the Company will pay the severance payments to which Executive is entitled as salary continuation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pacing w:after="0" w:line="189" w:lineRule="exact"/>
        <w:rPr>
          <w:rFonts w:ascii="Arial" w:cs="Arial" w:eastAsia="Arial" w:hAnsi="Arial"/>
          <w:sz w:val="22"/>
          <w:szCs w:val="22"/>
          <w:color w:val="010000"/>
        </w:rPr>
      </w:pPr>
    </w:p>
    <w:p>
      <w:pPr>
        <w:ind w:left="-8" w:firstLine="980"/>
        <w:spacing w:after="0" w:line="299" w:lineRule="auto"/>
        <w:tabs>
          <w:tab w:leader="none" w:pos="1360" w:val="left"/>
        </w:tabs>
        <w:numPr>
          <w:ilvl w:val="1"/>
          <w:numId w:val="39"/>
        </w:numPr>
        <w:rPr>
          <w:rFonts w:ascii="Arial" w:cs="Arial" w:eastAsia="Arial" w:hAnsi="Arial"/>
          <w:sz w:val="19"/>
          <w:szCs w:val="19"/>
          <w:color w:val="010000"/>
        </w:rPr>
      </w:pPr>
      <w:r>
        <w:rPr>
          <w:rFonts w:ascii="Arial" w:cs="Arial" w:eastAsia="Arial" w:hAnsi="Arial"/>
          <w:sz w:val="19"/>
          <w:szCs w:val="19"/>
          <w:u w:val="single" w:color="auto"/>
          <w:color w:val="auto"/>
        </w:rPr>
        <w:t>Voluntary Resignation; Termination For Cause</w:t>
      </w:r>
      <w:r>
        <w:rPr>
          <w:rFonts w:ascii="Arial" w:cs="Arial" w:eastAsia="Arial" w:hAnsi="Arial"/>
          <w:sz w:val="19"/>
          <w:szCs w:val="19"/>
          <w:color w:val="auto"/>
        </w:rPr>
        <w:t>. If Executive’s employment with the Company terminates (i) voluntarily by Executive (except upon a termination for Good Reason within twelve (12) months following a Change of Control) or</w:t>
      </w:r>
    </w:p>
    <w:p>
      <w:pPr>
        <w:ind w:left="-8" w:right="140" w:firstLine="8"/>
        <w:spacing w:after="0" w:line="302" w:lineRule="auto"/>
        <w:tabs>
          <w:tab w:leader="none" w:pos="310" w:val="left"/>
        </w:tabs>
        <w:numPr>
          <w:ilvl w:val="0"/>
          <w:numId w:val="40"/>
        </w:numPr>
        <w:rPr>
          <w:rFonts w:ascii="Arial" w:cs="Arial" w:eastAsia="Arial" w:hAnsi="Arial"/>
          <w:sz w:val="19"/>
          <w:szCs w:val="19"/>
          <w:color w:val="auto"/>
        </w:rPr>
      </w:pPr>
      <w:r>
        <w:rPr>
          <w:rFonts w:ascii="Arial" w:cs="Arial" w:eastAsia="Arial" w:hAnsi="Arial"/>
          <w:sz w:val="19"/>
          <w:szCs w:val="19"/>
          <w:color w:val="auto"/>
        </w:rPr>
        <w:t>for Cause by the 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43" w:lineRule="exact"/>
        <w:rPr>
          <w:rFonts w:ascii="Arial" w:cs="Arial" w:eastAsia="Arial" w:hAnsi="Arial"/>
          <w:sz w:val="19"/>
          <w:szCs w:val="19"/>
          <w:color w:val="auto"/>
        </w:rPr>
      </w:pPr>
    </w:p>
    <w:p>
      <w:pPr>
        <w:ind w:left="-8" w:right="500" w:firstLine="980"/>
        <w:spacing w:after="0" w:line="307" w:lineRule="auto"/>
        <w:tabs>
          <w:tab w:leader="none" w:pos="1396" w:val="left"/>
        </w:tabs>
        <w:numPr>
          <w:ilvl w:val="1"/>
          <w:numId w:val="40"/>
        </w:numPr>
        <w:rPr>
          <w:rFonts w:ascii="Arial" w:cs="Arial" w:eastAsia="Arial" w:hAnsi="Arial"/>
          <w:sz w:val="19"/>
          <w:szCs w:val="19"/>
          <w:color w:val="010000"/>
        </w:rPr>
      </w:pPr>
      <w:r>
        <w:rPr>
          <w:rFonts w:ascii="Arial" w:cs="Arial" w:eastAsia="Arial" w:hAnsi="Arial"/>
          <w:sz w:val="19"/>
          <w:szCs w:val="19"/>
          <w:u w:val="single" w:color="auto"/>
          <w:color w:val="auto"/>
        </w:rPr>
        <w:t>Disability; Death</w:t>
      </w:r>
      <w:r>
        <w:rPr>
          <w:rFonts w:ascii="Arial" w:cs="Arial" w:eastAsia="Arial" w:hAnsi="Arial"/>
          <w:sz w:val="19"/>
          <w:szCs w:val="19"/>
          <w:color w:val="auto"/>
        </w:rPr>
        <w:t>. If the Company terminates Executive’s employment as a result of Executive’s Disability,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38" w:lineRule="exact"/>
        <w:rPr>
          <w:rFonts w:ascii="Arial" w:cs="Arial" w:eastAsia="Arial" w:hAnsi="Arial"/>
          <w:sz w:val="19"/>
          <w:szCs w:val="19"/>
          <w:color w:val="010000"/>
        </w:rPr>
      </w:pPr>
    </w:p>
    <w:p>
      <w:pPr>
        <w:ind w:left="-8" w:right="200" w:firstLine="980"/>
        <w:spacing w:after="0" w:line="300" w:lineRule="auto"/>
        <w:tabs>
          <w:tab w:leader="none" w:pos="1396" w:val="left"/>
        </w:tabs>
        <w:numPr>
          <w:ilvl w:val="1"/>
          <w:numId w:val="40"/>
        </w:numPr>
        <w:rPr>
          <w:rFonts w:ascii="Arial" w:cs="Arial" w:eastAsia="Arial" w:hAnsi="Arial"/>
          <w:sz w:val="19"/>
          <w:szCs w:val="19"/>
          <w:color w:val="010000"/>
        </w:rPr>
      </w:pPr>
      <w:r>
        <w:rPr>
          <w:rFonts w:ascii="Arial" w:cs="Arial" w:eastAsia="Arial" w:hAnsi="Arial"/>
          <w:sz w:val="19"/>
          <w:szCs w:val="19"/>
          <w:u w:val="single" w:color="auto"/>
          <w:color w:val="auto"/>
        </w:rPr>
        <w:t>Exclusive Remedy</w:t>
      </w:r>
      <w:r>
        <w:rPr>
          <w:rFonts w:ascii="Arial" w:cs="Arial" w:eastAsia="Arial" w:hAnsi="Arial"/>
          <w:sz w:val="19"/>
          <w:szCs w:val="19"/>
          <w:color w:val="auto"/>
        </w:rPr>
        <w:t>. In the event of a termination of Executive’s employment with the Company (or any parent or subsidiary of the Company), the provisions of this Section 3 are intended to be and are exclusive and in lieu of any other rights or remedies to which Executive or the Company may otherwise be entitled, whether at law, tort or contract, in equity, or under this Agreement. Executive will be entitled to no severance or other benefits upon termination of employment with respect to acceleration of Award vesting or severance pay other than those benefits expressly set forth in this Section 3.</w:t>
      </w:r>
    </w:p>
    <w:p>
      <w:pPr>
        <w:spacing w:after="0" w:line="147" w:lineRule="exact"/>
        <w:rPr>
          <w:rFonts w:ascii="Arial" w:cs="Arial" w:eastAsia="Arial" w:hAnsi="Arial"/>
          <w:sz w:val="19"/>
          <w:szCs w:val="19"/>
          <w:color w:val="010000"/>
        </w:rPr>
      </w:pPr>
    </w:p>
    <w:p>
      <w:pPr>
        <w:ind w:left="-8" w:right="20" w:firstLine="980"/>
        <w:spacing w:after="0" w:line="288" w:lineRule="auto"/>
        <w:tabs>
          <w:tab w:leader="none" w:pos="1348" w:val="left"/>
        </w:tabs>
        <w:numPr>
          <w:ilvl w:val="1"/>
          <w:numId w:val="40"/>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of the Internal Revenue Code of 1986, as amended (the “Code”) and any final regulations and official guidance promulgated thereunder (“Section 409A”) (together, the “Deferred Compensation Separation Benefits”) will be paid or otherwise provided until Executive has a “separation from service” within the meaning of Section 409A. Similarly, no severance payments or separation benefits payable to Executive, if any, pursuant to this Agreement that otherwise would be exempt from Section 409A pursuant to Section 1.409A-1(b)(9) of the Treasury Regulations will be payable until Executive has a “separation from service” within the meaning of Section 409A. In addition, if Executive is a “specified employee” within the meaning of Section 409A at the time of Executive’s termination (other than due to death), then the Deferred Compensation Separation Benefits that are payable within the first six (6) months following Executive’s separation from service, will become payable in a lump sum (without interest) on the first payroll date that occurs on or after the date six (6) months and one (1) day following the date of Executive’s separation from service. All</w:t>
      </w:r>
    </w:p>
    <w:p>
      <w:pPr>
        <w:sectPr>
          <w:pgSz w:w="11900" w:h="16838" w:orient="portrait"/>
          <w:cols w:equalWidth="0" w:num="1">
            <w:col w:w="11392"/>
          </w:cols>
          <w:pgMar w:left="248" w:top="631" w:right="259" w:bottom="1440" w:gutter="0" w:footer="0" w:header="0"/>
        </w:sectPr>
      </w:pPr>
    </w:p>
    <w:bookmarkStart w:id="110" w:name="page111"/>
    <w:bookmarkEnd w:id="110"/>
    <w:p>
      <w:pPr>
        <w:spacing w:after="0" w:line="286" w:lineRule="auto"/>
        <w:rPr>
          <w:sz w:val="20"/>
          <w:szCs w:val="20"/>
          <w:color w:val="auto"/>
        </w:rPr>
      </w:pPr>
      <w:r>
        <w:rPr>
          <w:rFonts w:ascii="Arial" w:cs="Arial" w:eastAsia="Arial" w:hAnsi="Arial"/>
          <w:sz w:val="19"/>
          <w:szCs w:val="19"/>
          <w:color w:val="auto"/>
        </w:rPr>
        <w:t>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 To the extent any payment under this Agreement may be classified as a “short-term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63" w:lineRule="exact"/>
        <w:rPr>
          <w:sz w:val="20"/>
          <w:szCs w:val="20"/>
          <w:color w:val="auto"/>
        </w:rPr>
      </w:pPr>
    </w:p>
    <w:p>
      <w:pPr>
        <w:ind w:right="160" w:firstLine="656"/>
        <w:spacing w:after="0" w:line="254" w:lineRule="auto"/>
        <w:tabs>
          <w:tab w:leader="none" w:pos="990" w:val="left"/>
        </w:tabs>
        <w:numPr>
          <w:ilvl w:val="0"/>
          <w:numId w:val="41"/>
        </w:numPr>
        <w:rPr>
          <w:rFonts w:ascii="Arial" w:cs="Arial" w:eastAsia="Arial" w:hAnsi="Arial"/>
          <w:sz w:val="22"/>
          <w:szCs w:val="22"/>
          <w:color w:val="010000"/>
        </w:rPr>
      </w:pPr>
      <w:r>
        <w:rPr>
          <w:rFonts w:ascii="Arial" w:cs="Arial" w:eastAsia="Arial" w:hAnsi="Arial"/>
          <w:sz w:val="22"/>
          <w:szCs w:val="22"/>
          <w:u w:val="single" w:color="auto"/>
          <w:color w:val="auto"/>
        </w:rPr>
        <w:t>Limitation on Payments</w:t>
      </w:r>
      <w:r>
        <w:rPr>
          <w:rFonts w:ascii="Arial" w:cs="Arial" w:eastAsia="Arial" w:hAnsi="Arial"/>
          <w:sz w:val="22"/>
          <w:szCs w:val="22"/>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185" w:lineRule="exact"/>
        <w:rPr>
          <w:rFonts w:ascii="Arial" w:cs="Arial" w:eastAsia="Arial" w:hAnsi="Arial"/>
          <w:sz w:val="22"/>
          <w:szCs w:val="22"/>
          <w:color w:val="010000"/>
        </w:rPr>
      </w:pPr>
    </w:p>
    <w:p>
      <w:pPr>
        <w:ind w:left="1400" w:hanging="420"/>
        <w:spacing w:after="0"/>
        <w:tabs>
          <w:tab w:leader="none" w:pos="1400" w:val="left"/>
        </w:tabs>
        <w:numPr>
          <w:ilvl w:val="1"/>
          <w:numId w:val="41"/>
        </w:numPr>
        <w:rPr>
          <w:rFonts w:ascii="Arial" w:cs="Arial" w:eastAsia="Arial" w:hAnsi="Arial"/>
          <w:sz w:val="22"/>
          <w:szCs w:val="22"/>
          <w:color w:val="010000"/>
        </w:rPr>
      </w:pPr>
      <w:r>
        <w:rPr>
          <w:rFonts w:ascii="Arial" w:cs="Arial" w:eastAsia="Arial" w:hAnsi="Arial"/>
          <w:sz w:val="22"/>
          <w:szCs w:val="22"/>
          <w:color w:val="auto"/>
        </w:rPr>
        <w:t>delivered in full, or</w:t>
      </w:r>
    </w:p>
    <w:p>
      <w:pPr>
        <w:spacing w:after="0" w:line="233" w:lineRule="exact"/>
        <w:rPr>
          <w:rFonts w:ascii="Arial" w:cs="Arial" w:eastAsia="Arial" w:hAnsi="Arial"/>
          <w:sz w:val="22"/>
          <w:szCs w:val="22"/>
          <w:color w:val="010000"/>
        </w:rPr>
      </w:pPr>
    </w:p>
    <w:p>
      <w:pPr>
        <w:ind w:right="540" w:firstLine="980"/>
        <w:spacing w:after="0" w:line="276" w:lineRule="auto"/>
        <w:tabs>
          <w:tab w:leader="none" w:pos="1404" w:val="left"/>
        </w:tabs>
        <w:numPr>
          <w:ilvl w:val="1"/>
          <w:numId w:val="41"/>
        </w:numPr>
        <w:rPr>
          <w:rFonts w:ascii="Arial" w:cs="Arial" w:eastAsia="Arial" w:hAnsi="Arial"/>
          <w:sz w:val="22"/>
          <w:szCs w:val="22"/>
          <w:color w:val="010000"/>
        </w:rPr>
      </w:pPr>
      <w:r>
        <w:rPr>
          <w:rFonts w:ascii="Arial" w:cs="Arial" w:eastAsia="Arial" w:hAnsi="Arial"/>
          <w:sz w:val="22"/>
          <w:szCs w:val="22"/>
          <w:color w:val="auto"/>
        </w:rPr>
        <w:t>delivered as to such lesser extent which would result in no portion of such severance benefits being subject to excise tax under Section 4999 of the Code,</w:t>
      </w:r>
    </w:p>
    <w:p>
      <w:pPr>
        <w:spacing w:after="0" w:line="161"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severance and other benefits constituting “parachute payments” is necessary so that benefits are delivered to a lesser extent, reduction shall occur in the following order: reduction of cash payments; cancellation of awards granted “contingent on a change in ownership or control” (within the meaning of Code Section 280G); cancellation of accelerated vesting of equity awards; reduction of employee benefits. Within any such category of “parachute payment”, a reduction shall occur first with respect to amounts that are not “deferred compensation” within the meaning of Section 409A and then with respect to amounts that are, and to the extent any such payment is to be made over time (e.g., in installments, etc.), then the payments shall be waived in reverse chronological order. In the event that acceleration of vesting of equity award compensation is to be reduced, such acceleration of vesting shall be</w:t>
      </w:r>
    </w:p>
    <w:p>
      <w:pPr>
        <w:sectPr>
          <w:pgSz w:w="11900" w:h="16838" w:orient="portrait"/>
          <w:cols w:equalWidth="0" w:num="1">
            <w:col w:w="11420"/>
          </w:cols>
          <w:pgMar w:left="240" w:top="631" w:right="239" w:bottom="1440" w:gutter="0" w:footer="0" w:header="0"/>
        </w:sectPr>
      </w:pPr>
    </w:p>
    <w:bookmarkStart w:id="111" w:name="page112"/>
    <w:bookmarkEnd w:id="111"/>
    <w:p>
      <w:pPr>
        <w:spacing w:after="0" w:line="290" w:lineRule="auto"/>
        <w:rPr>
          <w:sz w:val="20"/>
          <w:szCs w:val="20"/>
          <w:color w:val="auto"/>
        </w:rPr>
      </w:pPr>
      <w:r>
        <w:rPr>
          <w:rFonts w:ascii="Arial" w:cs="Arial" w:eastAsia="Arial" w:hAnsi="Arial"/>
          <w:sz w:val="19"/>
          <w:szCs w:val="19"/>
          <w:color w:val="auto"/>
        </w:rPr>
        <w:t>cancelled in the reverse order of the date of grant of Executive’s equity awards. Unless the Company and Executive otherwise agree in writing, any determination required under this Section 4 will be made in writing by an independent firm immediately prior to Change of Control (the “Firm”),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reasonably incur in connection with any calculations contemplated by this Section 4.</w:t>
      </w:r>
    </w:p>
    <w:p>
      <w:pPr>
        <w:spacing w:after="0" w:line="157" w:lineRule="exact"/>
        <w:rPr>
          <w:sz w:val="20"/>
          <w:szCs w:val="20"/>
          <w:color w:val="auto"/>
        </w:rPr>
      </w:pPr>
    </w:p>
    <w:p>
      <w:pPr>
        <w:ind w:left="1000" w:hanging="344"/>
        <w:spacing w:after="0"/>
        <w:tabs>
          <w:tab w:leader="none" w:pos="1000" w:val="left"/>
        </w:tabs>
        <w:numPr>
          <w:ilvl w:val="0"/>
          <w:numId w:val="42"/>
        </w:numPr>
        <w:rPr>
          <w:rFonts w:ascii="Arial" w:cs="Arial" w:eastAsia="Arial" w:hAnsi="Arial"/>
          <w:sz w:val="22"/>
          <w:szCs w:val="22"/>
          <w:color w:val="010000"/>
        </w:rPr>
      </w:pPr>
      <w:r>
        <w:rPr>
          <w:rFonts w:ascii="Arial" w:cs="Arial" w:eastAsia="Arial" w:hAnsi="Arial"/>
          <w:sz w:val="22"/>
          <w:szCs w:val="22"/>
          <w:u w:val="single" w:color="auto"/>
          <w:color w:val="auto"/>
        </w:rPr>
        <w:t>Definition of Terms</w:t>
      </w:r>
      <w:r>
        <w:rPr>
          <w:rFonts w:ascii="Arial" w:cs="Arial" w:eastAsia="Arial" w:hAnsi="Arial"/>
          <w:sz w:val="22"/>
          <w:szCs w:val="22"/>
          <w:color w:val="auto"/>
        </w:rPr>
        <w:t>. The following terms referred to in this Agreement will have the following meanings:</w:t>
      </w:r>
    </w:p>
    <w:p>
      <w:pPr>
        <w:spacing w:after="0" w:line="233" w:lineRule="exact"/>
        <w:rPr>
          <w:rFonts w:ascii="Arial" w:cs="Arial" w:eastAsia="Arial" w:hAnsi="Arial"/>
          <w:sz w:val="22"/>
          <w:szCs w:val="22"/>
          <w:color w:val="010000"/>
        </w:rPr>
      </w:pPr>
    </w:p>
    <w:p>
      <w:pPr>
        <w:ind w:right="140" w:firstLine="980"/>
        <w:spacing w:after="0" w:line="288" w:lineRule="auto"/>
        <w:tabs>
          <w:tab w:leader="none" w:pos="1392" w:val="left"/>
        </w:tabs>
        <w:numPr>
          <w:ilvl w:val="1"/>
          <w:numId w:val="42"/>
        </w:numPr>
        <w:rPr>
          <w:rFonts w:ascii="Arial" w:cs="Arial" w:eastAsia="Arial" w:hAnsi="Arial"/>
          <w:sz w:val="19"/>
          <w:szCs w:val="19"/>
          <w:color w:val="010000"/>
        </w:rPr>
      </w:pPr>
      <w:r>
        <w:rPr>
          <w:rFonts w:ascii="Arial" w:cs="Arial" w:eastAsia="Arial" w:hAnsi="Arial"/>
          <w:sz w:val="19"/>
          <w:szCs w:val="19"/>
          <w:u w:val="single" w:color="auto"/>
          <w:color w:val="auto"/>
        </w:rPr>
        <w:t>Benefit Plans</w:t>
      </w:r>
      <w:r>
        <w:rPr>
          <w:rFonts w:ascii="Arial" w:cs="Arial" w:eastAsia="Arial" w:hAnsi="Arial"/>
          <w:sz w:val="19"/>
          <w:szCs w:val="19"/>
          <w:color w:val="auto"/>
        </w:rPr>
        <w:t>. For purposes of this Agreement, “Benefit Plans” means plans, policies or arrangements that the Company sponsors (or participates in) and that immediately prior to Executive’s termination of employment provide Executive and/or Executive’s eligible dependents with medical, dental, and/or vision benefits. Benefit Plans do not include any other type of benefit (including, but not by way of limitation, disability, life insurance or retirement benefits). A requirement that the Company provide Executive and Executive’s eligible dependents with coverage under the Benefit Plans will not be satisfied unless the coverage is no less favorable than that provided to senior executives of the Company at any applicable time during the period Executive is entitled to receive severance pursuant to Section 3. The Company may, at its option, satisfy any requirement that the Company provide coverage under any Benefit Plan by (i) reimbursing Executive’s premiums under Title X of the Consolidated Budget Reconciliation Act of 1985, as amended (“COBRA”) after Executive has properly elected continuation coverage under COBRA (in which case Executive will be solely responsible for electing such coverage for his eligible dependents), or (ii) providing coverage under a separate plan or plans providing coverage that is no less favorable or by paying Executive a lump-sum payment which is, on an after-tax basis, sufficient to provide Executive and Executive’s eligible dependents with equivalent coverage under a third party plan that is reasonably available to Executive and Executive’s eligible dependents.</w:t>
      </w:r>
    </w:p>
    <w:p>
      <w:pPr>
        <w:spacing w:after="0" w:line="156" w:lineRule="exact"/>
        <w:rPr>
          <w:rFonts w:ascii="Arial" w:cs="Arial" w:eastAsia="Arial" w:hAnsi="Arial"/>
          <w:sz w:val="19"/>
          <w:szCs w:val="19"/>
          <w:color w:val="010000"/>
        </w:rPr>
      </w:pPr>
    </w:p>
    <w:p>
      <w:pPr>
        <w:ind w:right="60" w:firstLine="980"/>
        <w:spacing w:after="0" w:line="292" w:lineRule="auto"/>
        <w:tabs>
          <w:tab w:leader="none" w:pos="1404" w:val="left"/>
        </w:tabs>
        <w:numPr>
          <w:ilvl w:val="1"/>
          <w:numId w:val="42"/>
        </w:numPr>
        <w:rPr>
          <w:rFonts w:ascii="Arial" w:cs="Arial" w:eastAsia="Arial" w:hAnsi="Arial"/>
          <w:sz w:val="19"/>
          <w:szCs w:val="19"/>
          <w:color w:val="010000"/>
        </w:rPr>
      </w:pPr>
      <w:r>
        <w:rPr>
          <w:rFonts w:ascii="Arial" w:cs="Arial" w:eastAsia="Arial" w:hAnsi="Arial"/>
          <w:sz w:val="19"/>
          <w:szCs w:val="19"/>
          <w:u w:val="single" w:color="auto"/>
          <w:color w:val="auto"/>
        </w:rPr>
        <w:t>Cause</w:t>
      </w:r>
      <w:r>
        <w:rPr>
          <w:rFonts w:ascii="Arial" w:cs="Arial" w:eastAsia="Arial" w:hAnsi="Arial"/>
          <w:sz w:val="19"/>
          <w:szCs w:val="19"/>
          <w:color w:val="auto"/>
        </w:rPr>
        <w:t>. “Cause” is defined as (i) an act of dishonesty made by Executive in connection with Executive’s responsibilities as an employee that materially adversely affects the Company, (ii) Executive’s conviction of, or plea of nolo contendere to, a felony or any crime involving fraud, embezzlement or any other act of moral turpitude, (iii) Executive’s gross misconduct that materially and adversely affects the Company’s reputation or business, or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 and Executive continues to refuse to cure such non-performance within thirty (30) days after receiving such notice.</w:t>
      </w:r>
    </w:p>
    <w:p>
      <w:pPr>
        <w:sectPr>
          <w:pgSz w:w="11900" w:h="16838" w:orient="portrait"/>
          <w:cols w:equalWidth="0" w:num="1">
            <w:col w:w="11420"/>
          </w:cols>
          <w:pgMar w:left="240" w:top="631" w:right="239" w:bottom="1440" w:gutter="0" w:footer="0" w:header="0"/>
        </w:sectPr>
      </w:pPr>
    </w:p>
    <w:bookmarkStart w:id="112" w:name="page113"/>
    <w:bookmarkEnd w:id="112"/>
    <w:p>
      <w:pPr>
        <w:ind w:left="420" w:hanging="420"/>
        <w:spacing w:after="0"/>
        <w:tabs>
          <w:tab w:leader="none" w:pos="420" w:val="left"/>
        </w:tabs>
        <w:numPr>
          <w:ilvl w:val="0"/>
          <w:numId w:val="43"/>
        </w:numPr>
        <w:rPr>
          <w:rFonts w:ascii="Arial" w:cs="Arial" w:eastAsia="Arial" w:hAnsi="Arial"/>
          <w:sz w:val="22"/>
          <w:szCs w:val="22"/>
          <w:color w:val="010000"/>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“Change of Control” of the Company is defined as:</w:t>
      </w:r>
    </w:p>
    <w:p>
      <w:pPr>
        <w:spacing w:after="0" w:line="233" w:lineRule="exact"/>
        <w:rPr>
          <w:rFonts w:ascii="Arial" w:cs="Arial" w:eastAsia="Arial" w:hAnsi="Arial"/>
          <w:sz w:val="22"/>
          <w:szCs w:val="22"/>
          <w:color w:val="010000"/>
        </w:rPr>
      </w:pPr>
    </w:p>
    <w:p>
      <w:pPr>
        <w:ind w:left="-980" w:right="240" w:firstLine="1305"/>
        <w:spacing w:after="0" w:line="294" w:lineRule="auto"/>
        <w:tabs>
          <w:tab w:leader="none" w:pos="700" w:val="left"/>
        </w:tabs>
        <w:numPr>
          <w:ilvl w:val="1"/>
          <w:numId w:val="43"/>
        </w:numPr>
        <w:rPr>
          <w:rFonts w:ascii="Arial" w:cs="Arial" w:eastAsia="Arial" w:hAnsi="Arial"/>
          <w:sz w:val="19"/>
          <w:szCs w:val="19"/>
          <w:color w:val="010000"/>
        </w:rPr>
      </w:pPr>
      <w:r>
        <w:rPr>
          <w:rFonts w:ascii="Arial" w:cs="Arial" w:eastAsia="Arial" w:hAnsi="Arial"/>
          <w:sz w:val="19"/>
          <w:szCs w:val="19"/>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(“Person”) that or is or becomes the owner, directly or indirectly, of securities of the Company representing fifty percent (50%) or more of the total voting power represented by the Company’s then outstanding securities (the “Voting Securities”); provided, however, that for purposes of this subsection (i), the acquisition of additional securities by any one Person, who is considered to own more than fifty percent (50%) of the total voting power of the securities of the Company shall not be considered a Change of Control;</w:t>
      </w:r>
    </w:p>
    <w:p>
      <w:pPr>
        <w:spacing w:after="0" w:line="152" w:lineRule="exact"/>
        <w:rPr>
          <w:rFonts w:ascii="Arial" w:cs="Arial" w:eastAsia="Arial" w:hAnsi="Arial"/>
          <w:sz w:val="19"/>
          <w:szCs w:val="19"/>
          <w:color w:val="010000"/>
        </w:rPr>
      </w:pPr>
    </w:p>
    <w:p>
      <w:pPr>
        <w:ind w:left="-980" w:right="40" w:firstLine="1305"/>
        <w:spacing w:after="0" w:line="250" w:lineRule="auto"/>
        <w:tabs>
          <w:tab w:leader="none" w:pos="760" w:val="left"/>
        </w:tabs>
        <w:numPr>
          <w:ilvl w:val="1"/>
          <w:numId w:val="43"/>
        </w:numPr>
        <w:rPr>
          <w:rFonts w:ascii="Arial" w:cs="Arial" w:eastAsia="Arial" w:hAnsi="Arial"/>
          <w:sz w:val="22"/>
          <w:szCs w:val="22"/>
          <w:color w:val="010000"/>
        </w:rPr>
      </w:pPr>
      <w:r>
        <w:rPr>
          <w:rFonts w:ascii="Arial" w:cs="Arial" w:eastAsia="Arial" w:hAnsi="Arial"/>
          <w:sz w:val="22"/>
          <w:szCs w:val="22"/>
          <w:color w:val="auto"/>
        </w:rPr>
        <w:t>a change in the composition of the Board occurring within a twelve (12)-month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88" w:lineRule="exact"/>
        <w:rPr>
          <w:rFonts w:ascii="Arial" w:cs="Arial" w:eastAsia="Arial" w:hAnsi="Arial"/>
          <w:sz w:val="22"/>
          <w:szCs w:val="22"/>
          <w:color w:val="010000"/>
        </w:rPr>
      </w:pPr>
    </w:p>
    <w:p>
      <w:pPr>
        <w:ind w:left="-980" w:firstLine="1305"/>
        <w:spacing w:after="0" w:line="297" w:lineRule="auto"/>
        <w:tabs>
          <w:tab w:leader="none" w:pos="820" w:val="left"/>
        </w:tabs>
        <w:numPr>
          <w:ilvl w:val="1"/>
          <w:numId w:val="43"/>
        </w:numPr>
        <w:rPr>
          <w:rFonts w:ascii="Arial" w:cs="Arial" w:eastAsia="Arial" w:hAnsi="Arial"/>
          <w:sz w:val="19"/>
          <w:szCs w:val="19"/>
          <w:color w:val="010000"/>
        </w:rPr>
      </w:pPr>
      <w:r>
        <w:rPr>
          <w:rFonts w:ascii="Arial" w:cs="Arial" w:eastAsia="Arial" w:hAnsi="Arial"/>
          <w:sz w:val="19"/>
          <w:szCs w:val="19"/>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46" w:lineRule="exact"/>
        <w:rPr>
          <w:rFonts w:ascii="Arial" w:cs="Arial" w:eastAsia="Arial" w:hAnsi="Arial"/>
          <w:sz w:val="19"/>
          <w:szCs w:val="19"/>
          <w:color w:val="010000"/>
        </w:rPr>
      </w:pPr>
    </w:p>
    <w:p>
      <w:pPr>
        <w:ind w:left="-980" w:firstLine="1305"/>
        <w:spacing w:after="0" w:line="289" w:lineRule="auto"/>
        <w:tabs>
          <w:tab w:leader="none" w:pos="808" w:val="left"/>
        </w:tabs>
        <w:numPr>
          <w:ilvl w:val="1"/>
          <w:numId w:val="43"/>
        </w:numPr>
        <w:rPr>
          <w:rFonts w:ascii="Arial" w:cs="Arial" w:eastAsia="Arial" w:hAnsi="Arial"/>
          <w:sz w:val="19"/>
          <w:szCs w:val="19"/>
          <w:color w:val="010000"/>
        </w:rPr>
      </w:pPr>
      <w:r>
        <w:rPr>
          <w:rFonts w:ascii="Arial" w:cs="Arial" w:eastAsia="Arial" w:hAnsi="Arial"/>
          <w:sz w:val="19"/>
          <w:szCs w:val="19"/>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5.(c)(iv), the following shall not constitute a change in the ownership of a substantial portion of the Company’s assets: (1) a transfer to an entity that is controlled by the Company’s shareholders immediately after the transfer; or (2) a transfer of assets by the Company to: (A) a shareholder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subsection</w:t>
      </w:r>
    </w:p>
    <w:p>
      <w:pPr>
        <w:sectPr>
          <w:pgSz w:w="11900" w:h="16838" w:orient="portrait"/>
          <w:cols w:equalWidth="0" w:num="1">
            <w:col w:w="10440"/>
          </w:cols>
          <w:pgMar w:left="1220" w:top="631" w:right="239" w:bottom="1440" w:gutter="0" w:footer="0" w:header="0"/>
        </w:sectPr>
      </w:pPr>
    </w:p>
    <w:bookmarkStart w:id="113" w:name="page114"/>
    <w:bookmarkEnd w:id="113"/>
    <w:p>
      <w:pPr>
        <w:ind w:right="80"/>
        <w:spacing w:after="0" w:line="263" w:lineRule="auto"/>
        <w:rPr>
          <w:sz w:val="20"/>
          <w:szCs w:val="20"/>
          <w:color w:val="auto"/>
        </w:rPr>
      </w:pPr>
      <w:r>
        <w:rPr>
          <w:rFonts w:ascii="Arial" w:cs="Arial" w:eastAsia="Arial" w:hAnsi="Arial"/>
          <w:sz w:val="22"/>
          <w:szCs w:val="22"/>
          <w:color w:val="auto"/>
        </w:rPr>
        <w:t>(C). For purposes of this clause (2), gross fair market value means the value of the assets of the Company, or the value of the assets being disposed of, determined without regard to any liabilities associated with such assets.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Notwithstanding the foregoing, a Company transaction that does not constitute a change in control event under Treasury Regulation 1.409A-3(i)(5)(v) or (vii) shall be not be considered a Change of Control.</w:t>
      </w:r>
    </w:p>
    <w:p>
      <w:pPr>
        <w:spacing w:after="0" w:line="175" w:lineRule="exact"/>
        <w:rPr>
          <w:sz w:val="20"/>
          <w:szCs w:val="20"/>
          <w:color w:val="auto"/>
        </w:rPr>
      </w:pPr>
    </w:p>
    <w:p>
      <w:pPr>
        <w:ind w:right="20" w:firstLine="980"/>
        <w:spacing w:after="0" w:line="248" w:lineRule="auto"/>
        <w:tabs>
          <w:tab w:leader="none" w:pos="1404" w:val="left"/>
        </w:tabs>
        <w:numPr>
          <w:ilvl w:val="1"/>
          <w:numId w:val="44"/>
        </w:numPr>
        <w:rPr>
          <w:rFonts w:ascii="Arial" w:cs="Arial" w:eastAsia="Arial" w:hAnsi="Arial"/>
          <w:sz w:val="22"/>
          <w:szCs w:val="22"/>
          <w:color w:val="010000"/>
        </w:rPr>
      </w:pPr>
      <w:r>
        <w:rPr>
          <w:rFonts w:ascii="Arial" w:cs="Arial" w:eastAsia="Arial" w:hAnsi="Arial"/>
          <w:sz w:val="22"/>
          <w:szCs w:val="22"/>
          <w:u w:val="single" w:color="auto"/>
          <w:color w:val="auto"/>
        </w:rPr>
        <w:t>Disability</w:t>
      </w:r>
      <w:r>
        <w:rPr>
          <w:rFonts w:ascii="Arial" w:cs="Arial" w:eastAsia="Arial" w:hAnsi="Arial"/>
          <w:sz w:val="22"/>
          <w:szCs w:val="22"/>
          <w:color w:val="auto"/>
        </w:rPr>
        <w:t>. “Disability” will mean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91" w:lineRule="exact"/>
        <w:rPr>
          <w:rFonts w:ascii="Arial" w:cs="Arial" w:eastAsia="Arial" w:hAnsi="Arial"/>
          <w:sz w:val="22"/>
          <w:szCs w:val="22"/>
          <w:color w:val="010000"/>
        </w:rPr>
      </w:pPr>
    </w:p>
    <w:p>
      <w:pPr>
        <w:ind w:firstLine="980"/>
        <w:spacing w:after="0" w:line="286" w:lineRule="auto"/>
        <w:tabs>
          <w:tab w:leader="none" w:pos="1392" w:val="left"/>
        </w:tabs>
        <w:numPr>
          <w:ilvl w:val="1"/>
          <w:numId w:val="44"/>
        </w:numPr>
        <w:rPr>
          <w:rFonts w:ascii="Arial" w:cs="Arial" w:eastAsia="Arial" w:hAnsi="Arial"/>
          <w:sz w:val="19"/>
          <w:szCs w:val="19"/>
          <w:color w:val="010000"/>
        </w:rPr>
      </w:pPr>
      <w:r>
        <w:rPr>
          <w:rFonts w:ascii="Arial" w:cs="Arial" w:eastAsia="Arial" w:hAnsi="Arial"/>
          <w:sz w:val="19"/>
          <w:szCs w:val="19"/>
          <w:u w:val="single" w:color="auto"/>
          <w:color w:val="auto"/>
        </w:rPr>
        <w:t>Good Reason</w:t>
      </w:r>
      <w:r>
        <w:rPr>
          <w:rFonts w:ascii="Arial" w:cs="Arial" w:eastAsia="Arial" w:hAnsi="Arial"/>
          <w:sz w:val="19"/>
          <w:szCs w:val="19"/>
          <w:color w:val="auto"/>
        </w:rPr>
        <w:t>. “Good Reason” means the occurrence of one or more of the following events without Executive’s express written 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unless Executive is provided with comparable duties,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 any material provision of this Agreement, or (vi) the failure of the Company to obtain the assumption of this Agreement by any successor.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w:t>
      </w:r>
    </w:p>
    <w:p>
      <w:pPr>
        <w:spacing w:after="0" w:line="165" w:lineRule="exact"/>
        <w:rPr>
          <w:rFonts w:ascii="Arial" w:cs="Arial" w:eastAsia="Arial" w:hAnsi="Arial"/>
          <w:sz w:val="19"/>
          <w:szCs w:val="19"/>
          <w:color w:val="010000"/>
        </w:rPr>
      </w:pPr>
    </w:p>
    <w:p>
      <w:pPr>
        <w:ind w:left="1000" w:hanging="344"/>
        <w:spacing w:after="0"/>
        <w:tabs>
          <w:tab w:leader="none" w:pos="1000" w:val="left"/>
        </w:tabs>
        <w:numPr>
          <w:ilvl w:val="0"/>
          <w:numId w:val="45"/>
        </w:numPr>
        <w:rPr>
          <w:rFonts w:ascii="Arial" w:cs="Arial" w:eastAsia="Arial" w:hAnsi="Arial"/>
          <w:sz w:val="22"/>
          <w:szCs w:val="22"/>
          <w:color w:val="010000"/>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114" w:name="page115"/>
    <w:bookmarkEnd w:id="114"/>
    <w:p>
      <w:pPr>
        <w:ind w:left="-656" w:firstLine="980"/>
        <w:spacing w:after="0" w:line="248" w:lineRule="auto"/>
        <w:tabs>
          <w:tab w:leader="none" w:pos="736" w:val="left"/>
        </w:tabs>
        <w:numPr>
          <w:ilvl w:val="1"/>
          <w:numId w:val="46"/>
        </w:numPr>
        <w:rPr>
          <w:rFonts w:ascii="Arial" w:cs="Arial" w:eastAsia="Arial" w:hAnsi="Arial"/>
          <w:sz w:val="22"/>
          <w:szCs w:val="22"/>
          <w:color w:val="010000"/>
        </w:rPr>
      </w:pPr>
      <w:r>
        <w:rPr>
          <w:rFonts w:ascii="Arial" w:cs="Arial" w:eastAsia="Arial" w:hAnsi="Arial"/>
          <w:sz w:val="22"/>
          <w:szCs w:val="22"/>
          <w:u w:val="single" w:color="auto"/>
          <w:color w:val="auto"/>
        </w:rPr>
        <w:t>The Company’s Successors</w:t>
      </w:r>
      <w:r>
        <w:rPr>
          <w:rFonts w:ascii="Arial" w:cs="Arial" w:eastAsia="Arial" w:hAnsi="Arial"/>
          <w:sz w:val="22"/>
          <w:szCs w:val="22"/>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6(a) or which becomes bound by the terms of this Agreement by operation of law.</w:t>
      </w:r>
    </w:p>
    <w:p>
      <w:pPr>
        <w:spacing w:after="0" w:line="195" w:lineRule="exact"/>
        <w:rPr>
          <w:rFonts w:ascii="Arial" w:cs="Arial" w:eastAsia="Arial" w:hAnsi="Arial"/>
          <w:sz w:val="22"/>
          <w:szCs w:val="22"/>
          <w:color w:val="010000"/>
        </w:rPr>
      </w:pPr>
    </w:p>
    <w:p>
      <w:pPr>
        <w:ind w:left="-656" w:right="40" w:firstLine="980"/>
        <w:spacing w:after="0" w:line="260" w:lineRule="auto"/>
        <w:tabs>
          <w:tab w:leader="none" w:pos="748" w:val="left"/>
        </w:tabs>
        <w:numPr>
          <w:ilvl w:val="1"/>
          <w:numId w:val="46"/>
        </w:numPr>
        <w:rPr>
          <w:rFonts w:ascii="Arial" w:cs="Arial" w:eastAsia="Arial" w:hAnsi="Arial"/>
          <w:sz w:val="22"/>
          <w:szCs w:val="22"/>
          <w:color w:val="010000"/>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77" w:lineRule="exact"/>
        <w:rPr>
          <w:rFonts w:ascii="Arial" w:cs="Arial" w:eastAsia="Arial" w:hAnsi="Arial"/>
          <w:sz w:val="22"/>
          <w:szCs w:val="22"/>
          <w:color w:val="010000"/>
        </w:rPr>
      </w:pPr>
    </w:p>
    <w:p>
      <w:pPr>
        <w:ind w:left="344" w:hanging="344"/>
        <w:spacing w:after="0"/>
        <w:tabs>
          <w:tab w:leader="none" w:pos="344" w:val="left"/>
        </w:tabs>
        <w:numPr>
          <w:ilvl w:val="0"/>
          <w:numId w:val="47"/>
        </w:numPr>
        <w:rPr>
          <w:rFonts w:ascii="Arial" w:cs="Arial" w:eastAsia="Arial" w:hAnsi="Arial"/>
          <w:sz w:val="22"/>
          <w:szCs w:val="22"/>
          <w:color w:val="010000"/>
        </w:rPr>
      </w:pP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left="-656" w:right="120" w:firstLine="980"/>
        <w:spacing w:after="0" w:line="300" w:lineRule="auto"/>
        <w:tabs>
          <w:tab w:leader="none" w:pos="736" w:val="left"/>
        </w:tabs>
        <w:numPr>
          <w:ilvl w:val="1"/>
          <w:numId w:val="47"/>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47" w:lineRule="exact"/>
        <w:rPr>
          <w:rFonts w:ascii="Arial" w:cs="Arial" w:eastAsia="Arial" w:hAnsi="Arial"/>
          <w:sz w:val="19"/>
          <w:szCs w:val="19"/>
          <w:color w:val="010000"/>
        </w:rPr>
      </w:pPr>
    </w:p>
    <w:p>
      <w:pPr>
        <w:ind w:left="-656" w:right="60" w:firstLine="980"/>
        <w:spacing w:after="0" w:line="248" w:lineRule="auto"/>
        <w:tabs>
          <w:tab w:leader="none" w:pos="748" w:val="left"/>
        </w:tabs>
        <w:numPr>
          <w:ilvl w:val="1"/>
          <w:numId w:val="47"/>
        </w:numPr>
        <w:rPr>
          <w:rFonts w:ascii="Arial" w:cs="Arial" w:eastAsia="Arial" w:hAnsi="Arial"/>
          <w:sz w:val="22"/>
          <w:szCs w:val="22"/>
          <w:color w:val="010000"/>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191" w:lineRule="exact"/>
        <w:rPr>
          <w:rFonts w:ascii="Arial" w:cs="Arial" w:eastAsia="Arial" w:hAnsi="Arial"/>
          <w:sz w:val="22"/>
          <w:szCs w:val="22"/>
          <w:color w:val="010000"/>
        </w:rPr>
      </w:pPr>
    </w:p>
    <w:p>
      <w:pPr>
        <w:ind w:left="-656" w:right="80" w:firstLine="656"/>
        <w:spacing w:after="0" w:line="260" w:lineRule="auto"/>
        <w:tabs>
          <w:tab w:leader="none" w:pos="334" w:val="left"/>
        </w:tabs>
        <w:numPr>
          <w:ilvl w:val="0"/>
          <w:numId w:val="47"/>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have a term of ten (10) years commencing on the Prior Effective Date, which shall not be subject to renewal, unless a Change of Control occurs during such ten (10)-year period, in which case this Agreement will continue until all payments and benefits, if any, have been made to Executive.</w:t>
      </w:r>
    </w:p>
    <w:p>
      <w:pPr>
        <w:spacing w:after="0" w:line="177" w:lineRule="exact"/>
        <w:rPr>
          <w:rFonts w:ascii="Arial" w:cs="Arial" w:eastAsia="Arial" w:hAnsi="Arial"/>
          <w:sz w:val="22"/>
          <w:szCs w:val="22"/>
          <w:color w:val="010000"/>
        </w:rPr>
      </w:pPr>
    </w:p>
    <w:p>
      <w:pPr>
        <w:ind w:left="344" w:hanging="344"/>
        <w:spacing w:after="0"/>
        <w:tabs>
          <w:tab w:leader="none" w:pos="344" w:val="left"/>
        </w:tabs>
        <w:numPr>
          <w:ilvl w:val="0"/>
          <w:numId w:val="47"/>
        </w:numPr>
        <w:rPr>
          <w:rFonts w:ascii="Arial" w:cs="Arial" w:eastAsia="Arial" w:hAnsi="Arial"/>
          <w:sz w:val="22"/>
          <w:szCs w:val="22"/>
          <w:color w:val="010000"/>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left="-656" w:right="160" w:firstLine="980"/>
        <w:spacing w:after="0" w:line="320" w:lineRule="auto"/>
        <w:tabs>
          <w:tab w:leader="none" w:pos="736" w:val="left"/>
        </w:tabs>
        <w:numPr>
          <w:ilvl w:val="1"/>
          <w:numId w:val="47"/>
        </w:numPr>
        <w:rPr>
          <w:rFonts w:ascii="Arial" w:cs="Arial" w:eastAsia="Arial" w:hAnsi="Arial"/>
          <w:sz w:val="19"/>
          <w:szCs w:val="19"/>
          <w:color w:val="010000"/>
        </w:rPr>
      </w:pPr>
      <w:r>
        <w:rPr>
          <w:rFonts w:ascii="Arial" w:cs="Arial" w:eastAsia="Arial" w:hAnsi="Arial"/>
          <w:sz w:val="19"/>
          <w:szCs w:val="19"/>
          <w:color w:val="auto"/>
        </w:rPr>
        <w:t>Any dispute or controversy arising out of, relating to, or in connection with this Agreement, or the interpretation, validity, construction, performance, breach, or termination thereof, shall be settled by binding arbitration to be held in Santa Clara County, California, in accordance with the National Rules for the Resolution of Employment Disputes then in effect of</w:t>
      </w:r>
    </w:p>
    <w:p>
      <w:pPr>
        <w:sectPr>
          <w:pgSz w:w="11900" w:h="16838" w:orient="portrait"/>
          <w:cols w:equalWidth="0" w:num="1">
            <w:col w:w="10744"/>
          </w:cols>
          <w:pgMar w:left="896" w:top="631" w:right="259" w:bottom="1440" w:gutter="0" w:footer="0" w:header="0"/>
        </w:sectPr>
      </w:pPr>
    </w:p>
    <w:bookmarkStart w:id="115" w:name="page116"/>
    <w:bookmarkEnd w:id="115"/>
    <w:p>
      <w:pPr>
        <w:ind w:right="20"/>
        <w:spacing w:after="0" w:line="263" w:lineRule="auto"/>
        <w:rPr>
          <w:sz w:val="20"/>
          <w:szCs w:val="20"/>
          <w:color w:val="auto"/>
        </w:rPr>
      </w:pPr>
      <w:r>
        <w:rPr>
          <w:rFonts w:ascii="Arial" w:cs="Arial" w:eastAsia="Arial" w:hAnsi="Arial"/>
          <w:sz w:val="21"/>
          <w:szCs w:val="21"/>
          <w:color w:val="auto"/>
        </w:rPr>
        <w:t>the American Arbitration Association (the “Rules”), except that each of Company and Executive may, at its, his or her option, seek injunctive relief in a court of competent jurisdiction related to the improper use, disclosure or misappropriation of a party’s private, proprietary, confidential or trade secret information. The arbitrator may grant injunctions or other relief in such dispute or controversy. The decision of the arbitrator shall be final, conclusive and binding on the parties to the arbitration. Judgment may be entered on the arbitrator’s decision in any court having jurisdiction.</w:t>
      </w:r>
    </w:p>
    <w:p>
      <w:pPr>
        <w:spacing w:after="0" w:line="176" w:lineRule="exact"/>
        <w:rPr>
          <w:sz w:val="20"/>
          <w:szCs w:val="20"/>
          <w:color w:val="auto"/>
        </w:rPr>
      </w:pPr>
    </w:p>
    <w:p>
      <w:pPr>
        <w:ind w:right="180" w:firstLine="980"/>
        <w:spacing w:after="0" w:line="307" w:lineRule="auto"/>
        <w:tabs>
          <w:tab w:leader="none" w:pos="1404"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The arbitrator(s) shall apply California law to the merits of any dispute or claim, without reference to conflicts of law rules. The arbitration proceedings shall be governed by federal arbitration law and by the Rules, without reference to state arbitration law. Executive hereby consents to the personal jurisdiction of the state and federal courts located in California for any action or proceeding arising from or relating to this Agreement or relating to any arbitration in which the parties are participants.</w:t>
      </w:r>
    </w:p>
    <w:p>
      <w:pPr>
        <w:spacing w:after="0" w:line="138" w:lineRule="exact"/>
        <w:rPr>
          <w:rFonts w:ascii="Arial" w:cs="Arial" w:eastAsia="Arial" w:hAnsi="Arial"/>
          <w:sz w:val="19"/>
          <w:szCs w:val="19"/>
          <w:color w:val="010000"/>
        </w:rPr>
      </w:pPr>
    </w:p>
    <w:p>
      <w:pPr>
        <w:ind w:right="820" w:firstLine="980"/>
        <w:spacing w:after="0" w:line="301" w:lineRule="auto"/>
        <w:tabs>
          <w:tab w:leader="none" w:pos="1392" w:val="left"/>
        </w:tabs>
        <w:numPr>
          <w:ilvl w:val="0"/>
          <w:numId w:val="48"/>
        </w:numPr>
        <w:rPr>
          <w:rFonts w:ascii="Arial" w:cs="Arial" w:eastAsia="Arial" w:hAnsi="Arial"/>
          <w:sz w:val="21"/>
          <w:szCs w:val="21"/>
          <w:color w:val="010000"/>
        </w:rPr>
      </w:pPr>
      <w:r>
        <w:rPr>
          <w:rFonts w:ascii="Arial" w:cs="Arial" w:eastAsia="Arial" w:hAnsi="Arial"/>
          <w:sz w:val="21"/>
          <w:szCs w:val="21"/>
          <w:color w:val="auto"/>
        </w:rPr>
        <w:t>Executive understands that nothing in this Section modifies Executive’s at-will employment status. Either Executive or the Company can terminate the employment relationship at any time, with or without Cause.</w:t>
      </w:r>
    </w:p>
    <w:p>
      <w:pPr>
        <w:spacing w:after="0" w:line="137" w:lineRule="exact"/>
        <w:rPr>
          <w:rFonts w:ascii="Arial" w:cs="Arial" w:eastAsia="Arial" w:hAnsi="Arial"/>
          <w:sz w:val="21"/>
          <w:szCs w:val="21"/>
          <w:color w:val="010000"/>
        </w:rPr>
      </w:pPr>
    </w:p>
    <w:p>
      <w:pPr>
        <w:ind w:right="40" w:firstLine="980"/>
        <w:spacing w:after="0" w:line="297" w:lineRule="auto"/>
        <w:tabs>
          <w:tab w:leader="none" w:pos="1404"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EXECUTIVE HAS READ AND UNDERSTANDS THIS SECTION, WHICH DISCUSSES ARBITRATION. EXECUTIVE UNDERSTANDS THAT SUBMITTING ANY CLAIMS ARISING OUT OF, RELATING TO, OR IN CONNECTION WITH THIS AGREEMENT, OR THE INTERPRETATION, VALIDITY, CONSTRUCTION, PERFORMANCE, BREACH OR TERMINATION THEREOF TO BINDING ARBITRATION, CONSTITUTES A WAIVER OF EXECUTIVE’S RIGHT TO A JURY TRIAL AND RELATES TO THE RESOLUTION OF ALL DISPUTES RELATING TO ALL ASPECTS OF THE EMPLOYER/EMPLOYEE RELATIONSHIP, INCLUDING BUT NOT LIMITED TO, THE FOLLOWING CLAIMS:</w:t>
      </w:r>
    </w:p>
    <w:p>
      <w:pPr>
        <w:spacing w:after="0" w:line="146" w:lineRule="exact"/>
        <w:rPr>
          <w:rFonts w:ascii="Arial" w:cs="Arial" w:eastAsia="Arial" w:hAnsi="Arial"/>
          <w:sz w:val="19"/>
          <w:szCs w:val="19"/>
          <w:color w:val="010000"/>
        </w:rPr>
      </w:pPr>
    </w:p>
    <w:p>
      <w:pPr>
        <w:ind w:right="240" w:firstLine="1305"/>
        <w:spacing w:after="0" w:line="251" w:lineRule="auto"/>
        <w:tabs>
          <w:tab w:leader="none" w:pos="1680" w:val="left"/>
        </w:tabs>
        <w:numPr>
          <w:ilvl w:val="1"/>
          <w:numId w:val="48"/>
        </w:numPr>
        <w:rPr>
          <w:rFonts w:ascii="Arial" w:cs="Arial" w:eastAsia="Arial" w:hAnsi="Arial"/>
          <w:sz w:val="22"/>
          <w:szCs w:val="22"/>
          <w:color w:val="010000"/>
        </w:rPr>
      </w:pPr>
      <w:r>
        <w:rPr>
          <w:rFonts w:ascii="Arial" w:cs="Arial" w:eastAsia="Arial" w:hAnsi="Arial"/>
          <w:sz w:val="22"/>
          <w:szCs w:val="22"/>
          <w:color w:val="auto"/>
        </w:rPr>
        <w:t>ANY AND ALL CLAIMS FOR WRONGFUL DISCHARGE OF EMPLOYMENT; BREACH OF CONTRACT, BOTH EXPRESS AND IMPLIED; BREACH OF THE COVENANT OF GOOD FAITH AND FAIR DEALING, BOTH EXPRESS AND IMPLIED; NEGLIGENT OR INTENTIONAL INFLICTION OF EMOTIONAL DISTRESS; NEGLIGENT OR INTENTIONAL MISREPRESENTATION; NEGLIGENT OR INTENTIONAL INTERFERENCE WITH CONTRACT OR PROSPECTIVE ECONOMIC ADVANTAGE; AND DEFAMATION.</w:t>
      </w:r>
    </w:p>
    <w:p>
      <w:pPr>
        <w:spacing w:after="0" w:line="189" w:lineRule="exact"/>
        <w:rPr>
          <w:rFonts w:ascii="Arial" w:cs="Arial" w:eastAsia="Arial" w:hAnsi="Arial"/>
          <w:sz w:val="22"/>
          <w:szCs w:val="22"/>
          <w:color w:val="010000"/>
        </w:rPr>
      </w:pPr>
    </w:p>
    <w:p>
      <w:pPr>
        <w:ind w:right="200" w:firstLine="1305"/>
        <w:spacing w:after="0" w:line="251" w:lineRule="auto"/>
        <w:tabs>
          <w:tab w:leader="none" w:pos="1741" w:val="left"/>
        </w:tabs>
        <w:numPr>
          <w:ilvl w:val="1"/>
          <w:numId w:val="48"/>
        </w:numPr>
        <w:rPr>
          <w:rFonts w:ascii="Arial" w:cs="Arial" w:eastAsia="Arial" w:hAnsi="Arial"/>
          <w:sz w:val="22"/>
          <w:szCs w:val="22"/>
          <w:color w:val="010000"/>
        </w:rPr>
      </w:pPr>
      <w:r>
        <w:rPr>
          <w:rFonts w:ascii="Arial" w:cs="Arial" w:eastAsia="Arial" w:hAnsi="Arial"/>
          <w:sz w:val="22"/>
          <w:szCs w:val="22"/>
          <w:color w:val="auto"/>
        </w:rPr>
        <w:t>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CALIFORNIA FAIR EMPLOYMENT AND HOUSING ACT, AND LABOR CODE SECTION 201, et seq;</w:t>
      </w:r>
    </w:p>
    <w:p>
      <w:pPr>
        <w:spacing w:after="0" w:line="189" w:lineRule="exact"/>
        <w:rPr>
          <w:rFonts w:ascii="Arial" w:cs="Arial" w:eastAsia="Arial" w:hAnsi="Arial"/>
          <w:sz w:val="22"/>
          <w:szCs w:val="22"/>
          <w:color w:val="010000"/>
        </w:rPr>
      </w:pPr>
    </w:p>
    <w:p>
      <w:pPr>
        <w:ind w:firstLine="1305"/>
        <w:spacing w:after="0" w:line="276" w:lineRule="auto"/>
        <w:tabs>
          <w:tab w:leader="none" w:pos="1800" w:val="left"/>
        </w:tabs>
        <w:numPr>
          <w:ilvl w:val="1"/>
          <w:numId w:val="48"/>
        </w:numPr>
        <w:rPr>
          <w:rFonts w:ascii="Arial" w:cs="Arial" w:eastAsia="Arial" w:hAnsi="Arial"/>
          <w:sz w:val="22"/>
          <w:szCs w:val="22"/>
          <w:color w:val="010000"/>
        </w:rPr>
      </w:pPr>
      <w:r>
        <w:rPr>
          <w:rFonts w:ascii="Arial" w:cs="Arial" w:eastAsia="Arial" w:hAnsi="Arial"/>
          <w:sz w:val="22"/>
          <w:szCs w:val="22"/>
          <w:color w:val="auto"/>
        </w:rPr>
        <w:t>ANY AND ALL CLAIMS ARISING OUT OF ANY OTHER LAWS AND REGULATIONS RELATING TO EMPLOYMENT OR EMPLOYMENT DISCRIMINATION.</w:t>
      </w:r>
    </w:p>
    <w:p>
      <w:pPr>
        <w:sectPr>
          <w:pgSz w:w="11900" w:h="16838" w:orient="portrait"/>
          <w:cols w:equalWidth="0" w:num="1">
            <w:col w:w="11360"/>
          </w:cols>
          <w:pgMar w:left="240" w:top="631" w:right="299" w:bottom="1440" w:gutter="0" w:footer="0" w:header="0"/>
        </w:sectPr>
      </w:pPr>
    </w:p>
    <w:bookmarkStart w:id="116" w:name="page117"/>
    <w:bookmarkEnd w:id="116"/>
    <w:p>
      <w:pPr>
        <w:ind w:left="444" w:hanging="444"/>
        <w:spacing w:after="0"/>
        <w:tabs>
          <w:tab w:leader="none" w:pos="444"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left="-656" w:right="240" w:firstLine="980"/>
        <w:spacing w:after="0" w:line="358" w:lineRule="auto"/>
        <w:tabs>
          <w:tab w:leader="none" w:pos="736" w:val="left"/>
        </w:tabs>
        <w:numPr>
          <w:ilvl w:val="1"/>
          <w:numId w:val="49"/>
        </w:numPr>
        <w:rPr>
          <w:rFonts w:ascii="Arial" w:cs="Arial" w:eastAsia="Arial" w:hAnsi="Arial"/>
          <w:sz w:val="19"/>
          <w:szCs w:val="19"/>
          <w:color w:val="010000"/>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90" w:lineRule="exact"/>
        <w:rPr>
          <w:rFonts w:ascii="Arial" w:cs="Arial" w:eastAsia="Arial" w:hAnsi="Arial"/>
          <w:sz w:val="19"/>
          <w:szCs w:val="19"/>
          <w:color w:val="010000"/>
        </w:rPr>
      </w:pPr>
    </w:p>
    <w:p>
      <w:pPr>
        <w:ind w:left="-656" w:right="20" w:firstLine="980"/>
        <w:spacing w:after="0" w:line="307" w:lineRule="auto"/>
        <w:tabs>
          <w:tab w:leader="none" w:pos="748" w:val="left"/>
        </w:tabs>
        <w:numPr>
          <w:ilvl w:val="1"/>
          <w:numId w:val="49"/>
        </w:numPr>
        <w:rPr>
          <w:rFonts w:ascii="Arial" w:cs="Arial" w:eastAsia="Arial" w:hAnsi="Arial"/>
          <w:sz w:val="19"/>
          <w:szCs w:val="19"/>
          <w:color w:val="010000"/>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38" w:lineRule="exact"/>
        <w:rPr>
          <w:rFonts w:ascii="Arial" w:cs="Arial" w:eastAsia="Arial" w:hAnsi="Arial"/>
          <w:sz w:val="19"/>
          <w:szCs w:val="19"/>
          <w:color w:val="010000"/>
        </w:rPr>
      </w:pPr>
    </w:p>
    <w:p>
      <w:pPr>
        <w:ind w:left="-656" w:right="220" w:firstLine="980"/>
        <w:spacing w:after="0" w:line="276" w:lineRule="auto"/>
        <w:tabs>
          <w:tab w:leader="none" w:pos="736" w:val="left"/>
        </w:tabs>
        <w:numPr>
          <w:ilvl w:val="1"/>
          <w:numId w:val="49"/>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60" w:lineRule="exact"/>
        <w:rPr>
          <w:rFonts w:ascii="Arial" w:cs="Arial" w:eastAsia="Arial" w:hAnsi="Arial"/>
          <w:sz w:val="22"/>
          <w:szCs w:val="22"/>
          <w:color w:val="010000"/>
        </w:rPr>
      </w:pPr>
    </w:p>
    <w:p>
      <w:pPr>
        <w:ind w:left="-656" w:firstLine="980"/>
        <w:spacing w:after="0" w:line="266" w:lineRule="auto"/>
        <w:tabs>
          <w:tab w:leader="none" w:pos="748" w:val="left"/>
        </w:tabs>
        <w:numPr>
          <w:ilvl w:val="1"/>
          <w:numId w:val="49"/>
        </w:numPr>
        <w:rPr>
          <w:rFonts w:ascii="Arial" w:cs="Arial" w:eastAsia="Arial" w:hAnsi="Arial"/>
          <w:sz w:val="21"/>
          <w:szCs w:val="21"/>
          <w:color w:val="010000"/>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constitutes the entire agreement of the parties hereto. Executive acknowledges and agrees that this Agreement encompasses all the rights of Executive to any acceleration of Award vesting or severance pay based on termination of 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w:t>
      </w:r>
    </w:p>
    <w:p>
      <w:pPr>
        <w:spacing w:after="0" w:line="174" w:lineRule="exact"/>
        <w:rPr>
          <w:rFonts w:ascii="Arial" w:cs="Arial" w:eastAsia="Arial" w:hAnsi="Arial"/>
          <w:sz w:val="21"/>
          <w:szCs w:val="21"/>
          <w:color w:val="010000"/>
        </w:rPr>
      </w:pPr>
    </w:p>
    <w:p>
      <w:pPr>
        <w:ind w:left="-656" w:right="200" w:firstLine="980"/>
        <w:spacing w:after="0" w:line="276" w:lineRule="auto"/>
        <w:tabs>
          <w:tab w:leader="none" w:pos="736" w:val="left"/>
        </w:tabs>
        <w:numPr>
          <w:ilvl w:val="1"/>
          <w:numId w:val="49"/>
        </w:numPr>
        <w:rPr>
          <w:rFonts w:ascii="Arial" w:cs="Arial" w:eastAsia="Arial" w:hAnsi="Arial"/>
          <w:sz w:val="22"/>
          <w:szCs w:val="22"/>
          <w:color w:val="010000"/>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will be governed by the laws of the State of California (with the exception of its conflict of laws provisions).</w:t>
      </w:r>
    </w:p>
    <w:p>
      <w:pPr>
        <w:spacing w:after="0" w:line="160" w:lineRule="exact"/>
        <w:rPr>
          <w:rFonts w:ascii="Arial" w:cs="Arial" w:eastAsia="Arial" w:hAnsi="Arial"/>
          <w:sz w:val="22"/>
          <w:szCs w:val="22"/>
          <w:color w:val="010000"/>
        </w:rPr>
      </w:pPr>
    </w:p>
    <w:p>
      <w:pPr>
        <w:ind w:left="-656" w:right="80" w:firstLine="980"/>
        <w:spacing w:after="0" w:line="276" w:lineRule="auto"/>
        <w:tabs>
          <w:tab w:leader="none" w:pos="712" w:val="left"/>
        </w:tabs>
        <w:numPr>
          <w:ilvl w:val="1"/>
          <w:numId w:val="49"/>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60" w:lineRule="exact"/>
        <w:rPr>
          <w:rFonts w:ascii="Arial" w:cs="Arial" w:eastAsia="Arial" w:hAnsi="Arial"/>
          <w:sz w:val="22"/>
          <w:szCs w:val="22"/>
          <w:color w:val="010000"/>
        </w:rPr>
      </w:pPr>
    </w:p>
    <w:p>
      <w:pPr>
        <w:ind w:left="-656" w:right="200" w:firstLine="980"/>
        <w:spacing w:after="0" w:line="276" w:lineRule="auto"/>
        <w:tabs>
          <w:tab w:leader="none" w:pos="748" w:val="left"/>
        </w:tabs>
        <w:numPr>
          <w:ilvl w:val="1"/>
          <w:numId w:val="49"/>
        </w:numPr>
        <w:rPr>
          <w:rFonts w:ascii="Arial" w:cs="Arial" w:eastAsia="Arial" w:hAnsi="Arial"/>
          <w:sz w:val="22"/>
          <w:szCs w:val="22"/>
          <w:color w:val="010000"/>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pursuant to this Agreement will be subject to withholding of applicable income and employment taxes.</w:t>
      </w:r>
    </w:p>
    <w:p>
      <w:pPr>
        <w:spacing w:after="0" w:line="160" w:lineRule="exact"/>
        <w:rPr>
          <w:rFonts w:ascii="Arial" w:cs="Arial" w:eastAsia="Arial" w:hAnsi="Arial"/>
          <w:sz w:val="22"/>
          <w:szCs w:val="22"/>
          <w:color w:val="010000"/>
        </w:rPr>
      </w:pPr>
    </w:p>
    <w:p>
      <w:pPr>
        <w:ind w:left="-656" w:right="160" w:firstLine="980"/>
        <w:spacing w:after="0" w:line="276" w:lineRule="auto"/>
        <w:tabs>
          <w:tab w:leader="none" w:pos="748" w:val="left"/>
        </w:tabs>
        <w:numPr>
          <w:ilvl w:val="1"/>
          <w:numId w:val="49"/>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may be executed in counterparts, each of which will be deemed an original, but all of which together will constitute one </w:t>
      </w:r>
      <w:r>
        <w:rPr>
          <w:rFonts w:ascii="Arial" w:cs="Arial" w:eastAsia="Arial" w:hAnsi="Arial"/>
          <w:sz w:val="22"/>
          <w:szCs w:val="22"/>
          <w:color w:val="010000"/>
        </w:rPr>
        <w:t>and</w:t>
      </w:r>
      <w:r>
        <w:rPr>
          <w:rFonts w:ascii="Arial" w:cs="Arial" w:eastAsia="Arial" w:hAnsi="Arial"/>
          <w:sz w:val="22"/>
          <w:szCs w:val="22"/>
          <w:color w:val="auto"/>
        </w:rPr>
        <w:t xml:space="preserve"> the same instrument.</w:t>
      </w:r>
    </w:p>
    <w:p>
      <w:pPr>
        <w:sectPr>
          <w:pgSz w:w="11900" w:h="16838" w:orient="portrait"/>
          <w:cols w:equalWidth="0" w:num="1">
            <w:col w:w="10724"/>
          </w:cols>
          <w:pgMar w:left="896" w:top="631" w:right="279" w:bottom="1440" w:gutter="0" w:footer="0" w:header="0"/>
        </w:sectPr>
      </w:pPr>
    </w:p>
    <w:bookmarkStart w:id="117" w:name="page118"/>
    <w:bookmarkEnd w:id="117"/>
    <w:p>
      <w:pPr>
        <w:ind w:right="480"/>
        <w:spacing w:after="0" w:line="263"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22"/>
                <w:szCs w:val="22"/>
                <w:color w:val="auto"/>
              </w:rPr>
              <w:t>COMPANY</w:t>
            </w:r>
          </w:p>
        </w:tc>
        <w:tc>
          <w:tcPr>
            <w:tcW w:w="422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22"/>
                <w:szCs w:val="22"/>
                <w:color w:val="auto"/>
              </w:rPr>
              <w:t>FORTINET, INC.</w:t>
            </w:r>
          </w:p>
        </w:tc>
      </w:tr>
      <w:tr>
        <w:trPr>
          <w:trHeight w:val="956"/>
        </w:trPr>
        <w:tc>
          <w:tcPr>
            <w:tcW w:w="3180" w:type="dxa"/>
            <w:vAlign w:val="bottom"/>
          </w:tcPr>
          <w:p>
            <w:pPr>
              <w:spacing w:after="0"/>
              <w:rPr>
                <w:sz w:val="24"/>
                <w:szCs w:val="24"/>
                <w:color w:val="auto"/>
              </w:rPr>
            </w:pPr>
          </w:p>
        </w:tc>
        <w:tc>
          <w:tcPr>
            <w:tcW w:w="4220" w:type="dxa"/>
            <w:vAlign w:val="bottom"/>
          </w:tcPr>
          <w:p>
            <w:pPr>
              <w:ind w:left="1960"/>
              <w:spacing w:after="0"/>
              <w:rPr>
                <w:sz w:val="20"/>
                <w:szCs w:val="20"/>
                <w:color w:val="auto"/>
              </w:rPr>
            </w:pPr>
            <w:r>
              <w:rPr>
                <w:rFonts w:ascii="Arial" w:cs="Arial" w:eastAsia="Arial" w:hAnsi="Arial"/>
                <w:sz w:val="22"/>
                <w:szCs w:val="22"/>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Whittle</w:t>
            </w:r>
          </w:p>
        </w:tc>
      </w:tr>
      <w:tr>
        <w:trPr>
          <w:trHeight w:val="280"/>
        </w:trPr>
        <w:tc>
          <w:tcPr>
            <w:tcW w:w="31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22"/>
                <w:szCs w:val="22"/>
                <w:color w:val="auto"/>
              </w:rPr>
              <w:t>John Whittle</w:t>
            </w:r>
          </w:p>
        </w:tc>
      </w:tr>
      <w:tr>
        <w:trPr>
          <w:trHeight w:val="635"/>
        </w:trPr>
        <w:tc>
          <w:tcPr>
            <w:tcW w:w="3180" w:type="dxa"/>
            <w:vAlign w:val="bottom"/>
          </w:tcPr>
          <w:p>
            <w:pPr>
              <w:spacing w:after="0"/>
              <w:rPr>
                <w:sz w:val="24"/>
                <w:szCs w:val="24"/>
                <w:color w:val="auto"/>
              </w:rPr>
            </w:pPr>
          </w:p>
        </w:tc>
        <w:tc>
          <w:tcPr>
            <w:tcW w:w="4220" w:type="dxa"/>
            <w:vAlign w:val="bottom"/>
          </w:tcPr>
          <w:p>
            <w:pPr>
              <w:ind w:left="1960"/>
              <w:spacing w:after="0"/>
              <w:rPr>
                <w:sz w:val="20"/>
                <w:szCs w:val="20"/>
                <w:color w:val="auto"/>
              </w:rPr>
            </w:pPr>
            <w:r>
              <w:rPr>
                <w:rFonts w:ascii="Arial" w:cs="Arial" w:eastAsia="Arial" w:hAnsi="Arial"/>
                <w:sz w:val="22"/>
                <w:szCs w:val="22"/>
                <w:color w:val="auto"/>
              </w:rPr>
              <w:t>Title:</w:t>
            </w:r>
          </w:p>
        </w:tc>
        <w:tc>
          <w:tcPr>
            <w:tcW w:w="3980" w:type="dxa"/>
            <w:vAlign w:val="bottom"/>
          </w:tcPr>
          <w:p>
            <w:pPr>
              <w:ind w:left="20"/>
              <w:spacing w:after="0"/>
              <w:rPr>
                <w:sz w:val="20"/>
                <w:szCs w:val="20"/>
                <w:color w:val="auto"/>
              </w:rPr>
            </w:pPr>
            <w:r>
              <w:rPr>
                <w:rFonts w:ascii="Arial" w:cs="Arial" w:eastAsia="Arial" w:hAnsi="Arial"/>
                <w:sz w:val="22"/>
                <w:szCs w:val="22"/>
                <w:color w:val="auto"/>
              </w:rPr>
              <w:t>Vice President, General Counsel</w:t>
            </w:r>
          </w:p>
        </w:tc>
      </w:tr>
      <w:tr>
        <w:trPr>
          <w:trHeight w:val="233"/>
        </w:trPr>
        <w:tc>
          <w:tcPr>
            <w:tcW w:w="31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r>
      <w:tr>
        <w:trPr>
          <w:trHeight w:val="608"/>
        </w:trPr>
        <w:tc>
          <w:tcPr>
            <w:tcW w:w="3180" w:type="dxa"/>
            <w:vAlign w:val="bottom"/>
          </w:tcPr>
          <w:p>
            <w:pPr>
              <w:spacing w:after="0"/>
              <w:rPr>
                <w:sz w:val="20"/>
                <w:szCs w:val="20"/>
                <w:color w:val="auto"/>
              </w:rPr>
            </w:pPr>
            <w:r>
              <w:rPr>
                <w:rFonts w:ascii="Arial" w:cs="Arial" w:eastAsia="Arial" w:hAnsi="Arial"/>
                <w:sz w:val="22"/>
                <w:szCs w:val="22"/>
                <w:color w:val="auto"/>
              </w:rPr>
              <w:t>EXECUTIVE</w:t>
            </w:r>
          </w:p>
        </w:tc>
        <w:tc>
          <w:tcPr>
            <w:tcW w:w="4220" w:type="dxa"/>
            <w:vAlign w:val="bottom"/>
          </w:tcPr>
          <w:p>
            <w:pPr>
              <w:ind w:left="1960"/>
              <w:spacing w:after="0"/>
              <w:rPr>
                <w:sz w:val="20"/>
                <w:szCs w:val="20"/>
                <w:color w:val="auto"/>
              </w:rPr>
            </w:pPr>
            <w:r>
              <w:rPr>
                <w:rFonts w:ascii="Arial" w:cs="Arial" w:eastAsia="Arial" w:hAnsi="Arial"/>
                <w:sz w:val="22"/>
                <w:szCs w:val="22"/>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Ken Xie</w:t>
            </w:r>
          </w:p>
        </w:tc>
      </w:tr>
      <w:tr>
        <w:trPr>
          <w:trHeight w:val="280"/>
        </w:trPr>
        <w:tc>
          <w:tcPr>
            <w:tcW w:w="31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22"/>
                <w:szCs w:val="22"/>
                <w:color w:val="auto"/>
              </w:rPr>
              <w:t>Ken Xie</w:t>
            </w:r>
          </w:p>
        </w:tc>
      </w:tr>
      <w:tr>
        <w:trPr>
          <w:trHeight w:val="635"/>
        </w:trPr>
        <w:tc>
          <w:tcPr>
            <w:tcW w:w="3180" w:type="dxa"/>
            <w:vAlign w:val="bottom"/>
          </w:tcPr>
          <w:p>
            <w:pPr>
              <w:spacing w:after="0"/>
              <w:rPr>
                <w:sz w:val="24"/>
                <w:szCs w:val="24"/>
                <w:color w:val="auto"/>
              </w:rPr>
            </w:pPr>
          </w:p>
        </w:tc>
        <w:tc>
          <w:tcPr>
            <w:tcW w:w="4220" w:type="dxa"/>
            <w:vAlign w:val="bottom"/>
          </w:tcPr>
          <w:p>
            <w:pPr>
              <w:ind w:left="1960"/>
              <w:spacing w:after="0"/>
              <w:rPr>
                <w:sz w:val="20"/>
                <w:szCs w:val="20"/>
                <w:color w:val="auto"/>
              </w:rPr>
            </w:pPr>
            <w:r>
              <w:rPr>
                <w:rFonts w:ascii="Arial" w:cs="Arial" w:eastAsia="Arial" w:hAnsi="Arial"/>
                <w:sz w:val="22"/>
                <w:szCs w:val="22"/>
                <w:color w:val="auto"/>
              </w:rPr>
              <w:t>Title:</w:t>
            </w:r>
          </w:p>
        </w:tc>
        <w:tc>
          <w:tcPr>
            <w:tcW w:w="398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r>
        <w:trPr>
          <w:trHeight w:val="233"/>
        </w:trPr>
        <w:tc>
          <w:tcPr>
            <w:tcW w:w="31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63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color w:val="auto"/>
        </w:rPr>
        <w:t>Exhibit 10.16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FORTINET,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 SEVERANCE AGREEMENT</w:t>
      </w:r>
    </w:p>
    <w:p>
      <w:pPr>
        <w:spacing w:after="0" w:line="226"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This Change of Control Severance Agreement (the “Agreement”) is made and entered into by and between Michael Xie (“Executive”) and Fortinet, Inc. (the “Company”), effective as of February 4, 2016 (the “Effective Date”) and superseded the Change of Control Severance Agreement, between Executive and the Company (the “Prior Agreement”), effective as of August 7, 2009 (the “Prior Effective Date”).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ind w:right="80" w:firstLine="656"/>
        <w:spacing w:after="0" w:line="247" w:lineRule="auto"/>
        <w:tabs>
          <w:tab w:leader="none" w:pos="1026" w:val="left"/>
        </w:tabs>
        <w:numPr>
          <w:ilvl w:val="0"/>
          <w:numId w:val="50"/>
        </w:numPr>
        <w:rPr>
          <w:rFonts w:ascii="Arial" w:cs="Arial" w:eastAsia="Arial" w:hAnsi="Arial"/>
          <w:sz w:val="22"/>
          <w:szCs w:val="22"/>
          <w:color w:val="auto"/>
        </w:rPr>
      </w:pPr>
      <w:r>
        <w:rPr>
          <w:rFonts w:ascii="Arial" w:cs="Arial" w:eastAsia="Arial" w:hAnsi="Arial"/>
          <w:sz w:val="22"/>
          <w:szCs w:val="22"/>
          <w:color w:val="auto"/>
        </w:rPr>
        <w:t>It is expected that the Company from time to time will consider the possibility of an acquisition by another company or other change of control. The Board of Directors of the Company (the “Board”)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193" w:lineRule="exact"/>
        <w:rPr>
          <w:rFonts w:ascii="Arial" w:cs="Arial" w:eastAsia="Arial" w:hAnsi="Arial"/>
          <w:sz w:val="22"/>
          <w:szCs w:val="22"/>
          <w:color w:val="auto"/>
        </w:rPr>
      </w:pPr>
    </w:p>
    <w:p>
      <w:pPr>
        <w:ind w:right="280" w:firstLine="656"/>
        <w:spacing w:after="0" w:line="253" w:lineRule="auto"/>
        <w:tabs>
          <w:tab w:leader="none" w:pos="1023"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85" w:lineRule="exact"/>
        <w:rPr>
          <w:rFonts w:ascii="Arial" w:cs="Arial" w:eastAsia="Arial" w:hAnsi="Arial"/>
          <w:sz w:val="22"/>
          <w:szCs w:val="22"/>
          <w:color w:val="auto"/>
        </w:rPr>
      </w:pPr>
    </w:p>
    <w:p>
      <w:pPr>
        <w:ind w:right="400" w:firstLine="656"/>
        <w:spacing w:after="0" w:line="253" w:lineRule="auto"/>
        <w:tabs>
          <w:tab w:leader="none" w:pos="1023"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Board believes that it is imperative to provide Executive with certain benefits upon termination of employment following a Change of Control. These benefits will provide Executive with enhanced financial security and incentive and encouragement to remain with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NOW, THEREFORE, in consideration of the mutual covenants contained herein, the parties hereto agree as follows:</w:t>
      </w:r>
    </w:p>
    <w:p>
      <w:pPr>
        <w:spacing w:after="0" w:line="220" w:lineRule="exact"/>
        <w:rPr>
          <w:sz w:val="20"/>
          <w:szCs w:val="20"/>
          <w:color w:val="auto"/>
        </w:rPr>
      </w:pPr>
    </w:p>
    <w:p>
      <w:pPr>
        <w:jc w:val="both"/>
        <w:ind w:right="180" w:firstLine="656"/>
        <w:spacing w:after="0" w:line="253" w:lineRule="auto"/>
        <w:tabs>
          <w:tab w:leader="none" w:pos="1459" w:val="left"/>
        </w:tabs>
        <w:numPr>
          <w:ilvl w:val="0"/>
          <w:numId w:val="51"/>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terminate upon the earlier to occur of: (a) the Agreement’s termination date as provided in Section 8 below, and (b) the date that all of the obligations of the parties hereto with respect to this Agreement have been satisfied.</w:t>
      </w:r>
    </w:p>
    <w:p>
      <w:pPr>
        <w:spacing w:after="0" w:line="185" w:lineRule="exact"/>
        <w:rPr>
          <w:rFonts w:ascii="Arial" w:cs="Arial" w:eastAsia="Arial" w:hAnsi="Arial"/>
          <w:sz w:val="22"/>
          <w:szCs w:val="22"/>
          <w:color w:val="010000"/>
        </w:rPr>
      </w:pPr>
    </w:p>
    <w:p>
      <w:pPr>
        <w:ind w:right="20" w:firstLine="656"/>
        <w:spacing w:after="0" w:line="278" w:lineRule="auto"/>
        <w:tabs>
          <w:tab w:leader="none" w:pos="990" w:val="left"/>
        </w:tabs>
        <w:numPr>
          <w:ilvl w:val="0"/>
          <w:numId w:val="51"/>
        </w:numPr>
        <w:rPr>
          <w:rFonts w:ascii="Arial" w:cs="Arial" w:eastAsia="Arial" w:hAnsi="Arial"/>
          <w:sz w:val="21"/>
          <w:szCs w:val="21"/>
          <w:color w:val="010000"/>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The Company and Executive acknowledge that Executive’s employment is and will continue to be at-will, as defined under applicable law. If Executive’s employment terminates for any reason, including (without limitation) any termination prior to or twelve (12) months following a Change of Control, Executive will not be</w:t>
      </w:r>
    </w:p>
    <w:p>
      <w:pPr>
        <w:sectPr>
          <w:pgSz w:w="11900" w:h="16838" w:orient="portrait"/>
          <w:cols w:equalWidth="0" w:num="1">
            <w:col w:w="11420"/>
          </w:cols>
          <w:pgMar w:left="240" w:top="631" w:right="239" w:bottom="1440" w:gutter="0" w:footer="0" w:header="0"/>
        </w:sectPr>
      </w:pPr>
    </w:p>
    <w:bookmarkStart w:id="119" w:name="page120"/>
    <w:bookmarkEnd w:id="119"/>
    <w:p>
      <w:pPr>
        <w:ind w:right="180"/>
        <w:spacing w:after="0" w:line="263" w:lineRule="auto"/>
        <w:rPr>
          <w:sz w:val="20"/>
          <w:szCs w:val="20"/>
          <w:color w:val="auto"/>
        </w:rPr>
      </w:pPr>
      <w:r>
        <w:rPr>
          <w:rFonts w:ascii="Arial" w:cs="Arial" w:eastAsia="Arial" w:hAnsi="Arial"/>
          <w:sz w:val="22"/>
          <w:szCs w:val="22"/>
          <w:color w:val="auto"/>
        </w:rPr>
        <w:t>entitled to any acceleration of Award (as defined herein) vesting or severance pay based on termination of employment other than as provided by this Agreement.</w:t>
      </w:r>
    </w:p>
    <w:p>
      <w:pPr>
        <w:spacing w:after="0" w:line="175" w:lineRule="exact"/>
        <w:rPr>
          <w:sz w:val="20"/>
          <w:szCs w:val="20"/>
          <w:color w:val="auto"/>
        </w:rPr>
      </w:pPr>
    </w:p>
    <w:p>
      <w:pPr>
        <w:ind w:left="1000" w:hanging="344"/>
        <w:spacing w:after="0"/>
        <w:tabs>
          <w:tab w:leader="none" w:pos="1000" w:val="left"/>
        </w:tabs>
        <w:numPr>
          <w:ilvl w:val="0"/>
          <w:numId w:val="52"/>
        </w:numPr>
        <w:rPr>
          <w:rFonts w:ascii="Arial" w:cs="Arial" w:eastAsia="Arial" w:hAnsi="Arial"/>
          <w:sz w:val="22"/>
          <w:szCs w:val="22"/>
          <w:color w:val="010000"/>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60" w:firstLine="980"/>
        <w:spacing w:after="0" w:line="266" w:lineRule="auto"/>
        <w:tabs>
          <w:tab w:leader="none" w:pos="1392" w:val="left"/>
        </w:tabs>
        <w:numPr>
          <w:ilvl w:val="1"/>
          <w:numId w:val="52"/>
        </w:numPr>
        <w:rPr>
          <w:rFonts w:ascii="Arial" w:cs="Arial" w:eastAsia="Arial" w:hAnsi="Arial"/>
          <w:sz w:val="21"/>
          <w:szCs w:val="21"/>
          <w:color w:val="010000"/>
        </w:rPr>
      </w:pPr>
      <w:r>
        <w:rPr>
          <w:rFonts w:ascii="Arial" w:cs="Arial" w:eastAsia="Arial" w:hAnsi="Arial"/>
          <w:sz w:val="21"/>
          <w:szCs w:val="21"/>
          <w:u w:val="single" w:color="auto"/>
          <w:color w:val="auto"/>
        </w:rPr>
        <w:t>Involuntary Termination Prior to, or Absent, a Change of Control or After 12 Months Following a Change of Control</w:t>
      </w:r>
      <w:r>
        <w:rPr>
          <w:rFonts w:ascii="Arial" w:cs="Arial" w:eastAsia="Arial" w:hAnsi="Arial"/>
          <w:sz w:val="21"/>
          <w:szCs w:val="21"/>
          <w:color w:val="auto"/>
        </w:rPr>
        <w:t>. If prior to, or absent, a Change of Control or after twelve (12) months following a Change of Control, (i) the Company (or any parent or subsidiary of the Company) terminates Executive’s employment without Cause or (ii) Executive terminates Executive’s employment with the Company (or any parent or subsidiary of the Company) for Good Reason, Executive will receive severance pay and/or benefits as determined by the Company in its sole discretion.</w:t>
      </w:r>
    </w:p>
    <w:p>
      <w:pPr>
        <w:spacing w:after="0" w:line="174" w:lineRule="exact"/>
        <w:rPr>
          <w:rFonts w:ascii="Arial" w:cs="Arial" w:eastAsia="Arial" w:hAnsi="Arial"/>
          <w:sz w:val="21"/>
          <w:szCs w:val="21"/>
          <w:color w:val="010000"/>
        </w:rPr>
      </w:pPr>
    </w:p>
    <w:p>
      <w:pPr>
        <w:ind w:right="40" w:firstLine="980"/>
        <w:spacing w:after="0" w:line="251" w:lineRule="auto"/>
        <w:tabs>
          <w:tab w:leader="none" w:pos="1404" w:val="left"/>
        </w:tabs>
        <w:numPr>
          <w:ilvl w:val="1"/>
          <w:numId w:val="52"/>
        </w:numPr>
        <w:rPr>
          <w:rFonts w:ascii="Arial" w:cs="Arial" w:eastAsia="Arial" w:hAnsi="Arial"/>
          <w:sz w:val="22"/>
          <w:szCs w:val="22"/>
          <w:color w:val="010000"/>
        </w:rPr>
      </w:pPr>
      <w:r>
        <w:rPr>
          <w:rFonts w:ascii="Arial" w:cs="Arial" w:eastAsia="Arial" w:hAnsi="Arial"/>
          <w:sz w:val="22"/>
          <w:szCs w:val="22"/>
          <w:u w:val="single" w:color="auto"/>
          <w:color w:val="auto"/>
        </w:rPr>
        <w:t>Involuntary Termination within 12 Months Following a Change of Control</w:t>
      </w:r>
      <w:r>
        <w:rPr>
          <w:rFonts w:ascii="Arial" w:cs="Arial" w:eastAsia="Arial" w:hAnsi="Arial"/>
          <w:sz w:val="22"/>
          <w:szCs w:val="22"/>
          <w:color w:val="auto"/>
        </w:rPr>
        <w:t>. If within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 3(c) and Section 3(d) below, Executive will receive the following severance from the Company:</w:t>
      </w:r>
    </w:p>
    <w:p>
      <w:pPr>
        <w:spacing w:after="0" w:line="189" w:lineRule="exact"/>
        <w:rPr>
          <w:rFonts w:ascii="Arial" w:cs="Arial" w:eastAsia="Arial" w:hAnsi="Arial"/>
          <w:sz w:val="22"/>
          <w:szCs w:val="22"/>
          <w:color w:val="010000"/>
        </w:rPr>
      </w:pPr>
    </w:p>
    <w:p>
      <w:pPr>
        <w:ind w:firstLine="1305"/>
        <w:spacing w:after="0" w:line="260" w:lineRule="auto"/>
        <w:tabs>
          <w:tab w:leader="none" w:pos="1680" w:val="left"/>
        </w:tabs>
        <w:numPr>
          <w:ilvl w:val="2"/>
          <w:numId w:val="52"/>
        </w:numPr>
        <w:rPr>
          <w:rFonts w:ascii="Arial" w:cs="Arial" w:eastAsia="Arial" w:hAnsi="Arial"/>
          <w:sz w:val="22"/>
          <w:szCs w:val="22"/>
          <w:color w:val="010000"/>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Executive will receive continuing payments of severance pay for a period of six (6) months from the date of such termination equal to the pro-rata portion of Executive’s base salary rate as in effect immediately prior to (A) the Change of Control, or (B) Executive’s termination, whichever is greater.</w:t>
      </w:r>
    </w:p>
    <w:p>
      <w:pPr>
        <w:spacing w:after="0" w:line="177" w:lineRule="exact"/>
        <w:rPr>
          <w:rFonts w:ascii="Arial" w:cs="Arial" w:eastAsia="Arial" w:hAnsi="Arial"/>
          <w:sz w:val="22"/>
          <w:szCs w:val="22"/>
          <w:color w:val="010000"/>
        </w:rPr>
      </w:pPr>
    </w:p>
    <w:p>
      <w:pPr>
        <w:ind w:right="40" w:firstLine="1305"/>
        <w:spacing w:after="0" w:line="292" w:lineRule="auto"/>
        <w:tabs>
          <w:tab w:leader="none" w:pos="1741" w:val="left"/>
        </w:tabs>
        <w:numPr>
          <w:ilvl w:val="2"/>
          <w:numId w:val="52"/>
        </w:numPr>
        <w:rPr>
          <w:rFonts w:ascii="Arial" w:cs="Arial" w:eastAsia="Arial" w:hAnsi="Arial"/>
          <w:sz w:val="19"/>
          <w:szCs w:val="19"/>
          <w:color w:val="010000"/>
        </w:rPr>
      </w:pPr>
      <w:r>
        <w:rPr>
          <w:rFonts w:ascii="Arial" w:cs="Arial" w:eastAsia="Arial" w:hAnsi="Arial"/>
          <w:sz w:val="19"/>
          <w:szCs w:val="19"/>
          <w:u w:val="single" w:color="auto"/>
          <w:color w:val="auto"/>
        </w:rPr>
        <w:t>Equity Awards</w:t>
      </w:r>
      <w:r>
        <w:rPr>
          <w:rFonts w:ascii="Arial" w:cs="Arial" w:eastAsia="Arial" w:hAnsi="Arial"/>
          <w:sz w:val="19"/>
          <w:szCs w:val="19"/>
          <w:color w:val="auto"/>
        </w:rPr>
        <w:t>. If Executive holds unvested equity awards (“Awards”) at the time of Executive’s termination, then one hundred percent (100%) of the then- unvested shares subject to such Awards will immediately vest as of Executive’s termination date. For the sake of clarity, Executive will fully vest in and have the right to exercise stock options and/or stock appreciation rights as to all of the shares underlying such Awards, including those shares which would not otherwise be vested or exercisable, all restrictions on restricted stock and restricted stock units will lapse, and, with respect to performance stock units and performance shares, all performance goals or other vesting criteria will be deemed to have been achieved at one hundred percent (100%) of target levels and all other terms and conditions met. The Awards will remain exercisable, to the extent applicable, following the termination for the period prescribed in the respective stock plan and agreement for each Award.</w:t>
      </w:r>
    </w:p>
    <w:p>
      <w:pPr>
        <w:spacing w:after="0" w:line="155" w:lineRule="exact"/>
        <w:rPr>
          <w:rFonts w:ascii="Arial" w:cs="Arial" w:eastAsia="Arial" w:hAnsi="Arial"/>
          <w:sz w:val="19"/>
          <w:szCs w:val="19"/>
          <w:color w:val="010000"/>
        </w:rPr>
      </w:pPr>
    </w:p>
    <w:p>
      <w:pPr>
        <w:ind w:right="440" w:firstLine="1305"/>
        <w:spacing w:after="0" w:line="358" w:lineRule="auto"/>
        <w:tabs>
          <w:tab w:leader="none" w:pos="1800" w:val="left"/>
        </w:tabs>
        <w:numPr>
          <w:ilvl w:val="2"/>
          <w:numId w:val="52"/>
        </w:numPr>
        <w:rPr>
          <w:rFonts w:ascii="Arial" w:cs="Arial" w:eastAsia="Arial" w:hAnsi="Arial"/>
          <w:sz w:val="19"/>
          <w:szCs w:val="19"/>
          <w:color w:val="010000"/>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Executive will receive Company-paid coverage for a period of twelve (12) months for Executive and Executive’s eligible dependents under the Company’s Benefit Plans (as defined herein).</w:t>
      </w:r>
    </w:p>
    <w:p>
      <w:pPr>
        <w:spacing w:after="0" w:line="90" w:lineRule="exact"/>
        <w:rPr>
          <w:rFonts w:ascii="Arial" w:cs="Arial" w:eastAsia="Arial" w:hAnsi="Arial"/>
          <w:sz w:val="19"/>
          <w:szCs w:val="19"/>
          <w:color w:val="010000"/>
        </w:rPr>
      </w:pPr>
    </w:p>
    <w:p>
      <w:pPr>
        <w:jc w:val="both"/>
        <w:ind w:right="100" w:firstLine="980"/>
        <w:spacing w:after="0" w:line="270" w:lineRule="auto"/>
        <w:tabs>
          <w:tab w:leader="none" w:pos="1392" w:val="left"/>
        </w:tabs>
        <w:numPr>
          <w:ilvl w:val="1"/>
          <w:numId w:val="52"/>
        </w:numPr>
        <w:rPr>
          <w:rFonts w:ascii="Arial" w:cs="Arial" w:eastAsia="Arial" w:hAnsi="Arial"/>
          <w:sz w:val="21"/>
          <w:szCs w:val="21"/>
          <w:color w:val="010000"/>
        </w:rPr>
      </w:pPr>
      <w:r>
        <w:rPr>
          <w:rFonts w:ascii="Arial" w:cs="Arial" w:eastAsia="Arial" w:hAnsi="Arial"/>
          <w:sz w:val="21"/>
          <w:szCs w:val="21"/>
          <w:u w:val="single" w:color="auto"/>
          <w:color w:val="auto"/>
        </w:rPr>
        <w:t>Release of Claims Agreement</w:t>
      </w:r>
      <w:r>
        <w:rPr>
          <w:rFonts w:ascii="Arial" w:cs="Arial" w:eastAsia="Arial" w:hAnsi="Arial"/>
          <w:sz w:val="21"/>
          <w:szCs w:val="21"/>
          <w:color w:val="auto"/>
        </w:rPr>
        <w:t>. The receipt of any severance pay or other benefits pursuant to Sections 3(a) and (b) above will be subject to Executive signing and not revoking a release of claims agreement with the Company in a form reasonably acceptable to the Company (provided the Company will work in good faith with Executive to reach agreement on the form of release) that is effective and irrevocable no later than the later of (i) the fifteenth day of the</w:t>
      </w:r>
    </w:p>
    <w:p>
      <w:pPr>
        <w:sectPr>
          <w:pgSz w:w="11900" w:h="16838" w:orient="portrait"/>
          <w:cols w:equalWidth="0" w:num="1">
            <w:col w:w="11400"/>
          </w:cols>
          <w:pgMar w:left="240" w:top="631" w:right="259" w:bottom="1440" w:gutter="0" w:footer="0" w:header="0"/>
        </w:sectPr>
      </w:pPr>
    </w:p>
    <w:bookmarkStart w:id="120" w:name="page121"/>
    <w:bookmarkEnd w:id="120"/>
    <w:p>
      <w:pPr>
        <w:ind w:right="120"/>
        <w:spacing w:after="0" w:line="248" w:lineRule="auto"/>
        <w:rPr>
          <w:sz w:val="20"/>
          <w:szCs w:val="20"/>
          <w:color w:val="auto"/>
        </w:rPr>
      </w:pPr>
      <w:r>
        <w:rPr>
          <w:rFonts w:ascii="Arial" w:cs="Arial" w:eastAsia="Arial" w:hAnsi="Arial"/>
          <w:sz w:val="22"/>
          <w:szCs w:val="22"/>
          <w:color w:val="auto"/>
        </w:rPr>
        <w:t>third month after the end of the Company’s fiscal year in which such termination occurs or (ii) March 15 of the calendar year following the calendar year in which such termination of employment occurs. No such severance pay or other benefits will be paid or provided until the release of claims agreement becomes effective, and any severance amounts or benefits otherwise payable between the date of Executive’s termination and the date of such release becomes effective and irrevocable shall be paid on the effective date of such release.</w:t>
      </w:r>
    </w:p>
    <w:p>
      <w:pPr>
        <w:spacing w:after="0" w:line="192" w:lineRule="exact"/>
        <w:rPr>
          <w:sz w:val="20"/>
          <w:szCs w:val="20"/>
          <w:color w:val="auto"/>
        </w:rPr>
      </w:pPr>
    </w:p>
    <w:p>
      <w:pPr>
        <w:ind w:firstLine="980"/>
        <w:spacing w:after="0" w:line="259" w:lineRule="auto"/>
        <w:tabs>
          <w:tab w:leader="none" w:pos="1404" w:val="left"/>
        </w:tabs>
        <w:numPr>
          <w:ilvl w:val="0"/>
          <w:numId w:val="53"/>
        </w:numPr>
        <w:rPr>
          <w:rFonts w:ascii="Arial" w:cs="Arial" w:eastAsia="Arial" w:hAnsi="Arial"/>
          <w:sz w:val="21"/>
          <w:szCs w:val="21"/>
          <w:color w:val="010000"/>
        </w:rPr>
      </w:pPr>
      <w:r>
        <w:rPr>
          <w:rFonts w:ascii="Arial" w:cs="Arial" w:eastAsia="Arial" w:hAnsi="Arial"/>
          <w:sz w:val="21"/>
          <w:szCs w:val="21"/>
          <w:u w:val="single" w:color="auto"/>
          <w:color w:val="auto"/>
        </w:rPr>
        <w:t>Non-solicitation and Non-competition</w:t>
      </w:r>
      <w:r>
        <w:rPr>
          <w:rFonts w:ascii="Arial" w:cs="Arial" w:eastAsia="Arial" w:hAnsi="Arial"/>
          <w:sz w:val="21"/>
          <w:szCs w:val="21"/>
          <w:color w:val="auto"/>
        </w:rPr>
        <w:t>. Executive agrees, to the extent permitted by applicable law, that in the event Executive receives severance pay or other benefits pursuant to Sections 3(a) and (b) above, for the twelve (12) consecutive month period immediately following the date of Executive’s termination, Executive, as a condition to receipt of severance pay and benefits under Sections 3(a) and (b), will not (i) either directly or indirectly, solicit, induce, recruit, encourage any employee of the Company to leave his employment either for Executive or for any other entity or person, or (ii) without the express written consent of the Company, directly or indirectly engage in, enter the employ, have any ownership interest in, or participate in any entity that as of the date of involuntary termination, engages in the design, development, manufacture, production, marketing, sale or servicing of any product or the provision of any service that competes with any service offered by the Company or any product sold by the Company or under development by the Company; provided, however, that ownership of less than one percent (1%) of the outstanding stock of any publicly traded corporation will not be deemed to be violative of the restrictive covenant set forth in this paragraph. The provisions of clause (ii) will not apply to Executive to the extent Executive is providing services or residing in the State of California.</w:t>
      </w:r>
    </w:p>
    <w:p>
      <w:pPr>
        <w:spacing w:after="0" w:line="182"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The covenants contained in this Section 3(d) hereof shall be construed as a series of separate covenants, one for each country, province, state, city or other political subdivision in which the Company currently engages in its business or, during the term of this Agreement, becomes engaged in its business. Except for geographic coverage, each such separate covenant shall be deemed identical in terms to the covenant contained in this Section 3(d).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the provisions of this Section 3(d) are deemed to exceed the time, geographic or scope limitations permitted by applicable law, then such provisions shall be reformed to the maximum time, geographic or scope limitations, as the case may be, permitted by applicable law.</w:t>
      </w:r>
    </w:p>
    <w:p>
      <w:pPr>
        <w:spacing w:after="0" w:line="180" w:lineRule="exact"/>
        <w:rPr>
          <w:sz w:val="20"/>
          <w:szCs w:val="20"/>
          <w:color w:val="auto"/>
        </w:rPr>
      </w:pPr>
    </w:p>
    <w:p>
      <w:pPr>
        <w:ind w:right="100" w:firstLine="980"/>
        <w:spacing w:after="0" w:line="251" w:lineRule="auto"/>
        <w:tabs>
          <w:tab w:leader="none" w:pos="1392" w:val="left"/>
        </w:tabs>
        <w:numPr>
          <w:ilvl w:val="0"/>
          <w:numId w:val="54"/>
        </w:numPr>
        <w:rPr>
          <w:rFonts w:ascii="Arial" w:cs="Arial" w:eastAsia="Arial" w:hAnsi="Arial"/>
          <w:sz w:val="22"/>
          <w:szCs w:val="22"/>
          <w:color w:val="010000"/>
        </w:rPr>
      </w:pPr>
      <w:r>
        <w:rPr>
          <w:rFonts w:ascii="Arial" w:cs="Arial" w:eastAsia="Arial" w:hAnsi="Arial"/>
          <w:sz w:val="22"/>
          <w:szCs w:val="22"/>
          <w:u w:val="single" w:color="auto"/>
          <w:color w:val="auto"/>
        </w:rPr>
        <w:t>Timing of Severance Payments</w:t>
      </w:r>
      <w:r>
        <w:rPr>
          <w:rFonts w:ascii="Arial" w:cs="Arial" w:eastAsia="Arial" w:hAnsi="Arial"/>
          <w:sz w:val="22"/>
          <w:szCs w:val="22"/>
          <w:color w:val="auto"/>
        </w:rPr>
        <w:t>. Subject to Section 3(c), the Company will pay the severance payments to which Executive is entitled as salary continuation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ectPr>
          <w:pgSz w:w="11900" w:h="16838" w:orient="portrait"/>
          <w:cols w:equalWidth="0" w:num="1">
            <w:col w:w="11420"/>
          </w:cols>
          <w:pgMar w:left="240" w:top="631" w:right="239" w:bottom="1440" w:gutter="0" w:footer="0" w:header="0"/>
        </w:sectPr>
      </w:pPr>
    </w:p>
    <w:bookmarkStart w:id="121" w:name="page122"/>
    <w:bookmarkEnd w:id="121"/>
    <w:p>
      <w:pPr>
        <w:ind w:left="-8" w:firstLine="980"/>
        <w:spacing w:after="0" w:line="299" w:lineRule="auto"/>
        <w:tabs>
          <w:tab w:leader="none" w:pos="1360" w:val="left"/>
        </w:tabs>
        <w:numPr>
          <w:ilvl w:val="1"/>
          <w:numId w:val="55"/>
        </w:numPr>
        <w:rPr>
          <w:rFonts w:ascii="Arial" w:cs="Arial" w:eastAsia="Arial" w:hAnsi="Arial"/>
          <w:sz w:val="19"/>
          <w:szCs w:val="19"/>
          <w:color w:val="010000"/>
        </w:rPr>
      </w:pPr>
      <w:r>
        <w:rPr>
          <w:rFonts w:ascii="Arial" w:cs="Arial" w:eastAsia="Arial" w:hAnsi="Arial"/>
          <w:sz w:val="19"/>
          <w:szCs w:val="19"/>
          <w:u w:val="single" w:color="auto"/>
          <w:color w:val="auto"/>
        </w:rPr>
        <w:t>Voluntary Resignation; Termination For Cause</w:t>
      </w:r>
      <w:r>
        <w:rPr>
          <w:rFonts w:ascii="Arial" w:cs="Arial" w:eastAsia="Arial" w:hAnsi="Arial"/>
          <w:sz w:val="19"/>
          <w:szCs w:val="19"/>
          <w:color w:val="auto"/>
        </w:rPr>
        <w:t>. If Executive’s employment with the Company terminates (i) voluntarily by Executive (except upon a termination for Good Reason within twelve (12) months following a Change of Control) or</w:t>
      </w:r>
    </w:p>
    <w:p>
      <w:pPr>
        <w:ind w:left="-8" w:right="140" w:firstLine="8"/>
        <w:spacing w:after="0" w:line="302" w:lineRule="auto"/>
        <w:tabs>
          <w:tab w:leader="none" w:pos="310" w:val="left"/>
        </w:tabs>
        <w:numPr>
          <w:ilvl w:val="0"/>
          <w:numId w:val="56"/>
        </w:numPr>
        <w:rPr>
          <w:rFonts w:ascii="Arial" w:cs="Arial" w:eastAsia="Arial" w:hAnsi="Arial"/>
          <w:sz w:val="19"/>
          <w:szCs w:val="19"/>
          <w:color w:val="auto"/>
        </w:rPr>
      </w:pPr>
      <w:r>
        <w:rPr>
          <w:rFonts w:ascii="Arial" w:cs="Arial" w:eastAsia="Arial" w:hAnsi="Arial"/>
          <w:sz w:val="19"/>
          <w:szCs w:val="19"/>
          <w:color w:val="auto"/>
        </w:rPr>
        <w:t>for Cause by the 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43" w:lineRule="exact"/>
        <w:rPr>
          <w:rFonts w:ascii="Arial" w:cs="Arial" w:eastAsia="Arial" w:hAnsi="Arial"/>
          <w:sz w:val="19"/>
          <w:szCs w:val="19"/>
          <w:color w:val="auto"/>
        </w:rPr>
      </w:pPr>
    </w:p>
    <w:p>
      <w:pPr>
        <w:ind w:left="-8" w:right="500" w:firstLine="980"/>
        <w:spacing w:after="0" w:line="307" w:lineRule="auto"/>
        <w:tabs>
          <w:tab w:leader="none" w:pos="1396" w:val="left"/>
        </w:tabs>
        <w:numPr>
          <w:ilvl w:val="1"/>
          <w:numId w:val="56"/>
        </w:numPr>
        <w:rPr>
          <w:rFonts w:ascii="Arial" w:cs="Arial" w:eastAsia="Arial" w:hAnsi="Arial"/>
          <w:sz w:val="19"/>
          <w:szCs w:val="19"/>
          <w:color w:val="010000"/>
        </w:rPr>
      </w:pPr>
      <w:r>
        <w:rPr>
          <w:rFonts w:ascii="Arial" w:cs="Arial" w:eastAsia="Arial" w:hAnsi="Arial"/>
          <w:sz w:val="19"/>
          <w:szCs w:val="19"/>
          <w:u w:val="single" w:color="auto"/>
          <w:color w:val="auto"/>
        </w:rPr>
        <w:t>Disability; Death</w:t>
      </w:r>
      <w:r>
        <w:rPr>
          <w:rFonts w:ascii="Arial" w:cs="Arial" w:eastAsia="Arial" w:hAnsi="Arial"/>
          <w:sz w:val="19"/>
          <w:szCs w:val="19"/>
          <w:color w:val="auto"/>
        </w:rPr>
        <w:t>. If the Company terminates Executive’s employment as a result of Executive’s Disability,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38" w:lineRule="exact"/>
        <w:rPr>
          <w:rFonts w:ascii="Arial" w:cs="Arial" w:eastAsia="Arial" w:hAnsi="Arial"/>
          <w:sz w:val="19"/>
          <w:szCs w:val="19"/>
          <w:color w:val="010000"/>
        </w:rPr>
      </w:pPr>
    </w:p>
    <w:p>
      <w:pPr>
        <w:ind w:left="-8" w:right="200" w:firstLine="980"/>
        <w:spacing w:after="0" w:line="300" w:lineRule="auto"/>
        <w:tabs>
          <w:tab w:leader="none" w:pos="1396" w:val="left"/>
        </w:tabs>
        <w:numPr>
          <w:ilvl w:val="1"/>
          <w:numId w:val="56"/>
        </w:numPr>
        <w:rPr>
          <w:rFonts w:ascii="Arial" w:cs="Arial" w:eastAsia="Arial" w:hAnsi="Arial"/>
          <w:sz w:val="19"/>
          <w:szCs w:val="19"/>
          <w:color w:val="010000"/>
        </w:rPr>
      </w:pPr>
      <w:r>
        <w:rPr>
          <w:rFonts w:ascii="Arial" w:cs="Arial" w:eastAsia="Arial" w:hAnsi="Arial"/>
          <w:sz w:val="19"/>
          <w:szCs w:val="19"/>
          <w:u w:val="single" w:color="auto"/>
          <w:color w:val="auto"/>
        </w:rPr>
        <w:t>Exclusive Remedy</w:t>
      </w:r>
      <w:r>
        <w:rPr>
          <w:rFonts w:ascii="Arial" w:cs="Arial" w:eastAsia="Arial" w:hAnsi="Arial"/>
          <w:sz w:val="19"/>
          <w:szCs w:val="19"/>
          <w:color w:val="auto"/>
        </w:rPr>
        <w:t>. In the event of a termination of Executive’s employment with the Company (or any parent or subsidiary of the Company), the provisions of this Section 3 are intended to be and are exclusive and in lieu of any other rights or remedies to which Executive or the Company may otherwise be entitled, whether at law, tort or contract, in equity, or under this Agreement. Executive will be entitled to no severance or other benefits upon termination of employment with respect to acceleration of Award vesting or severance pay other than those benefits expressly set forth in this Section 3.</w:t>
      </w:r>
    </w:p>
    <w:p>
      <w:pPr>
        <w:spacing w:after="0" w:line="147" w:lineRule="exact"/>
        <w:rPr>
          <w:rFonts w:ascii="Arial" w:cs="Arial" w:eastAsia="Arial" w:hAnsi="Arial"/>
          <w:sz w:val="19"/>
          <w:szCs w:val="19"/>
          <w:color w:val="010000"/>
        </w:rPr>
      </w:pPr>
    </w:p>
    <w:p>
      <w:pPr>
        <w:ind w:left="-8" w:right="20" w:firstLine="980"/>
        <w:spacing w:after="0" w:line="286" w:lineRule="auto"/>
        <w:tabs>
          <w:tab w:leader="none" w:pos="1348" w:val="left"/>
        </w:tabs>
        <w:numPr>
          <w:ilvl w:val="1"/>
          <w:numId w:val="56"/>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of the Internal Revenue Code of 1986, as amended (the “Code”) and any final regulations and official guidance promulgated thereunder (“Section 409A”) (together, the “Deferred Compensation Separation Benefits”) will be paid or otherwise provided until Executive has a “separation from service” within the meaning of Section 409A. Similarly, no severance payments or separation benefits payable to Executive, if any, pursuant to this Agreement that otherwise would be exempt from Section 409A pursuant to Section 1.409A-1(b)(9) of the Treasury Regulations will be payable until Executive has a “separation from service” within the meaning of Section 409A. In addition, if Executive is a “specified employee” within the meaning of Section 409A at the time of Executive’s termination (other than due to death), then the Deferred Compensation Separation Benefits that are payable within the first six (6) months following Executive’s separation from service, will become payable in a lump sum (without interest)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w:t>
      </w:r>
    </w:p>
    <w:p>
      <w:pPr>
        <w:sectPr>
          <w:pgSz w:w="11900" w:h="16838" w:orient="portrait"/>
          <w:cols w:equalWidth="0" w:num="1">
            <w:col w:w="11392"/>
          </w:cols>
          <w:pgMar w:left="248" w:top="631" w:right="259" w:bottom="1440" w:gutter="0" w:footer="0" w:header="0"/>
        </w:sectPr>
      </w:pPr>
    </w:p>
    <w:bookmarkStart w:id="122" w:name="page123"/>
    <w:bookmarkEnd w:id="122"/>
    <w:p>
      <w:pPr>
        <w:spacing w:after="0" w:line="259" w:lineRule="auto"/>
        <w:rPr>
          <w:sz w:val="20"/>
          <w:szCs w:val="20"/>
          <w:color w:val="auto"/>
        </w:rPr>
      </w:pPr>
      <w:r>
        <w:rPr>
          <w:rFonts w:ascii="Arial" w:cs="Arial" w:eastAsia="Arial" w:hAnsi="Arial"/>
          <w:sz w:val="21"/>
          <w:szCs w:val="21"/>
          <w:color w:val="auto"/>
        </w:rPr>
        <w:t>benefit. Each payment and benefit payable under this Agreement is intended to constitute separate payments for purposes of Section 1.409A-2(b)(2) of the Treasury Regulations. To the extent any payment under this Agreement may be classified as a “short-term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80" w:lineRule="exact"/>
        <w:rPr>
          <w:sz w:val="20"/>
          <w:szCs w:val="20"/>
          <w:color w:val="auto"/>
        </w:rPr>
      </w:pPr>
    </w:p>
    <w:p>
      <w:pPr>
        <w:ind w:right="140" w:firstLine="656"/>
        <w:spacing w:after="0" w:line="254" w:lineRule="auto"/>
        <w:tabs>
          <w:tab w:leader="none" w:pos="990" w:val="left"/>
        </w:tabs>
        <w:numPr>
          <w:ilvl w:val="0"/>
          <w:numId w:val="57"/>
        </w:numPr>
        <w:rPr>
          <w:rFonts w:ascii="Arial" w:cs="Arial" w:eastAsia="Arial" w:hAnsi="Arial"/>
          <w:sz w:val="22"/>
          <w:szCs w:val="22"/>
          <w:color w:val="010000"/>
        </w:rPr>
      </w:pPr>
      <w:r>
        <w:rPr>
          <w:rFonts w:ascii="Arial" w:cs="Arial" w:eastAsia="Arial" w:hAnsi="Arial"/>
          <w:sz w:val="22"/>
          <w:szCs w:val="22"/>
          <w:u w:val="single" w:color="auto"/>
          <w:color w:val="auto"/>
        </w:rPr>
        <w:t>Limitation on Payments</w:t>
      </w:r>
      <w:r>
        <w:rPr>
          <w:rFonts w:ascii="Arial" w:cs="Arial" w:eastAsia="Arial" w:hAnsi="Arial"/>
          <w:sz w:val="22"/>
          <w:szCs w:val="22"/>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185" w:lineRule="exact"/>
        <w:rPr>
          <w:rFonts w:ascii="Arial" w:cs="Arial" w:eastAsia="Arial" w:hAnsi="Arial"/>
          <w:sz w:val="22"/>
          <w:szCs w:val="22"/>
          <w:color w:val="010000"/>
        </w:rPr>
      </w:pPr>
    </w:p>
    <w:p>
      <w:pPr>
        <w:ind w:left="1400" w:hanging="420"/>
        <w:spacing w:after="0"/>
        <w:tabs>
          <w:tab w:leader="none" w:pos="1400"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delivered in full, or</w:t>
      </w:r>
    </w:p>
    <w:p>
      <w:pPr>
        <w:spacing w:after="0" w:line="233" w:lineRule="exact"/>
        <w:rPr>
          <w:rFonts w:ascii="Arial" w:cs="Arial" w:eastAsia="Arial" w:hAnsi="Arial"/>
          <w:sz w:val="22"/>
          <w:szCs w:val="22"/>
          <w:color w:val="010000"/>
        </w:rPr>
      </w:pPr>
    </w:p>
    <w:p>
      <w:pPr>
        <w:ind w:right="20" w:firstLine="980"/>
        <w:spacing w:after="0" w:line="286" w:lineRule="auto"/>
        <w:tabs>
          <w:tab w:leader="none" w:pos="1404"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 xml:space="preserve">delivered as to such lesser extent which would result in no portion of such severance </w:t>
      </w:r>
      <w:r>
        <w:rPr>
          <w:rFonts w:ascii="Arial" w:cs="Arial" w:eastAsia="Arial" w:hAnsi="Arial"/>
          <w:sz w:val="19"/>
          <w:szCs w:val="19"/>
          <w:color w:val="010000"/>
        </w:rPr>
        <w:t>benefits</w:t>
      </w:r>
      <w:r>
        <w:rPr>
          <w:rFonts w:ascii="Arial" w:cs="Arial" w:eastAsia="Arial" w:hAnsi="Arial"/>
          <w:sz w:val="19"/>
          <w:szCs w:val="19"/>
          <w:color w:val="auto"/>
        </w:rPr>
        <w:t xml:space="preserve">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severance and other benefits constituting “parachute payments” is necessary so that benefits are delivered to a lesser extent, reduction shall occur in the following order: reduction of cash payments; cancellation of awards granted “contingent on a change in ownership or control” (within the meaning of Code Section 280G); cancellation of accelerated vesting of equity awards; reduction of employee benefits. Within any such category of “parachute payment”, a reduction shall occur first with respect to amounts that are not “deferred compensation” within the meaning of Section 409A and then with respect to amounts that are, and to the extent any such payment is to be made over time (e.g., in installments, etc.), then the payments shall be waived in reverse chronological order. Unless the Company and Executive otherwise agree in writing, any determination required under this Section 4 will be made in writing by an independent firm immediately prior to Change of Control (the “Firm”),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reasonably incur in connection with any calculations contemplated by this Section 4.</w:t>
      </w:r>
    </w:p>
    <w:p>
      <w:pPr>
        <w:sectPr>
          <w:pgSz w:w="11900" w:h="16838" w:orient="portrait"/>
          <w:cols w:equalWidth="0" w:num="1">
            <w:col w:w="11400"/>
          </w:cols>
          <w:pgMar w:left="240" w:top="631" w:right="259" w:bottom="1440" w:gutter="0" w:footer="0" w:header="0"/>
        </w:sectPr>
      </w:pPr>
    </w:p>
    <w:bookmarkStart w:id="123" w:name="page124"/>
    <w:bookmarkEnd w:id="123"/>
    <w:p>
      <w:pPr>
        <w:ind w:left="344" w:hanging="344"/>
        <w:spacing w:after="0"/>
        <w:tabs>
          <w:tab w:leader="none" w:pos="344" w:val="left"/>
        </w:tabs>
        <w:numPr>
          <w:ilvl w:val="0"/>
          <w:numId w:val="58"/>
        </w:numPr>
        <w:rPr>
          <w:rFonts w:ascii="Arial" w:cs="Arial" w:eastAsia="Arial" w:hAnsi="Arial"/>
          <w:sz w:val="22"/>
          <w:szCs w:val="22"/>
          <w:color w:val="010000"/>
        </w:rPr>
      </w:pPr>
      <w:r>
        <w:rPr>
          <w:rFonts w:ascii="Arial" w:cs="Arial" w:eastAsia="Arial" w:hAnsi="Arial"/>
          <w:sz w:val="22"/>
          <w:szCs w:val="22"/>
          <w:u w:val="single" w:color="auto"/>
          <w:color w:val="auto"/>
        </w:rPr>
        <w:t>Definition of Terms</w:t>
      </w:r>
      <w:r>
        <w:rPr>
          <w:rFonts w:ascii="Arial" w:cs="Arial" w:eastAsia="Arial" w:hAnsi="Arial"/>
          <w:sz w:val="22"/>
          <w:szCs w:val="22"/>
          <w:color w:val="auto"/>
        </w:rPr>
        <w:t>. The following terms referred to in this Agreement will have the following meanings:</w:t>
      </w:r>
    </w:p>
    <w:p>
      <w:pPr>
        <w:spacing w:after="0" w:line="233" w:lineRule="exact"/>
        <w:rPr>
          <w:rFonts w:ascii="Arial" w:cs="Arial" w:eastAsia="Arial" w:hAnsi="Arial"/>
          <w:sz w:val="22"/>
          <w:szCs w:val="22"/>
          <w:color w:val="010000"/>
        </w:rPr>
      </w:pPr>
    </w:p>
    <w:p>
      <w:pPr>
        <w:ind w:left="-656" w:right="80" w:firstLine="980"/>
        <w:spacing w:after="0" w:line="288" w:lineRule="auto"/>
        <w:tabs>
          <w:tab w:leader="none" w:pos="736" w:val="left"/>
        </w:tabs>
        <w:numPr>
          <w:ilvl w:val="1"/>
          <w:numId w:val="58"/>
        </w:numPr>
        <w:rPr>
          <w:rFonts w:ascii="Arial" w:cs="Arial" w:eastAsia="Arial" w:hAnsi="Arial"/>
          <w:sz w:val="19"/>
          <w:szCs w:val="19"/>
          <w:color w:val="010000"/>
        </w:rPr>
      </w:pPr>
      <w:r>
        <w:rPr>
          <w:rFonts w:ascii="Arial" w:cs="Arial" w:eastAsia="Arial" w:hAnsi="Arial"/>
          <w:sz w:val="19"/>
          <w:szCs w:val="19"/>
          <w:u w:val="single" w:color="auto"/>
          <w:color w:val="auto"/>
        </w:rPr>
        <w:t>Benefit Plans</w:t>
      </w:r>
      <w:r>
        <w:rPr>
          <w:rFonts w:ascii="Arial" w:cs="Arial" w:eastAsia="Arial" w:hAnsi="Arial"/>
          <w:sz w:val="19"/>
          <w:szCs w:val="19"/>
          <w:color w:val="auto"/>
        </w:rPr>
        <w:t>. For purposes of this Agreement, “Benefit Plans” means plans, policies or arrangements that the Company sponsors (or participates in) and that immediately prior to Executive’s termination of employment provide Executive and/or Executive’s eligible dependents with medical, dental, and/or vision benefits. Benefit Plans do not include any other type of benefit (including, but not by way of limitation, disability, life insurance or retirement benefits). A requirement that the Company provide Executive and Executive’s eligible dependents with coverage under the Benefit Plans will not be satisfied unless the coverage is no less favorable than that provided to senior executives of the Company at any applicable time during the period Executive is entitled to receive severance pursuant to Section 3. The Company may, at its option, satisfy any requirement that the Company provide coverage under any Benefit Plan by (i) reimbursing Executive’s premiums under Title X of the Consolidated Budget Reconciliation Act of 1985, as amended (“COBRA”) after Executive has properly elected continuation coverage under COBRA (in which case Executive will be solely responsible for electing such coverage for his eligible dependents), or (ii) providing coverage under a separate plan or plans providing coverage that is no less favorable or by paying Executive a lump-sum payment which is, on an after-tax basis, sufficient to provide Executive and Executive’s eligible dependents with equivalent coverage under a third party plan that is reasonably available to Executive and Executive’s eligible dependents.</w:t>
      </w:r>
    </w:p>
    <w:p>
      <w:pPr>
        <w:spacing w:after="0" w:line="156" w:lineRule="exact"/>
        <w:rPr>
          <w:rFonts w:ascii="Arial" w:cs="Arial" w:eastAsia="Arial" w:hAnsi="Arial"/>
          <w:sz w:val="19"/>
          <w:szCs w:val="19"/>
          <w:color w:val="010000"/>
        </w:rPr>
      </w:pPr>
    </w:p>
    <w:p>
      <w:pPr>
        <w:ind w:left="-656" w:firstLine="980"/>
        <w:spacing w:after="0" w:line="292" w:lineRule="auto"/>
        <w:tabs>
          <w:tab w:leader="none" w:pos="748" w:val="left"/>
        </w:tabs>
        <w:numPr>
          <w:ilvl w:val="1"/>
          <w:numId w:val="58"/>
        </w:numPr>
        <w:rPr>
          <w:rFonts w:ascii="Arial" w:cs="Arial" w:eastAsia="Arial" w:hAnsi="Arial"/>
          <w:sz w:val="19"/>
          <w:szCs w:val="19"/>
          <w:color w:val="010000"/>
        </w:rPr>
      </w:pPr>
      <w:r>
        <w:rPr>
          <w:rFonts w:ascii="Arial" w:cs="Arial" w:eastAsia="Arial" w:hAnsi="Arial"/>
          <w:sz w:val="19"/>
          <w:szCs w:val="19"/>
          <w:u w:val="single" w:color="auto"/>
          <w:color w:val="auto"/>
        </w:rPr>
        <w:t>Cause</w:t>
      </w:r>
      <w:r>
        <w:rPr>
          <w:rFonts w:ascii="Arial" w:cs="Arial" w:eastAsia="Arial" w:hAnsi="Arial"/>
          <w:sz w:val="19"/>
          <w:szCs w:val="19"/>
          <w:color w:val="auto"/>
        </w:rPr>
        <w:t>. “Cause” is defined as (i) an act of dishonesty made by Executive in connection with Executive’s responsibilities as an employee that materially adversely affects the Company, (ii) Executive’s conviction of, or plea of nolo contendere to, a felony or any crime involving fraud, embezzlement or any other act of moral turpitude, (iii) Executive’s gross misconduct that materially and adversely affects the Company’s reputation or business, or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 and Executive continues to refuse to cure such non-performance within thirty (30) days after receiving such notice.</w:t>
      </w:r>
    </w:p>
    <w:p>
      <w:pPr>
        <w:spacing w:after="0" w:line="155" w:lineRule="exact"/>
        <w:rPr>
          <w:rFonts w:ascii="Arial" w:cs="Arial" w:eastAsia="Arial" w:hAnsi="Arial"/>
          <w:sz w:val="19"/>
          <w:szCs w:val="19"/>
          <w:color w:val="010000"/>
        </w:rPr>
      </w:pPr>
    </w:p>
    <w:p>
      <w:pPr>
        <w:ind w:left="744" w:hanging="420"/>
        <w:spacing w:after="0"/>
        <w:tabs>
          <w:tab w:leader="none" w:pos="744" w:val="left"/>
        </w:tabs>
        <w:numPr>
          <w:ilvl w:val="1"/>
          <w:numId w:val="58"/>
        </w:numPr>
        <w:rPr>
          <w:rFonts w:ascii="Arial" w:cs="Arial" w:eastAsia="Arial" w:hAnsi="Arial"/>
          <w:sz w:val="22"/>
          <w:szCs w:val="22"/>
          <w:color w:val="010000"/>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“Change of Control” of the Company is defined as:</w:t>
      </w:r>
    </w:p>
    <w:p>
      <w:pPr>
        <w:spacing w:after="0" w:line="233" w:lineRule="exact"/>
        <w:rPr>
          <w:rFonts w:ascii="Arial" w:cs="Arial" w:eastAsia="Arial" w:hAnsi="Arial"/>
          <w:sz w:val="22"/>
          <w:szCs w:val="22"/>
          <w:color w:val="010000"/>
        </w:rPr>
      </w:pPr>
    </w:p>
    <w:p>
      <w:pPr>
        <w:ind w:left="-656" w:right="180" w:firstLine="1305"/>
        <w:spacing w:after="0" w:line="297" w:lineRule="auto"/>
        <w:tabs>
          <w:tab w:leader="none" w:pos="1024" w:val="left"/>
        </w:tabs>
        <w:numPr>
          <w:ilvl w:val="2"/>
          <w:numId w:val="58"/>
        </w:numPr>
        <w:rPr>
          <w:rFonts w:ascii="Arial" w:cs="Arial" w:eastAsia="Arial" w:hAnsi="Arial"/>
          <w:sz w:val="19"/>
          <w:szCs w:val="19"/>
          <w:color w:val="010000"/>
        </w:rPr>
      </w:pPr>
      <w:r>
        <w:rPr>
          <w:rFonts w:ascii="Arial" w:cs="Arial" w:eastAsia="Arial" w:hAnsi="Arial"/>
          <w:sz w:val="19"/>
          <w:szCs w:val="19"/>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(“Person”) that or is or becomes the owner, directly or indirectly, of securities of the Company representing fifty percent (50%) or more of the total voting power represented by the Company’s then outstanding securities (the “Voting Securities”); provided, however, that for purposes of this subsection (i), the acquisition of additional securities by any one Person, who is considered to own more than fifty percent (50%)</w:t>
      </w:r>
    </w:p>
    <w:p>
      <w:pPr>
        <w:sectPr>
          <w:pgSz w:w="11900" w:h="16838" w:orient="portrait"/>
          <w:cols w:equalWidth="0" w:num="1">
            <w:col w:w="10704"/>
          </w:cols>
          <w:pgMar w:left="896" w:top="631" w:right="29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of the total voting power of the securities of the Company shall not be considered a Change of Control;</w:t>
      </w:r>
    </w:p>
    <w:p>
      <w:pPr>
        <w:spacing w:after="0" w:line="220" w:lineRule="exact"/>
        <w:rPr>
          <w:sz w:val="20"/>
          <w:szCs w:val="20"/>
          <w:color w:val="auto"/>
        </w:rPr>
      </w:pPr>
    </w:p>
    <w:p>
      <w:pPr>
        <w:ind w:right="40" w:firstLine="1305"/>
        <w:spacing w:after="0" w:line="250" w:lineRule="auto"/>
        <w:tabs>
          <w:tab w:leader="none" w:pos="1741" w:val="left"/>
        </w:tabs>
        <w:numPr>
          <w:ilvl w:val="0"/>
          <w:numId w:val="59"/>
        </w:numPr>
        <w:rPr>
          <w:rFonts w:ascii="Arial" w:cs="Arial" w:eastAsia="Arial" w:hAnsi="Arial"/>
          <w:sz w:val="22"/>
          <w:szCs w:val="22"/>
          <w:color w:val="010000"/>
        </w:rPr>
      </w:pPr>
      <w:r>
        <w:rPr>
          <w:rFonts w:ascii="Arial" w:cs="Arial" w:eastAsia="Arial" w:hAnsi="Arial"/>
          <w:sz w:val="22"/>
          <w:szCs w:val="22"/>
          <w:color w:val="auto"/>
        </w:rPr>
        <w:t>a change in the composition of the Board occurring within a twelve (12) month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88" w:lineRule="exact"/>
        <w:rPr>
          <w:rFonts w:ascii="Arial" w:cs="Arial" w:eastAsia="Arial" w:hAnsi="Arial"/>
          <w:sz w:val="22"/>
          <w:szCs w:val="22"/>
          <w:color w:val="010000"/>
        </w:rPr>
      </w:pPr>
    </w:p>
    <w:p>
      <w:pPr>
        <w:ind w:firstLine="1305"/>
        <w:spacing w:after="0" w:line="297" w:lineRule="auto"/>
        <w:tabs>
          <w:tab w:leader="none" w:pos="1800" w:val="left"/>
        </w:tabs>
        <w:numPr>
          <w:ilvl w:val="0"/>
          <w:numId w:val="59"/>
        </w:numPr>
        <w:rPr>
          <w:rFonts w:ascii="Arial" w:cs="Arial" w:eastAsia="Arial" w:hAnsi="Arial"/>
          <w:sz w:val="19"/>
          <w:szCs w:val="19"/>
          <w:color w:val="010000"/>
        </w:rPr>
      </w:pPr>
      <w:r>
        <w:rPr>
          <w:rFonts w:ascii="Arial" w:cs="Arial" w:eastAsia="Arial" w:hAnsi="Arial"/>
          <w:sz w:val="19"/>
          <w:szCs w:val="19"/>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46" w:lineRule="exact"/>
        <w:rPr>
          <w:rFonts w:ascii="Arial" w:cs="Arial" w:eastAsia="Arial" w:hAnsi="Arial"/>
          <w:sz w:val="19"/>
          <w:szCs w:val="19"/>
          <w:color w:val="010000"/>
        </w:rPr>
      </w:pPr>
    </w:p>
    <w:p>
      <w:pPr>
        <w:ind w:firstLine="1305"/>
        <w:spacing w:after="0" w:line="285" w:lineRule="auto"/>
        <w:tabs>
          <w:tab w:leader="none" w:pos="1788" w:val="left"/>
        </w:tabs>
        <w:numPr>
          <w:ilvl w:val="0"/>
          <w:numId w:val="59"/>
        </w:numPr>
        <w:rPr>
          <w:rFonts w:ascii="Arial" w:cs="Arial" w:eastAsia="Arial" w:hAnsi="Arial"/>
          <w:sz w:val="19"/>
          <w:szCs w:val="19"/>
          <w:color w:val="010000"/>
        </w:rPr>
      </w:pPr>
      <w:r>
        <w:rPr>
          <w:rFonts w:ascii="Arial" w:cs="Arial" w:eastAsia="Arial" w:hAnsi="Arial"/>
          <w:sz w:val="19"/>
          <w:szCs w:val="19"/>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5 (c)(iv), the following shall not constitute a change in the ownership of a substantial portion of the Company’s assets: (1) a transfer to an entity that is controlled by the Company’s shareholders immediately after the transfer; or (2) a transfer of assets by the Company to: (A) a shareholder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subsection (C). For purposes of this clause</w:t>
      </w:r>
    </w:p>
    <w:p>
      <w:pPr>
        <w:ind w:right="180"/>
        <w:spacing w:after="0" w:line="246" w:lineRule="auto"/>
        <w:rPr>
          <w:rFonts w:ascii="Arial" w:cs="Arial" w:eastAsia="Arial" w:hAnsi="Arial"/>
          <w:sz w:val="19"/>
          <w:szCs w:val="19"/>
          <w:color w:val="010000"/>
        </w:rPr>
      </w:pPr>
      <w:r>
        <w:rPr>
          <w:rFonts w:ascii="Arial" w:cs="Arial" w:eastAsia="Arial" w:hAnsi="Arial"/>
          <w:sz w:val="22"/>
          <w:szCs w:val="22"/>
          <w:color w:val="auto"/>
        </w:rPr>
        <w:t>(2),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Notwithstanding the foregoing, a Company transaction that does not constitute a change of control event under Treasury Regulation 1.409A-3(i)(5)(v) or (vii) shall be not be considered a Change of Control.</w:t>
      </w:r>
    </w:p>
    <w:p>
      <w:pPr>
        <w:spacing w:after="0" w:line="175" w:lineRule="exact"/>
        <w:rPr>
          <w:sz w:val="20"/>
          <w:szCs w:val="20"/>
          <w:color w:val="auto"/>
        </w:rPr>
      </w:pPr>
    </w:p>
    <w:p>
      <w:pPr>
        <w:ind w:right="300" w:firstLine="980"/>
        <w:spacing w:after="0" w:line="260" w:lineRule="auto"/>
        <w:tabs>
          <w:tab w:leader="none" w:pos="1404" w:val="left"/>
        </w:tabs>
        <w:numPr>
          <w:ilvl w:val="0"/>
          <w:numId w:val="60"/>
        </w:numPr>
        <w:rPr>
          <w:rFonts w:ascii="Arial" w:cs="Arial" w:eastAsia="Arial" w:hAnsi="Arial"/>
          <w:sz w:val="22"/>
          <w:szCs w:val="22"/>
          <w:color w:val="010000"/>
        </w:rPr>
      </w:pPr>
      <w:r>
        <w:rPr>
          <w:rFonts w:ascii="Arial" w:cs="Arial" w:eastAsia="Arial" w:hAnsi="Arial"/>
          <w:sz w:val="22"/>
          <w:szCs w:val="22"/>
          <w:u w:val="single" w:color="auto"/>
          <w:color w:val="auto"/>
        </w:rPr>
        <w:t>Disability</w:t>
      </w:r>
      <w:r>
        <w:rPr>
          <w:rFonts w:ascii="Arial" w:cs="Arial" w:eastAsia="Arial" w:hAnsi="Arial"/>
          <w:sz w:val="22"/>
          <w:szCs w:val="22"/>
          <w:color w:val="auto"/>
        </w:rPr>
        <w:t>. “Disability” will mean that Executive has been unable to perform his Company duties as the result of his incapacity due to physical or mental illness, and such inability, at least twenty-six (26) weeks after its commencement, is determined to be total and</w:t>
      </w:r>
    </w:p>
    <w:p>
      <w:pPr>
        <w:sectPr>
          <w:pgSz w:w="11900" w:h="16838" w:orient="portrait"/>
          <w:cols w:equalWidth="0" w:num="1">
            <w:col w:w="11420"/>
          </w:cols>
          <w:pgMar w:left="240" w:top="631" w:right="239" w:bottom="1440" w:gutter="0" w:footer="0" w:header="0"/>
        </w:sectPr>
      </w:pPr>
    </w:p>
    <w:bookmarkStart w:id="125" w:name="page126"/>
    <w:bookmarkEnd w:id="125"/>
    <w:p>
      <w:pPr>
        <w:ind w:right="40"/>
        <w:spacing w:after="0" w:line="297" w:lineRule="auto"/>
        <w:rPr>
          <w:sz w:val="20"/>
          <w:szCs w:val="20"/>
          <w:color w:val="auto"/>
        </w:rPr>
      </w:pPr>
      <w:r>
        <w:rPr>
          <w:rFonts w:ascii="Arial" w:cs="Arial" w:eastAsia="Arial" w:hAnsi="Arial"/>
          <w:sz w:val="19"/>
          <w:szCs w:val="19"/>
          <w:color w:val="auto"/>
        </w:rPr>
        <w:t>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47" w:lineRule="exact"/>
        <w:rPr>
          <w:sz w:val="20"/>
          <w:szCs w:val="20"/>
          <w:color w:val="auto"/>
        </w:rPr>
      </w:pPr>
    </w:p>
    <w:p>
      <w:pPr>
        <w:ind w:firstLine="980"/>
        <w:spacing w:after="0" w:line="286" w:lineRule="auto"/>
        <w:tabs>
          <w:tab w:leader="none" w:pos="1392" w:val="left"/>
        </w:tabs>
        <w:numPr>
          <w:ilvl w:val="1"/>
          <w:numId w:val="61"/>
        </w:numPr>
        <w:rPr>
          <w:rFonts w:ascii="Arial" w:cs="Arial" w:eastAsia="Arial" w:hAnsi="Arial"/>
          <w:sz w:val="19"/>
          <w:szCs w:val="19"/>
          <w:color w:val="010000"/>
        </w:rPr>
      </w:pPr>
      <w:r>
        <w:rPr>
          <w:rFonts w:ascii="Arial" w:cs="Arial" w:eastAsia="Arial" w:hAnsi="Arial"/>
          <w:sz w:val="19"/>
          <w:szCs w:val="19"/>
          <w:u w:val="single" w:color="auto"/>
          <w:color w:val="auto"/>
        </w:rPr>
        <w:t>Good Reason</w:t>
      </w:r>
      <w:r>
        <w:rPr>
          <w:rFonts w:ascii="Arial" w:cs="Arial" w:eastAsia="Arial" w:hAnsi="Arial"/>
          <w:sz w:val="19"/>
          <w:szCs w:val="19"/>
          <w:color w:val="auto"/>
        </w:rPr>
        <w:t>. “Good Reason” means the occurrence of one or more of the following events without Executive’s express written 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 any material provision of this Agreement, or (vi) the failure of the Company to obtain the assumption of this Agreement by any successor.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w:t>
      </w:r>
    </w:p>
    <w:p>
      <w:pPr>
        <w:spacing w:after="0" w:line="169" w:lineRule="exact"/>
        <w:rPr>
          <w:rFonts w:ascii="Arial" w:cs="Arial" w:eastAsia="Arial" w:hAnsi="Arial"/>
          <w:sz w:val="19"/>
          <w:szCs w:val="19"/>
          <w:color w:val="010000"/>
        </w:rPr>
      </w:pPr>
    </w:p>
    <w:p>
      <w:pPr>
        <w:ind w:left="1000" w:hanging="344"/>
        <w:spacing w:after="0"/>
        <w:tabs>
          <w:tab w:leader="none" w:pos="1000" w:val="left"/>
        </w:tabs>
        <w:numPr>
          <w:ilvl w:val="0"/>
          <w:numId w:val="62"/>
        </w:numPr>
        <w:rPr>
          <w:rFonts w:ascii="Arial" w:cs="Arial" w:eastAsia="Arial" w:hAnsi="Arial"/>
          <w:sz w:val="22"/>
          <w:szCs w:val="22"/>
          <w:color w:val="010000"/>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firstLine="980"/>
        <w:spacing w:after="0" w:line="248" w:lineRule="auto"/>
        <w:tabs>
          <w:tab w:leader="none" w:pos="1392" w:val="left"/>
        </w:tabs>
        <w:numPr>
          <w:ilvl w:val="1"/>
          <w:numId w:val="62"/>
        </w:numPr>
        <w:rPr>
          <w:rFonts w:ascii="Arial" w:cs="Arial" w:eastAsia="Arial" w:hAnsi="Arial"/>
          <w:sz w:val="22"/>
          <w:szCs w:val="22"/>
          <w:color w:val="010000"/>
        </w:rPr>
      </w:pPr>
      <w:r>
        <w:rPr>
          <w:rFonts w:ascii="Arial" w:cs="Arial" w:eastAsia="Arial" w:hAnsi="Arial"/>
          <w:sz w:val="22"/>
          <w:szCs w:val="22"/>
          <w:u w:val="single" w:color="auto"/>
          <w:color w:val="auto"/>
        </w:rPr>
        <w:t>The Company’s Successors</w:t>
      </w:r>
      <w:r>
        <w:rPr>
          <w:rFonts w:ascii="Arial" w:cs="Arial" w:eastAsia="Arial" w:hAnsi="Arial"/>
          <w:sz w:val="22"/>
          <w:szCs w:val="22"/>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6(a) or which becomes bound by the terms of this Agreement by operation of law.</w:t>
      </w:r>
    </w:p>
    <w:p>
      <w:pPr>
        <w:sectPr>
          <w:pgSz w:w="11900" w:h="16838" w:orient="portrait"/>
          <w:cols w:equalWidth="0" w:num="1">
            <w:col w:w="11400"/>
          </w:cols>
          <w:pgMar w:left="240" w:top="631" w:right="259" w:bottom="1440" w:gutter="0" w:footer="0" w:header="0"/>
        </w:sectPr>
      </w:pPr>
    </w:p>
    <w:bookmarkStart w:id="126" w:name="page127"/>
    <w:bookmarkEnd w:id="126"/>
    <w:p>
      <w:pPr>
        <w:ind w:left="-656" w:firstLine="980"/>
        <w:spacing w:after="0" w:line="260" w:lineRule="auto"/>
        <w:tabs>
          <w:tab w:leader="none" w:pos="748" w:val="left"/>
        </w:tabs>
        <w:numPr>
          <w:ilvl w:val="1"/>
          <w:numId w:val="63"/>
        </w:numPr>
        <w:rPr>
          <w:rFonts w:ascii="Arial" w:cs="Arial" w:eastAsia="Arial" w:hAnsi="Arial"/>
          <w:sz w:val="22"/>
          <w:szCs w:val="22"/>
          <w:color w:val="010000"/>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77" w:lineRule="exact"/>
        <w:rPr>
          <w:rFonts w:ascii="Arial" w:cs="Arial" w:eastAsia="Arial" w:hAnsi="Arial"/>
          <w:sz w:val="22"/>
          <w:szCs w:val="22"/>
          <w:color w:val="010000"/>
        </w:rPr>
      </w:pPr>
    </w:p>
    <w:p>
      <w:pPr>
        <w:ind w:left="344" w:hanging="344"/>
        <w:spacing w:after="0"/>
        <w:tabs>
          <w:tab w:leader="none" w:pos="344" w:val="left"/>
        </w:tabs>
        <w:numPr>
          <w:ilvl w:val="0"/>
          <w:numId w:val="64"/>
        </w:numPr>
        <w:rPr>
          <w:rFonts w:ascii="Arial" w:cs="Arial" w:eastAsia="Arial" w:hAnsi="Arial"/>
          <w:sz w:val="22"/>
          <w:szCs w:val="22"/>
          <w:color w:val="010000"/>
        </w:rPr>
      </w:pP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left="-656" w:right="80" w:firstLine="980"/>
        <w:spacing w:after="0" w:line="300" w:lineRule="auto"/>
        <w:tabs>
          <w:tab w:leader="none" w:pos="736" w:val="left"/>
        </w:tabs>
        <w:numPr>
          <w:ilvl w:val="1"/>
          <w:numId w:val="64"/>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47" w:lineRule="exact"/>
        <w:rPr>
          <w:rFonts w:ascii="Arial" w:cs="Arial" w:eastAsia="Arial" w:hAnsi="Arial"/>
          <w:sz w:val="19"/>
          <w:szCs w:val="19"/>
          <w:color w:val="010000"/>
        </w:rPr>
      </w:pPr>
    </w:p>
    <w:p>
      <w:pPr>
        <w:ind w:left="-656" w:right="20" w:firstLine="980"/>
        <w:spacing w:after="0" w:line="248" w:lineRule="auto"/>
        <w:tabs>
          <w:tab w:leader="none" w:pos="748" w:val="left"/>
        </w:tabs>
        <w:numPr>
          <w:ilvl w:val="1"/>
          <w:numId w:val="64"/>
        </w:numPr>
        <w:rPr>
          <w:rFonts w:ascii="Arial" w:cs="Arial" w:eastAsia="Arial" w:hAnsi="Arial"/>
          <w:sz w:val="22"/>
          <w:szCs w:val="22"/>
          <w:color w:val="010000"/>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191" w:lineRule="exact"/>
        <w:rPr>
          <w:rFonts w:ascii="Arial" w:cs="Arial" w:eastAsia="Arial" w:hAnsi="Arial"/>
          <w:sz w:val="22"/>
          <w:szCs w:val="22"/>
          <w:color w:val="010000"/>
        </w:rPr>
      </w:pPr>
    </w:p>
    <w:p>
      <w:pPr>
        <w:ind w:left="-656" w:right="40" w:firstLine="656"/>
        <w:spacing w:after="0" w:line="260" w:lineRule="auto"/>
        <w:tabs>
          <w:tab w:leader="none" w:pos="334" w:val="left"/>
        </w:tabs>
        <w:numPr>
          <w:ilvl w:val="0"/>
          <w:numId w:val="64"/>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have a term of ten (10) years commencing on the Prior Effective Date, which shall not be subject to renewal, unless a Change of Control occurs during such ten (10) year period, in which case this Agreement will continue until all payments and benefits, if any, have been made to Executive.</w:t>
      </w:r>
    </w:p>
    <w:p>
      <w:pPr>
        <w:spacing w:after="0" w:line="177" w:lineRule="exact"/>
        <w:rPr>
          <w:rFonts w:ascii="Arial" w:cs="Arial" w:eastAsia="Arial" w:hAnsi="Arial"/>
          <w:sz w:val="22"/>
          <w:szCs w:val="22"/>
          <w:color w:val="010000"/>
        </w:rPr>
      </w:pPr>
    </w:p>
    <w:p>
      <w:pPr>
        <w:ind w:left="344" w:hanging="344"/>
        <w:spacing w:after="0"/>
        <w:tabs>
          <w:tab w:leader="none" w:pos="344" w:val="left"/>
        </w:tabs>
        <w:numPr>
          <w:ilvl w:val="0"/>
          <w:numId w:val="64"/>
        </w:numPr>
        <w:rPr>
          <w:rFonts w:ascii="Arial" w:cs="Arial" w:eastAsia="Arial" w:hAnsi="Arial"/>
          <w:sz w:val="22"/>
          <w:szCs w:val="22"/>
          <w:color w:val="010000"/>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left="-656" w:right="20" w:firstLine="980"/>
        <w:spacing w:after="0" w:line="292" w:lineRule="auto"/>
        <w:tabs>
          <w:tab w:leader="none" w:pos="736" w:val="left"/>
        </w:tabs>
        <w:numPr>
          <w:ilvl w:val="1"/>
          <w:numId w:val="64"/>
        </w:numPr>
        <w:rPr>
          <w:rFonts w:ascii="Arial" w:cs="Arial" w:eastAsia="Arial" w:hAnsi="Arial"/>
          <w:sz w:val="19"/>
          <w:szCs w:val="19"/>
          <w:color w:val="010000"/>
        </w:rPr>
      </w:pPr>
      <w:r>
        <w:rPr>
          <w:rFonts w:ascii="Arial" w:cs="Arial" w:eastAsia="Arial" w:hAnsi="Arial"/>
          <w:sz w:val="19"/>
          <w:szCs w:val="19"/>
          <w:color w:val="auto"/>
        </w:rPr>
        <w:t>Any dispute or controversy arising out of, relating to, or in connection with this Agreement, or the interpretation, validity, construction, performance, breach, or termination thereof, shall be settled by binding arbitration to be held in Santa Clara County, California, in accordance with the National Rules for the Resolution of Employment Disputes then in effect of the American Arbitration Association (the “Rules”), except that each of Company and Executive may, at its, his or her option, seek injunctive relief in a court of competent jurisdiction related to the improper use, disclosure or misappropriation of a party’s private, proprietary, confidential or trade secret information. The arbitrator may grant injunctions or other relief in such dispute or controversy. The decision of the arbitrator shall be final, conclusive and binding on the parties to the arbitration. Judgment may be entered on the arbitrator’s decision in any court having jurisdiction.</w:t>
      </w:r>
    </w:p>
    <w:p>
      <w:pPr>
        <w:spacing w:after="0" w:line="155" w:lineRule="exact"/>
        <w:rPr>
          <w:rFonts w:ascii="Arial" w:cs="Arial" w:eastAsia="Arial" w:hAnsi="Arial"/>
          <w:sz w:val="19"/>
          <w:szCs w:val="19"/>
          <w:color w:val="010000"/>
        </w:rPr>
      </w:pPr>
    </w:p>
    <w:p>
      <w:pPr>
        <w:ind w:left="-656" w:right="180" w:firstLine="980"/>
        <w:spacing w:after="0" w:line="276" w:lineRule="auto"/>
        <w:tabs>
          <w:tab w:leader="none" w:pos="748" w:val="left"/>
        </w:tabs>
        <w:numPr>
          <w:ilvl w:val="1"/>
          <w:numId w:val="64"/>
        </w:numPr>
        <w:rPr>
          <w:rFonts w:ascii="Arial" w:cs="Arial" w:eastAsia="Arial" w:hAnsi="Arial"/>
          <w:sz w:val="22"/>
          <w:szCs w:val="22"/>
          <w:color w:val="010000"/>
        </w:rPr>
      </w:pPr>
      <w:r>
        <w:rPr>
          <w:rFonts w:ascii="Arial" w:cs="Arial" w:eastAsia="Arial" w:hAnsi="Arial"/>
          <w:sz w:val="22"/>
          <w:szCs w:val="22"/>
          <w:color w:val="auto"/>
        </w:rPr>
        <w:t>The arbitrator(s) shall apply California law to the merits of any dispute or claim, without reference to conflicts of law rules. The arbitration proceedings shall be governed by</w:t>
      </w:r>
    </w:p>
    <w:p>
      <w:pPr>
        <w:sectPr>
          <w:pgSz w:w="11900" w:h="16838" w:orient="portrait"/>
          <w:cols w:equalWidth="0" w:num="1">
            <w:col w:w="10704"/>
          </w:cols>
          <w:pgMar w:left="896" w:top="631" w:right="299" w:bottom="1440" w:gutter="0" w:footer="0" w:header="0"/>
        </w:sectPr>
      </w:pPr>
    </w:p>
    <w:bookmarkStart w:id="127" w:name="page128"/>
    <w:bookmarkEnd w:id="127"/>
    <w:p>
      <w:pPr>
        <w:ind w:right="580"/>
        <w:spacing w:after="0" w:line="253" w:lineRule="auto"/>
        <w:rPr>
          <w:sz w:val="20"/>
          <w:szCs w:val="20"/>
          <w:color w:val="auto"/>
        </w:rPr>
      </w:pPr>
      <w:r>
        <w:rPr>
          <w:rFonts w:ascii="Arial" w:cs="Arial" w:eastAsia="Arial" w:hAnsi="Arial"/>
          <w:sz w:val="22"/>
          <w:szCs w:val="22"/>
          <w:color w:val="auto"/>
        </w:rPr>
        <w:t>federal arbitration law and by the Rules, without reference to state arbitration law. Executive hereby consents to the personal jurisdiction of the state and federal courts located in California for any action or proceeding arising from or relating to this Agreement or relating to any arbitration in which the parties are participants.</w:t>
      </w:r>
    </w:p>
    <w:p>
      <w:pPr>
        <w:spacing w:after="0" w:line="186" w:lineRule="exact"/>
        <w:rPr>
          <w:sz w:val="20"/>
          <w:szCs w:val="20"/>
          <w:color w:val="auto"/>
        </w:rPr>
      </w:pPr>
    </w:p>
    <w:p>
      <w:pPr>
        <w:ind w:right="820" w:firstLine="980"/>
        <w:spacing w:after="0" w:line="301" w:lineRule="auto"/>
        <w:tabs>
          <w:tab w:leader="none" w:pos="1392" w:val="left"/>
        </w:tabs>
        <w:numPr>
          <w:ilvl w:val="1"/>
          <w:numId w:val="65"/>
        </w:numPr>
        <w:rPr>
          <w:rFonts w:ascii="Arial" w:cs="Arial" w:eastAsia="Arial" w:hAnsi="Arial"/>
          <w:sz w:val="21"/>
          <w:szCs w:val="21"/>
          <w:color w:val="010000"/>
        </w:rPr>
      </w:pPr>
      <w:r>
        <w:rPr>
          <w:rFonts w:ascii="Arial" w:cs="Arial" w:eastAsia="Arial" w:hAnsi="Arial"/>
          <w:sz w:val="21"/>
          <w:szCs w:val="21"/>
          <w:color w:val="auto"/>
        </w:rPr>
        <w:t>Executive understands that nothing in this Section modifies Executive’s at-will employment status. Either Executive or the Company can terminate the employment relationship at any time, with or without Cause.</w:t>
      </w:r>
    </w:p>
    <w:p>
      <w:pPr>
        <w:spacing w:after="0" w:line="137" w:lineRule="exact"/>
        <w:rPr>
          <w:rFonts w:ascii="Arial" w:cs="Arial" w:eastAsia="Arial" w:hAnsi="Arial"/>
          <w:sz w:val="21"/>
          <w:szCs w:val="21"/>
          <w:color w:val="010000"/>
        </w:rPr>
      </w:pPr>
    </w:p>
    <w:p>
      <w:pPr>
        <w:ind w:right="40" w:firstLine="980"/>
        <w:spacing w:after="0" w:line="297" w:lineRule="auto"/>
        <w:tabs>
          <w:tab w:leader="none" w:pos="1404" w:val="left"/>
        </w:tabs>
        <w:numPr>
          <w:ilvl w:val="1"/>
          <w:numId w:val="65"/>
        </w:numPr>
        <w:rPr>
          <w:rFonts w:ascii="Arial" w:cs="Arial" w:eastAsia="Arial" w:hAnsi="Arial"/>
          <w:sz w:val="19"/>
          <w:szCs w:val="19"/>
          <w:color w:val="010000"/>
        </w:rPr>
      </w:pPr>
      <w:r>
        <w:rPr>
          <w:rFonts w:ascii="Arial" w:cs="Arial" w:eastAsia="Arial" w:hAnsi="Arial"/>
          <w:sz w:val="19"/>
          <w:szCs w:val="19"/>
          <w:color w:val="auto"/>
        </w:rPr>
        <w:t>EXECUTIVE HAS READ AND UNDERSTANDS THIS SECTION, WHICH DISCUSSES ARBITRATION. EXECUTIVE UNDERSTANDS THAT SUBMITTING ANY CLAIMS ARISING OUT OF, RELATING TO, OR IN CONNECTION WITH THIS AGREEMENT, OR THE INTERPRETATION, VALIDITY, CONSTRUCTION, PERFORMANCE, BREACH OR TERMINATION THEREOF TO BINDING ARBITRATION, CONSTITUTES A WAIVER OF EXECUTIVE’S RIGHT TO A JURY TRIAL AND RELATES TO THE RESOLUTION OF ALL DISPUTES RELATING TO ALL ASPECTS OF THE EMPLOYER/EMPLOYEE RELATIONSHIP, INCLUDING BUT NOT LIMITED TO, THE FOLLOWING CLAIMS:</w:t>
      </w:r>
    </w:p>
    <w:p>
      <w:pPr>
        <w:spacing w:after="0" w:line="146" w:lineRule="exact"/>
        <w:rPr>
          <w:rFonts w:ascii="Arial" w:cs="Arial" w:eastAsia="Arial" w:hAnsi="Arial"/>
          <w:sz w:val="19"/>
          <w:szCs w:val="19"/>
          <w:color w:val="010000"/>
        </w:rPr>
      </w:pPr>
    </w:p>
    <w:p>
      <w:pPr>
        <w:ind w:right="240" w:firstLine="1305"/>
        <w:spacing w:after="0" w:line="251" w:lineRule="auto"/>
        <w:tabs>
          <w:tab w:leader="none" w:pos="1680" w:val="left"/>
        </w:tabs>
        <w:numPr>
          <w:ilvl w:val="2"/>
          <w:numId w:val="65"/>
        </w:numPr>
        <w:rPr>
          <w:rFonts w:ascii="Arial" w:cs="Arial" w:eastAsia="Arial" w:hAnsi="Arial"/>
          <w:sz w:val="22"/>
          <w:szCs w:val="22"/>
          <w:color w:val="010000"/>
        </w:rPr>
      </w:pPr>
      <w:r>
        <w:rPr>
          <w:rFonts w:ascii="Arial" w:cs="Arial" w:eastAsia="Arial" w:hAnsi="Arial"/>
          <w:sz w:val="22"/>
          <w:szCs w:val="22"/>
          <w:color w:val="auto"/>
        </w:rPr>
        <w:t>ANY AND ALL CLAIMS FOR WRONGFUL DISCHARGE OF EMPLOYMENT; BREACH OF CONTRACT, BOTH EXPRESS AND IMPLIED; BREACH OF THE COVENANT OF GOOD FAITH AND FAIR DEALING, BOTH EXPRESS AND IMPLIED; NEGLIGENT OR INTENTIONAL INFLICTION OF EMOTIONAL DISTRESS; NEGLIGENT OR INTENTIONAL MISREPRESENTATION; NEGLIGENT OR INTENTIONAL INTERFERENCE WITH CONTRACT OR PROSPECTIVE ECONOMIC ADVANTAGE; AND DEFAMATION.</w:t>
      </w:r>
    </w:p>
    <w:p>
      <w:pPr>
        <w:spacing w:after="0" w:line="189" w:lineRule="exact"/>
        <w:rPr>
          <w:rFonts w:ascii="Arial" w:cs="Arial" w:eastAsia="Arial" w:hAnsi="Arial"/>
          <w:sz w:val="22"/>
          <w:szCs w:val="22"/>
          <w:color w:val="010000"/>
        </w:rPr>
      </w:pPr>
    </w:p>
    <w:p>
      <w:pPr>
        <w:ind w:right="200" w:firstLine="1305"/>
        <w:spacing w:after="0" w:line="251" w:lineRule="auto"/>
        <w:tabs>
          <w:tab w:leader="none" w:pos="1741" w:val="left"/>
        </w:tabs>
        <w:numPr>
          <w:ilvl w:val="2"/>
          <w:numId w:val="65"/>
        </w:numPr>
        <w:rPr>
          <w:rFonts w:ascii="Arial" w:cs="Arial" w:eastAsia="Arial" w:hAnsi="Arial"/>
          <w:sz w:val="22"/>
          <w:szCs w:val="22"/>
          <w:color w:val="010000"/>
        </w:rPr>
      </w:pPr>
      <w:r>
        <w:rPr>
          <w:rFonts w:ascii="Arial" w:cs="Arial" w:eastAsia="Arial" w:hAnsi="Arial"/>
          <w:sz w:val="22"/>
          <w:szCs w:val="22"/>
          <w:color w:val="auto"/>
        </w:rPr>
        <w:t xml:space="preserve">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CALIFORNIA FAIR EMPLOYMENT AND HOUSING ACT, AND LABOR CODE SECTION 201,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189" w:lineRule="exact"/>
        <w:rPr>
          <w:rFonts w:ascii="Arial" w:cs="Arial" w:eastAsia="Arial" w:hAnsi="Arial"/>
          <w:sz w:val="22"/>
          <w:szCs w:val="22"/>
          <w:color w:val="010000"/>
        </w:rPr>
      </w:pPr>
    </w:p>
    <w:p>
      <w:pPr>
        <w:ind w:firstLine="1305"/>
        <w:spacing w:after="0" w:line="276" w:lineRule="auto"/>
        <w:tabs>
          <w:tab w:leader="none" w:pos="1800" w:val="left"/>
        </w:tabs>
        <w:numPr>
          <w:ilvl w:val="2"/>
          <w:numId w:val="65"/>
        </w:numPr>
        <w:rPr>
          <w:rFonts w:ascii="Arial" w:cs="Arial" w:eastAsia="Arial" w:hAnsi="Arial"/>
          <w:sz w:val="22"/>
          <w:szCs w:val="22"/>
          <w:color w:val="010000"/>
        </w:rPr>
      </w:pPr>
      <w:r>
        <w:rPr>
          <w:rFonts w:ascii="Arial" w:cs="Arial" w:eastAsia="Arial" w:hAnsi="Arial"/>
          <w:sz w:val="22"/>
          <w:szCs w:val="22"/>
          <w:color w:val="auto"/>
        </w:rPr>
        <w:t>ANY AND ALL CLAIMS ARISING OUT OF ANY OTHER LAWS AND REGULATIONS RELATING TO EMPLOYMENT OR EMPLOYMENT DISCRIMINATION.</w:t>
      </w:r>
    </w:p>
    <w:p>
      <w:pPr>
        <w:spacing w:after="0" w:line="160" w:lineRule="exact"/>
        <w:rPr>
          <w:rFonts w:ascii="Arial" w:cs="Arial" w:eastAsia="Arial" w:hAnsi="Arial"/>
          <w:sz w:val="22"/>
          <w:szCs w:val="22"/>
          <w:color w:val="010000"/>
        </w:rPr>
      </w:pPr>
    </w:p>
    <w:p>
      <w:pPr>
        <w:ind w:left="1100" w:hanging="444"/>
        <w:spacing w:after="0"/>
        <w:tabs>
          <w:tab w:leader="none" w:pos="1100" w:val="left"/>
        </w:tabs>
        <w:numPr>
          <w:ilvl w:val="0"/>
          <w:numId w:val="66"/>
        </w:numPr>
        <w:rPr>
          <w:rFonts w:ascii="Arial" w:cs="Arial" w:eastAsia="Arial" w:hAnsi="Arial"/>
          <w:sz w:val="22"/>
          <w:szCs w:val="22"/>
          <w:color w:val="010000"/>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220" w:firstLine="980"/>
        <w:spacing w:after="0" w:line="358" w:lineRule="auto"/>
        <w:tabs>
          <w:tab w:leader="none" w:pos="1392" w:val="left"/>
        </w:tabs>
        <w:numPr>
          <w:ilvl w:val="1"/>
          <w:numId w:val="66"/>
        </w:numPr>
        <w:rPr>
          <w:rFonts w:ascii="Arial" w:cs="Arial" w:eastAsia="Arial" w:hAnsi="Arial"/>
          <w:sz w:val="19"/>
          <w:szCs w:val="19"/>
          <w:color w:val="010000"/>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90" w:lineRule="exact"/>
        <w:rPr>
          <w:rFonts w:ascii="Arial" w:cs="Arial" w:eastAsia="Arial" w:hAnsi="Arial"/>
          <w:sz w:val="19"/>
          <w:szCs w:val="19"/>
          <w:color w:val="010000"/>
        </w:rPr>
      </w:pPr>
    </w:p>
    <w:p>
      <w:pPr>
        <w:ind w:right="40" w:firstLine="980"/>
        <w:spacing w:after="0" w:line="260" w:lineRule="auto"/>
        <w:tabs>
          <w:tab w:leader="none" w:pos="1404" w:val="left"/>
        </w:tabs>
        <w:numPr>
          <w:ilvl w:val="1"/>
          <w:numId w:val="66"/>
        </w:numPr>
        <w:rPr>
          <w:rFonts w:ascii="Arial" w:cs="Arial" w:eastAsia="Arial" w:hAnsi="Arial"/>
          <w:sz w:val="22"/>
          <w:szCs w:val="22"/>
          <w:color w:val="010000"/>
        </w:rPr>
      </w:pPr>
      <w:r>
        <w:rPr>
          <w:rFonts w:ascii="Arial" w:cs="Arial" w:eastAsia="Arial" w:hAnsi="Arial"/>
          <w:sz w:val="22"/>
          <w:szCs w:val="22"/>
          <w:u w:val="single" w:color="auto"/>
          <w:color w:val="auto"/>
        </w:rPr>
        <w:t>Waiver</w:t>
      </w:r>
      <w:r>
        <w:rPr>
          <w:rFonts w:ascii="Arial" w:cs="Arial" w:eastAsia="Arial" w:hAnsi="Arial"/>
          <w:sz w:val="22"/>
          <w:szCs w:val="22"/>
          <w:color w:val="auto"/>
        </w:rPr>
        <w:t>. No provision of this Agreement will be modified, waived or discharged unless the modification, waiver or discharge is agreed to in writing and signed by Executive and by an authorized officer of the Company (other than Executive). No waiver by either party of</w:t>
      </w:r>
    </w:p>
    <w:p>
      <w:pPr>
        <w:sectPr>
          <w:pgSz w:w="11900" w:h="16838" w:orient="portrait"/>
          <w:cols w:equalWidth="0" w:num="1">
            <w:col w:w="11360"/>
          </w:cols>
          <w:pgMar w:left="240" w:top="631" w:right="299" w:bottom="1440" w:gutter="0" w:footer="0" w:header="0"/>
        </w:sectPr>
      </w:pPr>
    </w:p>
    <w:bookmarkStart w:id="128" w:name="page129"/>
    <w:bookmarkEnd w:id="128"/>
    <w:p>
      <w:pPr>
        <w:ind w:right="120"/>
        <w:spacing w:after="0" w:line="263" w:lineRule="auto"/>
        <w:rPr>
          <w:sz w:val="20"/>
          <w:szCs w:val="20"/>
          <w:color w:val="auto"/>
        </w:rPr>
      </w:pPr>
      <w:r>
        <w:rPr>
          <w:rFonts w:ascii="Arial" w:cs="Arial" w:eastAsia="Arial" w:hAnsi="Arial"/>
          <w:sz w:val="22"/>
          <w:szCs w:val="22"/>
          <w:color w:val="auto"/>
        </w:rPr>
        <w:t>any breach of, or of compliance with, any condition or provision of this Agreement by the other party will be considered a waiver of any other condition or provision or of the same condition or provision at another time.</w:t>
      </w:r>
    </w:p>
    <w:p>
      <w:pPr>
        <w:spacing w:after="0" w:line="175" w:lineRule="exact"/>
        <w:rPr>
          <w:sz w:val="20"/>
          <w:szCs w:val="20"/>
          <w:color w:val="auto"/>
        </w:rPr>
      </w:pPr>
    </w:p>
    <w:p>
      <w:pPr>
        <w:ind w:right="180" w:firstLine="980"/>
        <w:spacing w:after="0" w:line="276" w:lineRule="auto"/>
        <w:tabs>
          <w:tab w:leader="none" w:pos="1392"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60" w:lineRule="exact"/>
        <w:rPr>
          <w:rFonts w:ascii="Arial" w:cs="Arial" w:eastAsia="Arial" w:hAnsi="Arial"/>
          <w:sz w:val="22"/>
          <w:szCs w:val="22"/>
          <w:color w:val="010000"/>
        </w:rPr>
      </w:pPr>
    </w:p>
    <w:p>
      <w:pPr>
        <w:ind w:firstLine="980"/>
        <w:spacing w:after="0" w:line="250" w:lineRule="auto"/>
        <w:tabs>
          <w:tab w:leader="none" w:pos="1404"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of the parties hereto with respect to the subject matter described herein, and supersedes in its entirety the Prior Agreement. Executive acknowledges and agrees that this Agreement encompasses all the rights of Executive to any acceleration of Award vesting or severance pay based on termination of 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w:t>
      </w:r>
    </w:p>
    <w:p>
      <w:pPr>
        <w:spacing w:after="0" w:line="188" w:lineRule="exact"/>
        <w:rPr>
          <w:rFonts w:ascii="Arial" w:cs="Arial" w:eastAsia="Arial" w:hAnsi="Arial"/>
          <w:sz w:val="22"/>
          <w:szCs w:val="22"/>
          <w:color w:val="010000"/>
        </w:rPr>
      </w:pPr>
    </w:p>
    <w:p>
      <w:pPr>
        <w:ind w:right="160" w:firstLine="980"/>
        <w:spacing w:after="0" w:line="276" w:lineRule="auto"/>
        <w:tabs>
          <w:tab w:leader="none" w:pos="1392"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will be governed by the laws of the State of California (with the exception of its conflict of laws provisions).</w:t>
      </w:r>
    </w:p>
    <w:p>
      <w:pPr>
        <w:spacing w:after="0" w:line="160" w:lineRule="exact"/>
        <w:rPr>
          <w:rFonts w:ascii="Arial" w:cs="Arial" w:eastAsia="Arial" w:hAnsi="Arial"/>
          <w:sz w:val="22"/>
          <w:szCs w:val="22"/>
          <w:color w:val="010000"/>
        </w:rPr>
      </w:pPr>
    </w:p>
    <w:p>
      <w:pPr>
        <w:ind w:right="40" w:firstLine="980"/>
        <w:spacing w:after="0" w:line="276" w:lineRule="auto"/>
        <w:tabs>
          <w:tab w:leader="none" w:pos="1368"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60" w:lineRule="exact"/>
        <w:rPr>
          <w:rFonts w:ascii="Arial" w:cs="Arial" w:eastAsia="Arial" w:hAnsi="Arial"/>
          <w:sz w:val="22"/>
          <w:szCs w:val="22"/>
          <w:color w:val="010000"/>
        </w:rPr>
      </w:pPr>
    </w:p>
    <w:p>
      <w:pPr>
        <w:ind w:right="160" w:firstLine="980"/>
        <w:spacing w:after="0" w:line="276" w:lineRule="auto"/>
        <w:tabs>
          <w:tab w:leader="none" w:pos="1404"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pursuant to this Agreement will be subject to withholding of applicable income and employment taxes.</w:t>
      </w:r>
    </w:p>
    <w:p>
      <w:pPr>
        <w:spacing w:after="0" w:line="160" w:lineRule="exact"/>
        <w:rPr>
          <w:rFonts w:ascii="Arial" w:cs="Arial" w:eastAsia="Arial" w:hAnsi="Arial"/>
          <w:sz w:val="22"/>
          <w:szCs w:val="22"/>
          <w:color w:val="010000"/>
        </w:rPr>
      </w:pPr>
    </w:p>
    <w:p>
      <w:pPr>
        <w:ind w:right="120" w:firstLine="980"/>
        <w:spacing w:after="0" w:line="276" w:lineRule="auto"/>
        <w:tabs>
          <w:tab w:leader="none" w:pos="1404"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ectPr>
          <w:pgSz w:w="11900" w:h="16838" w:orient="portrait"/>
          <w:cols w:equalWidth="0" w:num="1">
            <w:col w:w="11340"/>
          </w:cols>
          <w:pgMar w:left="240" w:top="631" w:right="319" w:bottom="1440" w:gutter="0" w:footer="0" w:header="0"/>
        </w:sectPr>
      </w:pPr>
    </w:p>
    <w:bookmarkStart w:id="129" w:name="page130"/>
    <w:bookmarkEnd w:id="129"/>
    <w:p>
      <w:pPr>
        <w:ind w:right="480"/>
        <w:spacing w:after="0" w:line="263"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22"/>
                <w:szCs w:val="22"/>
                <w:color w:val="auto"/>
              </w:rPr>
              <w:t>COMPANY</w:t>
            </w:r>
          </w:p>
        </w:tc>
        <w:tc>
          <w:tcPr>
            <w:tcW w:w="422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22"/>
                <w:szCs w:val="22"/>
                <w:color w:val="auto"/>
              </w:rPr>
              <w:t>FORTINET, INC.</w:t>
            </w:r>
          </w:p>
        </w:tc>
      </w:tr>
      <w:tr>
        <w:trPr>
          <w:trHeight w:val="956"/>
        </w:trPr>
        <w:tc>
          <w:tcPr>
            <w:tcW w:w="3180" w:type="dxa"/>
            <w:vAlign w:val="bottom"/>
          </w:tcPr>
          <w:p>
            <w:pPr>
              <w:spacing w:after="0"/>
              <w:rPr>
                <w:sz w:val="24"/>
                <w:szCs w:val="24"/>
                <w:color w:val="auto"/>
              </w:rPr>
            </w:pPr>
          </w:p>
        </w:tc>
        <w:tc>
          <w:tcPr>
            <w:tcW w:w="4220" w:type="dxa"/>
            <w:vAlign w:val="bottom"/>
          </w:tcPr>
          <w:p>
            <w:pPr>
              <w:ind w:left="1960"/>
              <w:spacing w:after="0"/>
              <w:rPr>
                <w:sz w:val="20"/>
                <w:szCs w:val="20"/>
                <w:color w:val="auto"/>
              </w:rPr>
            </w:pPr>
            <w:r>
              <w:rPr>
                <w:rFonts w:ascii="Arial" w:cs="Arial" w:eastAsia="Arial" w:hAnsi="Arial"/>
                <w:sz w:val="22"/>
                <w:szCs w:val="22"/>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Whittle</w:t>
            </w:r>
          </w:p>
        </w:tc>
      </w:tr>
      <w:tr>
        <w:trPr>
          <w:trHeight w:val="280"/>
        </w:trPr>
        <w:tc>
          <w:tcPr>
            <w:tcW w:w="31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22"/>
                <w:szCs w:val="22"/>
                <w:color w:val="auto"/>
              </w:rPr>
              <w:t>John Whittle</w:t>
            </w:r>
          </w:p>
        </w:tc>
      </w:tr>
      <w:tr>
        <w:trPr>
          <w:trHeight w:val="635"/>
        </w:trPr>
        <w:tc>
          <w:tcPr>
            <w:tcW w:w="3180" w:type="dxa"/>
            <w:vAlign w:val="bottom"/>
          </w:tcPr>
          <w:p>
            <w:pPr>
              <w:spacing w:after="0"/>
              <w:rPr>
                <w:sz w:val="24"/>
                <w:szCs w:val="24"/>
                <w:color w:val="auto"/>
              </w:rPr>
            </w:pPr>
          </w:p>
        </w:tc>
        <w:tc>
          <w:tcPr>
            <w:tcW w:w="4220" w:type="dxa"/>
            <w:vAlign w:val="bottom"/>
          </w:tcPr>
          <w:p>
            <w:pPr>
              <w:ind w:left="1960"/>
              <w:spacing w:after="0"/>
              <w:rPr>
                <w:sz w:val="20"/>
                <w:szCs w:val="20"/>
                <w:color w:val="auto"/>
              </w:rPr>
            </w:pPr>
            <w:r>
              <w:rPr>
                <w:rFonts w:ascii="Arial" w:cs="Arial" w:eastAsia="Arial" w:hAnsi="Arial"/>
                <w:sz w:val="22"/>
                <w:szCs w:val="22"/>
                <w:color w:val="auto"/>
              </w:rPr>
              <w:t>Title:</w:t>
            </w:r>
          </w:p>
        </w:tc>
        <w:tc>
          <w:tcPr>
            <w:tcW w:w="3980" w:type="dxa"/>
            <w:vAlign w:val="bottom"/>
          </w:tcPr>
          <w:p>
            <w:pPr>
              <w:ind w:left="20"/>
              <w:spacing w:after="0"/>
              <w:rPr>
                <w:sz w:val="20"/>
                <w:szCs w:val="20"/>
                <w:color w:val="auto"/>
              </w:rPr>
            </w:pPr>
            <w:r>
              <w:rPr>
                <w:rFonts w:ascii="Arial" w:cs="Arial" w:eastAsia="Arial" w:hAnsi="Arial"/>
                <w:sz w:val="22"/>
                <w:szCs w:val="22"/>
                <w:color w:val="auto"/>
              </w:rPr>
              <w:t>Vice President, General Counsel</w:t>
            </w:r>
          </w:p>
        </w:tc>
      </w:tr>
      <w:tr>
        <w:trPr>
          <w:trHeight w:val="233"/>
        </w:trPr>
        <w:tc>
          <w:tcPr>
            <w:tcW w:w="31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r>
      <w:tr>
        <w:trPr>
          <w:trHeight w:val="608"/>
        </w:trPr>
        <w:tc>
          <w:tcPr>
            <w:tcW w:w="3180" w:type="dxa"/>
            <w:vAlign w:val="bottom"/>
          </w:tcPr>
          <w:p>
            <w:pPr>
              <w:spacing w:after="0"/>
              <w:rPr>
                <w:sz w:val="20"/>
                <w:szCs w:val="20"/>
                <w:color w:val="auto"/>
              </w:rPr>
            </w:pPr>
            <w:r>
              <w:rPr>
                <w:rFonts w:ascii="Arial" w:cs="Arial" w:eastAsia="Arial" w:hAnsi="Arial"/>
                <w:sz w:val="22"/>
                <w:szCs w:val="22"/>
                <w:color w:val="auto"/>
              </w:rPr>
              <w:t>EXECUTIVE</w:t>
            </w:r>
          </w:p>
        </w:tc>
        <w:tc>
          <w:tcPr>
            <w:tcW w:w="4220" w:type="dxa"/>
            <w:vAlign w:val="bottom"/>
          </w:tcPr>
          <w:p>
            <w:pPr>
              <w:ind w:left="1960"/>
              <w:spacing w:after="0"/>
              <w:rPr>
                <w:sz w:val="20"/>
                <w:szCs w:val="20"/>
                <w:color w:val="auto"/>
              </w:rPr>
            </w:pPr>
            <w:r>
              <w:rPr>
                <w:rFonts w:ascii="Arial" w:cs="Arial" w:eastAsia="Arial" w:hAnsi="Arial"/>
                <w:sz w:val="22"/>
                <w:szCs w:val="22"/>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Michael Xie</w:t>
            </w:r>
          </w:p>
        </w:tc>
      </w:tr>
      <w:tr>
        <w:trPr>
          <w:trHeight w:val="280"/>
        </w:trPr>
        <w:tc>
          <w:tcPr>
            <w:tcW w:w="31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22"/>
                <w:szCs w:val="22"/>
                <w:color w:val="auto"/>
              </w:rPr>
              <w:t>Michael Xie</w:t>
            </w:r>
          </w:p>
        </w:tc>
      </w:tr>
      <w:tr>
        <w:trPr>
          <w:trHeight w:val="419"/>
        </w:trPr>
        <w:tc>
          <w:tcPr>
            <w:tcW w:w="3180" w:type="dxa"/>
            <w:vAlign w:val="bottom"/>
          </w:tcPr>
          <w:p>
            <w:pPr>
              <w:spacing w:after="0"/>
              <w:rPr>
                <w:sz w:val="24"/>
                <w:szCs w:val="24"/>
                <w:color w:val="auto"/>
              </w:rPr>
            </w:pPr>
          </w:p>
        </w:tc>
        <w:tc>
          <w:tcPr>
            <w:tcW w:w="4220" w:type="dxa"/>
            <w:vAlign w:val="bottom"/>
          </w:tcPr>
          <w:p>
            <w:pPr>
              <w:ind w:left="1960"/>
              <w:spacing w:after="0"/>
              <w:rPr>
                <w:sz w:val="20"/>
                <w:szCs w:val="20"/>
                <w:color w:val="auto"/>
              </w:rPr>
            </w:pPr>
            <w:r>
              <w:rPr>
                <w:rFonts w:ascii="Arial" w:cs="Arial" w:eastAsia="Arial" w:hAnsi="Arial"/>
                <w:sz w:val="22"/>
                <w:szCs w:val="22"/>
                <w:color w:val="auto"/>
              </w:rPr>
              <w:t>Title:</w:t>
            </w:r>
          </w:p>
        </w:tc>
        <w:tc>
          <w:tcPr>
            <w:tcW w:w="3980" w:type="dxa"/>
            <w:vAlign w:val="bottom"/>
          </w:tcPr>
          <w:p>
            <w:pPr>
              <w:ind w:left="20"/>
              <w:spacing w:after="0"/>
              <w:rPr>
                <w:sz w:val="20"/>
                <w:szCs w:val="20"/>
                <w:color w:val="auto"/>
              </w:rPr>
            </w:pPr>
            <w:r>
              <w:rPr>
                <w:rFonts w:ascii="Arial" w:cs="Arial" w:eastAsia="Arial" w:hAnsi="Arial"/>
                <w:sz w:val="22"/>
                <w:szCs w:val="22"/>
                <w:color w:val="auto"/>
              </w:rPr>
              <w:t>Chief Technology Officer</w:t>
            </w:r>
          </w:p>
        </w:tc>
      </w:tr>
      <w:tr>
        <w:trPr>
          <w:trHeight w:val="233"/>
        </w:trPr>
        <w:tc>
          <w:tcPr>
            <w:tcW w:w="31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888"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t>Exhibit 10.17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FORTINET,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 SEVERANCE AGREEMENT</w:t>
      </w:r>
    </w:p>
    <w:p>
      <w:pPr>
        <w:spacing w:after="0" w:line="226"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This Amended and Restated Change of Control Severance Agreement (the “Agreement”) is made and entered into by and between John Whittle (“Executive”) and Fortinet, Inc. (the “Company”), effective as of February 4, 2016 (the “Effective Date”) and supersedes the Change of Control Severance Agreement, between Executive and the Company (the “Prior Agreement”), effective as of August 7, 2009 (the “Prior Effective Date”).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ind w:right="80" w:firstLine="656"/>
        <w:spacing w:after="0" w:line="247" w:lineRule="auto"/>
        <w:tabs>
          <w:tab w:leader="none" w:pos="1026" w:val="left"/>
        </w:tabs>
        <w:numPr>
          <w:ilvl w:val="0"/>
          <w:numId w:val="68"/>
        </w:numPr>
        <w:rPr>
          <w:rFonts w:ascii="Arial" w:cs="Arial" w:eastAsia="Arial" w:hAnsi="Arial"/>
          <w:sz w:val="22"/>
          <w:szCs w:val="22"/>
          <w:color w:val="auto"/>
        </w:rPr>
      </w:pPr>
      <w:r>
        <w:rPr>
          <w:rFonts w:ascii="Arial" w:cs="Arial" w:eastAsia="Arial" w:hAnsi="Arial"/>
          <w:sz w:val="22"/>
          <w:szCs w:val="22"/>
          <w:color w:val="auto"/>
        </w:rPr>
        <w:t>It is expected that the Company from time to time will consider the possibility of an acquisition by another company or other change of control. The Board of Directors of the Company (the “Board”)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193" w:lineRule="exact"/>
        <w:rPr>
          <w:rFonts w:ascii="Arial" w:cs="Arial" w:eastAsia="Arial" w:hAnsi="Arial"/>
          <w:sz w:val="22"/>
          <w:szCs w:val="22"/>
          <w:color w:val="auto"/>
        </w:rPr>
      </w:pPr>
    </w:p>
    <w:p>
      <w:pPr>
        <w:ind w:right="280" w:firstLine="656"/>
        <w:spacing w:after="0" w:line="253" w:lineRule="auto"/>
        <w:tabs>
          <w:tab w:leader="none" w:pos="1023"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85" w:lineRule="exact"/>
        <w:rPr>
          <w:rFonts w:ascii="Arial" w:cs="Arial" w:eastAsia="Arial" w:hAnsi="Arial"/>
          <w:sz w:val="22"/>
          <w:szCs w:val="22"/>
          <w:color w:val="auto"/>
        </w:rPr>
      </w:pPr>
    </w:p>
    <w:p>
      <w:pPr>
        <w:ind w:right="240" w:firstLine="656"/>
        <w:spacing w:after="0" w:line="253" w:lineRule="auto"/>
        <w:tabs>
          <w:tab w:leader="none" w:pos="1023"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Board believes that it is imperative to provide Executive with certain benefits upon termination of employment prior to and following a Change of Control. These benefits will provide Executive with enhanced financial security and incentive and encouragement to remain with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NOW, THEREFORE, in consideration of the mutual covenants contained herein, the parties hereto agree as follows:</w:t>
      </w:r>
    </w:p>
    <w:p>
      <w:pPr>
        <w:spacing w:after="0" w:line="220" w:lineRule="exact"/>
        <w:rPr>
          <w:sz w:val="20"/>
          <w:szCs w:val="20"/>
          <w:color w:val="auto"/>
        </w:rPr>
      </w:pPr>
    </w:p>
    <w:p>
      <w:pPr>
        <w:jc w:val="both"/>
        <w:ind w:right="180" w:firstLine="656"/>
        <w:spacing w:after="0" w:line="253" w:lineRule="auto"/>
        <w:tabs>
          <w:tab w:leader="none" w:pos="1459"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terminate upon the earlier to occur of: (a) the Agreement’s termination date as provided in Section 8 below, and (b) the date that all of the obligations of the parties hereto with respect to this Agreement have been satisfied.</w:t>
      </w:r>
    </w:p>
    <w:p>
      <w:pPr>
        <w:spacing w:after="0" w:line="185" w:lineRule="exact"/>
        <w:rPr>
          <w:rFonts w:ascii="Arial" w:cs="Arial" w:eastAsia="Arial" w:hAnsi="Arial"/>
          <w:sz w:val="22"/>
          <w:szCs w:val="22"/>
          <w:color w:val="010000"/>
        </w:rPr>
      </w:pPr>
    </w:p>
    <w:p>
      <w:pPr>
        <w:ind w:right="20" w:firstLine="656"/>
        <w:spacing w:after="0" w:line="278" w:lineRule="auto"/>
        <w:tabs>
          <w:tab w:leader="none" w:pos="990" w:val="left"/>
        </w:tabs>
        <w:numPr>
          <w:ilvl w:val="0"/>
          <w:numId w:val="69"/>
        </w:numPr>
        <w:rPr>
          <w:rFonts w:ascii="Arial" w:cs="Arial" w:eastAsia="Arial" w:hAnsi="Arial"/>
          <w:sz w:val="21"/>
          <w:szCs w:val="21"/>
          <w:color w:val="010000"/>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The Company and Executive acknowledge that Executive’s employment is and will continue to be at-will, as defined under applicable law. If Executive’s employment terminates for any reason, including (without limitation) any termination prior to or twelve (12) months following a Change of Control, Executive will not be</w:t>
      </w:r>
    </w:p>
    <w:p>
      <w:pPr>
        <w:sectPr>
          <w:pgSz w:w="11900" w:h="16838" w:orient="portrait"/>
          <w:cols w:equalWidth="0" w:num="1">
            <w:col w:w="11420"/>
          </w:cols>
          <w:pgMar w:left="240" w:top="625" w:right="239" w:bottom="1440" w:gutter="0" w:footer="0" w:header="0"/>
        </w:sectPr>
      </w:pPr>
    </w:p>
    <w:bookmarkStart w:id="131" w:name="page132"/>
    <w:bookmarkEnd w:id="131"/>
    <w:p>
      <w:pPr>
        <w:ind w:right="140"/>
        <w:spacing w:after="0" w:line="263" w:lineRule="auto"/>
        <w:rPr>
          <w:sz w:val="20"/>
          <w:szCs w:val="20"/>
          <w:color w:val="auto"/>
        </w:rPr>
      </w:pPr>
      <w:r>
        <w:rPr>
          <w:rFonts w:ascii="Arial" w:cs="Arial" w:eastAsia="Arial" w:hAnsi="Arial"/>
          <w:sz w:val="22"/>
          <w:szCs w:val="22"/>
          <w:color w:val="auto"/>
        </w:rPr>
        <w:t>entitled to any acceleration of Award (as defined herein) vesting or severance pay based on termination of employment other than as provided by this Agreement.</w:t>
      </w:r>
    </w:p>
    <w:p>
      <w:pPr>
        <w:spacing w:after="0" w:line="175" w:lineRule="exact"/>
        <w:rPr>
          <w:sz w:val="20"/>
          <w:szCs w:val="20"/>
          <w:color w:val="auto"/>
        </w:rPr>
      </w:pPr>
    </w:p>
    <w:p>
      <w:pPr>
        <w:ind w:left="1000" w:hanging="344"/>
        <w:spacing w:after="0"/>
        <w:tabs>
          <w:tab w:leader="none" w:pos="1000" w:val="left"/>
        </w:tabs>
        <w:numPr>
          <w:ilvl w:val="0"/>
          <w:numId w:val="70"/>
        </w:numPr>
        <w:rPr>
          <w:rFonts w:ascii="Arial" w:cs="Arial" w:eastAsia="Arial" w:hAnsi="Arial"/>
          <w:sz w:val="22"/>
          <w:szCs w:val="22"/>
          <w:color w:val="010000"/>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20" w:firstLine="980"/>
        <w:spacing w:after="0" w:line="266" w:lineRule="auto"/>
        <w:tabs>
          <w:tab w:leader="none" w:pos="1392" w:val="left"/>
        </w:tabs>
        <w:numPr>
          <w:ilvl w:val="1"/>
          <w:numId w:val="70"/>
        </w:numPr>
        <w:rPr>
          <w:rFonts w:ascii="Arial" w:cs="Arial" w:eastAsia="Arial" w:hAnsi="Arial"/>
          <w:sz w:val="21"/>
          <w:szCs w:val="21"/>
          <w:color w:val="010000"/>
        </w:rPr>
      </w:pPr>
      <w:r>
        <w:rPr>
          <w:rFonts w:ascii="Arial" w:cs="Arial" w:eastAsia="Arial" w:hAnsi="Arial"/>
          <w:sz w:val="21"/>
          <w:szCs w:val="21"/>
          <w:u w:val="single" w:color="auto"/>
          <w:color w:val="auto"/>
        </w:rPr>
        <w:t>Involuntary Termination Prior to, or Absent a Change of Control or After 12 Months Following a Change of Control</w:t>
      </w:r>
      <w:r>
        <w:rPr>
          <w:rFonts w:ascii="Arial" w:cs="Arial" w:eastAsia="Arial" w:hAnsi="Arial"/>
          <w:sz w:val="21"/>
          <w:szCs w:val="21"/>
          <w:color w:val="auto"/>
        </w:rPr>
        <w:t>. If prior to, or absent, a Change of Control or after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Sections 3(c) and (d) below, Executive will receive the following severance from the Company:</w:t>
      </w:r>
    </w:p>
    <w:p>
      <w:pPr>
        <w:spacing w:after="0" w:line="174" w:lineRule="exact"/>
        <w:rPr>
          <w:sz w:val="20"/>
          <w:szCs w:val="20"/>
          <w:color w:val="auto"/>
        </w:rPr>
      </w:pPr>
    </w:p>
    <w:p>
      <w:pPr>
        <w:ind w:right="560" w:firstLine="980"/>
        <w:spacing w:after="0" w:line="260" w:lineRule="auto"/>
        <w:tabs>
          <w:tab w:leader="none" w:pos="1356" w:val="left"/>
        </w:tabs>
        <w:numPr>
          <w:ilvl w:val="0"/>
          <w:numId w:val="71"/>
        </w:numPr>
        <w:rPr>
          <w:rFonts w:ascii="Arial" w:cs="Arial" w:eastAsia="Arial" w:hAnsi="Arial"/>
          <w:sz w:val="22"/>
          <w:szCs w:val="22"/>
          <w:color w:val="010000"/>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Executive will receive continuing payments of severance pay for a period of twelve (12) months from the date of such termination equal to Executive’s base salary rate as in effect immediately prior to Executive’s termination.</w:t>
      </w:r>
    </w:p>
    <w:p>
      <w:pPr>
        <w:spacing w:after="0" w:line="177" w:lineRule="exact"/>
        <w:rPr>
          <w:rFonts w:ascii="Arial" w:cs="Arial" w:eastAsia="Arial" w:hAnsi="Arial"/>
          <w:sz w:val="22"/>
          <w:szCs w:val="22"/>
          <w:color w:val="010000"/>
        </w:rPr>
      </w:pPr>
    </w:p>
    <w:p>
      <w:pPr>
        <w:ind w:right="20" w:firstLine="980"/>
        <w:spacing w:after="0" w:line="251" w:lineRule="auto"/>
        <w:tabs>
          <w:tab w:leader="none" w:pos="1416" w:val="left"/>
        </w:tabs>
        <w:numPr>
          <w:ilvl w:val="0"/>
          <w:numId w:val="71"/>
        </w:numPr>
        <w:rPr>
          <w:rFonts w:ascii="Arial" w:cs="Arial" w:eastAsia="Arial" w:hAnsi="Arial"/>
          <w:sz w:val="22"/>
          <w:szCs w:val="22"/>
          <w:color w:val="010000"/>
        </w:rPr>
      </w:pPr>
      <w:r>
        <w:rPr>
          <w:rFonts w:ascii="Arial" w:cs="Arial" w:eastAsia="Arial" w:hAnsi="Arial"/>
          <w:sz w:val="22"/>
          <w:szCs w:val="22"/>
          <w:u w:val="single" w:color="auto"/>
          <w:color w:val="auto"/>
        </w:rPr>
        <w:t>Equity Awards</w:t>
      </w:r>
      <w:r>
        <w:rPr>
          <w:rFonts w:ascii="Arial" w:cs="Arial" w:eastAsia="Arial" w:hAnsi="Arial"/>
          <w:sz w:val="22"/>
          <w:szCs w:val="22"/>
          <w:color w:val="auto"/>
        </w:rPr>
        <w:t>. If Executive holds unvested equity awards (“Awards”) at the time of Executive’s termination, then the unvested portion of such Awards that would have otherwise vested over a twelve (12) month period following such termination pursuant to the vesting schedule set forth in the award agreement will immediately vest as of Executive’s termination date. The Awards will remain exercisable following the termination for the period prescribed in the respective stock plan and agreement for each award.</w:t>
      </w:r>
    </w:p>
    <w:p>
      <w:pPr>
        <w:spacing w:after="0" w:line="190" w:lineRule="exact"/>
        <w:rPr>
          <w:sz w:val="20"/>
          <w:szCs w:val="20"/>
          <w:color w:val="auto"/>
        </w:rPr>
      </w:pPr>
    </w:p>
    <w:p>
      <w:pPr>
        <w:ind w:firstLine="980"/>
        <w:spacing w:after="0" w:line="251" w:lineRule="auto"/>
        <w:tabs>
          <w:tab w:leader="none" w:pos="1404" w:val="left"/>
        </w:tabs>
        <w:numPr>
          <w:ilvl w:val="0"/>
          <w:numId w:val="72"/>
        </w:numPr>
        <w:rPr>
          <w:rFonts w:ascii="Arial" w:cs="Arial" w:eastAsia="Arial" w:hAnsi="Arial"/>
          <w:sz w:val="22"/>
          <w:szCs w:val="22"/>
          <w:color w:val="010000"/>
        </w:rPr>
      </w:pPr>
      <w:r>
        <w:rPr>
          <w:rFonts w:ascii="Arial" w:cs="Arial" w:eastAsia="Arial" w:hAnsi="Arial"/>
          <w:sz w:val="22"/>
          <w:szCs w:val="22"/>
          <w:u w:val="single" w:color="auto"/>
          <w:color w:val="auto"/>
        </w:rPr>
        <w:t>Involuntary Termination within 12 Months Following a Change of Control</w:t>
      </w:r>
      <w:r>
        <w:rPr>
          <w:rFonts w:ascii="Arial" w:cs="Arial" w:eastAsia="Arial" w:hAnsi="Arial"/>
          <w:sz w:val="22"/>
          <w:szCs w:val="22"/>
          <w:color w:val="auto"/>
        </w:rPr>
        <w:t>. If within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 3(c) and Section 3(d) below, Executive will receive the following severance from the Company:</w:t>
      </w:r>
    </w:p>
    <w:p>
      <w:pPr>
        <w:spacing w:after="0" w:line="190" w:lineRule="exact"/>
        <w:rPr>
          <w:sz w:val="20"/>
          <w:szCs w:val="20"/>
          <w:color w:val="auto"/>
        </w:rPr>
      </w:pPr>
    </w:p>
    <w:p>
      <w:pPr>
        <w:ind w:right="140" w:firstLine="980"/>
        <w:spacing w:after="0" w:line="260" w:lineRule="auto"/>
        <w:tabs>
          <w:tab w:leader="none" w:pos="1356" w:val="left"/>
        </w:tabs>
        <w:numPr>
          <w:ilvl w:val="0"/>
          <w:numId w:val="73"/>
        </w:numPr>
        <w:rPr>
          <w:rFonts w:ascii="Arial" w:cs="Arial" w:eastAsia="Arial" w:hAnsi="Arial"/>
          <w:sz w:val="22"/>
          <w:szCs w:val="22"/>
          <w:color w:val="010000"/>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Executive will receive continuing payments of severance pay for a period of twelve (12) months from the date of such termination equal to Executive’s base salary rate as in effect immediately prior to (A) the Change of Control, or (B) Executive’s termination, whichever is greater.</w:t>
      </w:r>
    </w:p>
    <w:p>
      <w:pPr>
        <w:spacing w:after="0" w:line="177" w:lineRule="exact"/>
        <w:rPr>
          <w:rFonts w:ascii="Arial" w:cs="Arial" w:eastAsia="Arial" w:hAnsi="Arial"/>
          <w:sz w:val="22"/>
          <w:szCs w:val="22"/>
          <w:color w:val="010000"/>
        </w:rPr>
      </w:pPr>
    </w:p>
    <w:p>
      <w:pPr>
        <w:ind w:right="20" w:firstLine="980"/>
        <w:spacing w:after="0" w:line="254" w:lineRule="auto"/>
        <w:tabs>
          <w:tab w:leader="none" w:pos="1416" w:val="left"/>
        </w:tabs>
        <w:numPr>
          <w:ilvl w:val="0"/>
          <w:numId w:val="73"/>
        </w:numPr>
        <w:rPr>
          <w:rFonts w:ascii="Arial" w:cs="Arial" w:eastAsia="Arial" w:hAnsi="Arial"/>
          <w:sz w:val="22"/>
          <w:szCs w:val="22"/>
          <w:color w:val="010000"/>
        </w:rPr>
      </w:pPr>
      <w:r>
        <w:rPr>
          <w:rFonts w:ascii="Arial" w:cs="Arial" w:eastAsia="Arial" w:hAnsi="Arial"/>
          <w:sz w:val="22"/>
          <w:szCs w:val="22"/>
          <w:u w:val="single" w:color="auto"/>
          <w:color w:val="auto"/>
        </w:rPr>
        <w:t>Equity Awards</w:t>
      </w:r>
      <w:r>
        <w:rPr>
          <w:rFonts w:ascii="Arial" w:cs="Arial" w:eastAsia="Arial" w:hAnsi="Arial"/>
          <w:sz w:val="22"/>
          <w:szCs w:val="22"/>
          <w:color w:val="auto"/>
        </w:rPr>
        <w:t>. If Executive holds unvested Awards at the time of Executive’s termination, then one hundred percent (100%) of the then-unvested shares subject to such Awards will immediately vest as of Executive’s termination date. The Awards will remain exercisable, to the extent applicable, following the termination for the period prescribed in the respective stock plan and agreement for each Award.</w:t>
      </w:r>
    </w:p>
    <w:p>
      <w:pPr>
        <w:spacing w:after="0" w:line="185" w:lineRule="exact"/>
        <w:rPr>
          <w:rFonts w:ascii="Arial" w:cs="Arial" w:eastAsia="Arial" w:hAnsi="Arial"/>
          <w:sz w:val="22"/>
          <w:szCs w:val="22"/>
          <w:color w:val="010000"/>
        </w:rPr>
      </w:pPr>
    </w:p>
    <w:p>
      <w:pPr>
        <w:ind w:right="20" w:firstLine="980"/>
        <w:spacing w:after="0" w:line="301" w:lineRule="auto"/>
        <w:tabs>
          <w:tab w:leader="none" w:pos="1476" w:val="left"/>
        </w:tabs>
        <w:numPr>
          <w:ilvl w:val="0"/>
          <w:numId w:val="73"/>
        </w:numPr>
        <w:rPr>
          <w:rFonts w:ascii="Arial" w:cs="Arial" w:eastAsia="Arial" w:hAnsi="Arial"/>
          <w:sz w:val="21"/>
          <w:szCs w:val="21"/>
          <w:color w:val="010000"/>
        </w:rPr>
      </w:pPr>
      <w:r>
        <w:rPr>
          <w:rFonts w:ascii="Arial" w:cs="Arial" w:eastAsia="Arial" w:hAnsi="Arial"/>
          <w:sz w:val="21"/>
          <w:szCs w:val="21"/>
          <w:u w:val="single" w:color="auto"/>
          <w:color w:val="auto"/>
        </w:rPr>
        <w:t>Continued Employee Benefits</w:t>
      </w:r>
      <w:r>
        <w:rPr>
          <w:rFonts w:ascii="Arial" w:cs="Arial" w:eastAsia="Arial" w:hAnsi="Arial"/>
          <w:sz w:val="21"/>
          <w:szCs w:val="21"/>
          <w:color w:val="auto"/>
        </w:rPr>
        <w:t xml:space="preserve">. Executive will receive Company-paid coverage for a </w:t>
      </w:r>
      <w:r>
        <w:rPr>
          <w:rFonts w:ascii="Arial" w:cs="Arial" w:eastAsia="Arial" w:hAnsi="Arial"/>
          <w:sz w:val="21"/>
          <w:szCs w:val="21"/>
          <w:color w:val="010000"/>
        </w:rPr>
        <w:t>period</w:t>
      </w:r>
      <w:r>
        <w:rPr>
          <w:rFonts w:ascii="Arial" w:cs="Arial" w:eastAsia="Arial" w:hAnsi="Arial"/>
          <w:sz w:val="21"/>
          <w:szCs w:val="21"/>
          <w:color w:val="auto"/>
        </w:rPr>
        <w:t xml:space="preserve"> of twelve (12) months for Executive and Executive’s eligible dependents under the Company’s Benefit Plans (as defined herein).</w:t>
      </w:r>
    </w:p>
    <w:p>
      <w:pPr>
        <w:sectPr>
          <w:pgSz w:w="11900" w:h="16838" w:orient="portrait"/>
          <w:cols w:equalWidth="0" w:num="1">
            <w:col w:w="11360"/>
          </w:cols>
          <w:pgMar w:left="240" w:top="631" w:right="299" w:bottom="1440" w:gutter="0" w:footer="0" w:header="0"/>
        </w:sectPr>
      </w:pPr>
    </w:p>
    <w:bookmarkStart w:id="132" w:name="page133"/>
    <w:bookmarkEnd w:id="132"/>
    <w:p>
      <w:pPr>
        <w:ind w:right="40" w:firstLine="980"/>
        <w:spacing w:after="0" w:line="260" w:lineRule="auto"/>
        <w:tabs>
          <w:tab w:leader="none" w:pos="1392" w:val="left"/>
        </w:tabs>
        <w:numPr>
          <w:ilvl w:val="0"/>
          <w:numId w:val="74"/>
        </w:numPr>
        <w:rPr>
          <w:rFonts w:ascii="Arial" w:cs="Arial" w:eastAsia="Arial" w:hAnsi="Arial"/>
          <w:sz w:val="21"/>
          <w:szCs w:val="21"/>
          <w:color w:val="010000"/>
        </w:rPr>
      </w:pPr>
      <w:r>
        <w:rPr>
          <w:rFonts w:ascii="Arial" w:cs="Arial" w:eastAsia="Arial" w:hAnsi="Arial"/>
          <w:sz w:val="21"/>
          <w:szCs w:val="21"/>
          <w:u w:val="single" w:color="auto"/>
          <w:color w:val="auto"/>
        </w:rPr>
        <w:t>Release of Claims Agreement</w:t>
      </w:r>
      <w:r>
        <w:rPr>
          <w:rFonts w:ascii="Arial" w:cs="Arial" w:eastAsia="Arial" w:hAnsi="Arial"/>
          <w:sz w:val="21"/>
          <w:szCs w:val="21"/>
          <w:color w:val="auto"/>
        </w:rPr>
        <w:t>. The receipt of any severance pay or other benefits pursuant to Sections 3(a) and (b) above will be subject to Executive signing and not revoking a release of claims agreement with the Company in a form reasonably acceptable to the Company (provided the Company will work in good faith with Executive to reach agreement on the form of release) that is effective and irrevocable no later than the later of (i) the fifteenth day of the third month after the end of the Company’s fiscal year in which such termination of employment occurs or (ii) March 15 of the calendar year following the calendar year in which such termination of employment occurs. No such severance pay or other benefits will be paid or provided until the release of claims agreement becomes effective, and any severance amounts or benefits otherwise payable between the date of Executive’s termination and the date of such release becomes effective and irrevocable shall be paid on the effective date of such release.</w:t>
      </w:r>
    </w:p>
    <w:p>
      <w:pPr>
        <w:spacing w:after="0" w:line="184" w:lineRule="exact"/>
        <w:rPr>
          <w:rFonts w:ascii="Arial" w:cs="Arial" w:eastAsia="Arial" w:hAnsi="Arial"/>
          <w:sz w:val="21"/>
          <w:szCs w:val="21"/>
          <w:color w:val="010000"/>
        </w:rPr>
      </w:pPr>
    </w:p>
    <w:p>
      <w:pPr>
        <w:ind w:firstLine="980"/>
        <w:spacing w:after="0" w:line="259" w:lineRule="auto"/>
        <w:tabs>
          <w:tab w:leader="none" w:pos="1404" w:val="left"/>
        </w:tabs>
        <w:numPr>
          <w:ilvl w:val="0"/>
          <w:numId w:val="74"/>
        </w:numPr>
        <w:rPr>
          <w:rFonts w:ascii="Arial" w:cs="Arial" w:eastAsia="Arial" w:hAnsi="Arial"/>
          <w:sz w:val="21"/>
          <w:szCs w:val="21"/>
          <w:color w:val="010000"/>
        </w:rPr>
      </w:pPr>
      <w:r>
        <w:rPr>
          <w:rFonts w:ascii="Arial" w:cs="Arial" w:eastAsia="Arial" w:hAnsi="Arial"/>
          <w:sz w:val="21"/>
          <w:szCs w:val="21"/>
          <w:u w:val="single" w:color="auto"/>
          <w:color w:val="auto"/>
        </w:rPr>
        <w:t>Non-solicitation and Non-competition</w:t>
      </w:r>
      <w:r>
        <w:rPr>
          <w:rFonts w:ascii="Arial" w:cs="Arial" w:eastAsia="Arial" w:hAnsi="Arial"/>
          <w:sz w:val="21"/>
          <w:szCs w:val="21"/>
          <w:color w:val="auto"/>
        </w:rPr>
        <w:t>. Executive agrees, to the extent permitted by applicable law, that in the event Executive receives severance pay or other benefits pursuant to Sections 3(a) and (b) above, for the twelve (12) consecutive month period immediately following the date of Executive’s termination, Executive, as a condition to receipt of severance pay and benefits under Sections 3(a) and (b), will not (i) either directly or indirectly, solicit, induce, recruit, encourage any employee of the Company to leave his employment either for Executive or for any other entity or person, or (ii) without the express written consent of the Company, directly or indirectly engage in, enter the employ, have any ownership interest in, or participate in any entity that as of the date of involuntary termination, engages in the design, development, manufacture, production, marketing, sale or servicing of any product or the provision of any service that competes with any service offered by the Company or any product sold by the Company or under development by the Company; provided, however, that ownership of less than one percent (1%) of the outstanding stock of any publicly traded corporation will not be deemed to be violative of the restrictive covenant set forth in this paragraph. The provisions of clause (ii) will not apply to Executive to the extent Executive is providing services or residing in the State of California.</w:t>
      </w:r>
    </w:p>
    <w:p>
      <w:pPr>
        <w:spacing w:after="0" w:line="182" w:lineRule="exact"/>
        <w:rPr>
          <w:sz w:val="20"/>
          <w:szCs w:val="20"/>
          <w:color w:val="auto"/>
        </w:rPr>
      </w:pPr>
    </w:p>
    <w:p>
      <w:pPr>
        <w:ind w:right="40" w:firstLine="972"/>
        <w:spacing w:after="0" w:line="259" w:lineRule="auto"/>
        <w:rPr>
          <w:sz w:val="20"/>
          <w:szCs w:val="20"/>
          <w:color w:val="auto"/>
        </w:rPr>
      </w:pPr>
      <w:r>
        <w:rPr>
          <w:rFonts w:ascii="Arial" w:cs="Arial" w:eastAsia="Arial" w:hAnsi="Arial"/>
          <w:sz w:val="21"/>
          <w:szCs w:val="21"/>
          <w:color w:val="010000"/>
        </w:rPr>
        <w:t xml:space="preserve">The </w:t>
      </w:r>
      <w:r>
        <w:rPr>
          <w:rFonts w:ascii="Arial" w:cs="Arial" w:eastAsia="Arial" w:hAnsi="Arial"/>
          <w:sz w:val="21"/>
          <w:szCs w:val="21"/>
          <w:color w:val="000000"/>
        </w:rPr>
        <w:t>covenants contained in this Section 3(d) hereof shall be construed as a series of separate covenants, one for each</w:t>
      </w:r>
      <w:r>
        <w:rPr>
          <w:rFonts w:ascii="Arial" w:cs="Arial" w:eastAsia="Arial" w:hAnsi="Arial"/>
          <w:sz w:val="21"/>
          <w:szCs w:val="21"/>
          <w:color w:val="010000"/>
        </w:rPr>
        <w:t xml:space="preserve"> </w:t>
      </w:r>
      <w:r>
        <w:rPr>
          <w:rFonts w:ascii="Arial" w:cs="Arial" w:eastAsia="Arial" w:hAnsi="Arial"/>
          <w:sz w:val="21"/>
          <w:szCs w:val="21"/>
          <w:color w:val="000000"/>
        </w:rPr>
        <w:t>country, province, state, city or other political subdivision in which the Company currently engages in its business or, during the term of this Agreement, becomes engaged in its business. Except for geographic coverage, each such separate covenant shall be deemed identical in terms to the covenant contained in this Section 3(d).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the provisions of this Section 3(d) are deemed to exceed the time, geographic or scope limitations permitted by applicable law, then such provisions shall be reformed to the maximum time, geographic or scope limitations, as the case may be, permitted by applicable law.</w:t>
      </w:r>
    </w:p>
    <w:p>
      <w:pPr>
        <w:spacing w:after="0" w:line="180" w:lineRule="exact"/>
        <w:rPr>
          <w:sz w:val="20"/>
          <w:szCs w:val="20"/>
          <w:color w:val="auto"/>
        </w:rPr>
      </w:pPr>
    </w:p>
    <w:p>
      <w:pPr>
        <w:ind w:right="80" w:firstLine="980"/>
        <w:spacing w:after="0" w:line="260" w:lineRule="auto"/>
        <w:tabs>
          <w:tab w:leader="none" w:pos="1392" w:val="left"/>
        </w:tabs>
        <w:numPr>
          <w:ilvl w:val="0"/>
          <w:numId w:val="75"/>
        </w:numPr>
        <w:rPr>
          <w:rFonts w:ascii="Arial" w:cs="Arial" w:eastAsia="Arial" w:hAnsi="Arial"/>
          <w:sz w:val="22"/>
          <w:szCs w:val="22"/>
          <w:color w:val="010000"/>
        </w:rPr>
      </w:pPr>
      <w:r>
        <w:rPr>
          <w:rFonts w:ascii="Arial" w:cs="Arial" w:eastAsia="Arial" w:hAnsi="Arial"/>
          <w:sz w:val="22"/>
          <w:szCs w:val="22"/>
          <w:u w:val="single" w:color="auto"/>
          <w:color w:val="auto"/>
        </w:rPr>
        <w:t>Accelerated Vesting of Equity Awards</w:t>
      </w:r>
      <w:r>
        <w:rPr>
          <w:rFonts w:ascii="Arial" w:cs="Arial" w:eastAsia="Arial" w:hAnsi="Arial"/>
          <w:sz w:val="22"/>
          <w:szCs w:val="22"/>
          <w:color w:val="auto"/>
        </w:rPr>
        <w:t>. For the sake of clarity, with respect to the Awards vested pursuant to Sections 3(a)(ii) or 3(b)(ii), Executive will fully vest in and have the right to exercise stock options and/or stock appreciation rights as to all of the shares underlying</w:t>
      </w:r>
    </w:p>
    <w:p>
      <w:pPr>
        <w:sectPr>
          <w:pgSz w:w="11900" w:h="16838" w:orient="portrait"/>
          <w:cols w:equalWidth="0" w:num="1">
            <w:col w:w="11420"/>
          </w:cols>
          <w:pgMar w:left="240" w:top="631" w:right="239" w:bottom="1440" w:gutter="0" w:footer="0" w:header="0"/>
        </w:sectPr>
      </w:pPr>
    </w:p>
    <w:bookmarkStart w:id="133" w:name="page134"/>
    <w:bookmarkEnd w:id="133"/>
    <w:p>
      <w:pPr>
        <w:ind w:right="160"/>
        <w:spacing w:after="0" w:line="250" w:lineRule="auto"/>
        <w:rPr>
          <w:sz w:val="20"/>
          <w:szCs w:val="20"/>
          <w:color w:val="auto"/>
        </w:rPr>
      </w:pPr>
      <w:r>
        <w:rPr>
          <w:rFonts w:ascii="Arial" w:cs="Arial" w:eastAsia="Arial" w:hAnsi="Arial"/>
          <w:sz w:val="22"/>
          <w:szCs w:val="22"/>
          <w:color w:val="auto"/>
        </w:rPr>
        <w:t>such Awards, including those shares which would not otherwise be vested or exercisable, all restrictions on restricted stock and restricted stock units will lapse, and, with respect to performance stock units and performance shares, all performance goals or other vesting criteria will be deemed to have been achieved at one hundred percent (100%) of target levels and all other terms and conditions met.</w:t>
      </w:r>
    </w:p>
    <w:p>
      <w:pPr>
        <w:spacing w:after="0" w:line="188" w:lineRule="exact"/>
        <w:rPr>
          <w:sz w:val="20"/>
          <w:szCs w:val="20"/>
          <w:color w:val="auto"/>
        </w:rPr>
      </w:pPr>
    </w:p>
    <w:p>
      <w:pPr>
        <w:ind w:right="80" w:firstLine="980"/>
        <w:spacing w:after="0" w:line="251" w:lineRule="auto"/>
        <w:tabs>
          <w:tab w:leader="none" w:pos="1368" w:val="left"/>
        </w:tabs>
        <w:numPr>
          <w:ilvl w:val="1"/>
          <w:numId w:val="76"/>
        </w:numPr>
        <w:rPr>
          <w:rFonts w:ascii="Arial" w:cs="Arial" w:eastAsia="Arial" w:hAnsi="Arial"/>
          <w:sz w:val="22"/>
          <w:szCs w:val="22"/>
          <w:color w:val="010000"/>
        </w:rPr>
      </w:pPr>
      <w:r>
        <w:rPr>
          <w:rFonts w:ascii="Arial" w:cs="Arial" w:eastAsia="Arial" w:hAnsi="Arial"/>
          <w:sz w:val="22"/>
          <w:szCs w:val="22"/>
          <w:u w:val="single" w:color="auto"/>
          <w:color w:val="auto"/>
        </w:rPr>
        <w:t>Timing of Severance Payments</w:t>
      </w:r>
      <w:r>
        <w:rPr>
          <w:rFonts w:ascii="Arial" w:cs="Arial" w:eastAsia="Arial" w:hAnsi="Arial"/>
          <w:sz w:val="22"/>
          <w:szCs w:val="22"/>
          <w:color w:val="auto"/>
        </w:rPr>
        <w:t>. Subject to Section 3(c), the Company will pay the severance payments to which Executive is entitled as salary continuation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pacing w:after="0" w:line="189" w:lineRule="exact"/>
        <w:rPr>
          <w:rFonts w:ascii="Arial" w:cs="Arial" w:eastAsia="Arial" w:hAnsi="Arial"/>
          <w:sz w:val="22"/>
          <w:szCs w:val="22"/>
          <w:color w:val="010000"/>
        </w:rPr>
      </w:pPr>
    </w:p>
    <w:p>
      <w:pPr>
        <w:ind w:firstLine="980"/>
        <w:spacing w:after="0" w:line="299" w:lineRule="auto"/>
        <w:tabs>
          <w:tab w:leader="none" w:pos="1404" w:val="left"/>
        </w:tabs>
        <w:numPr>
          <w:ilvl w:val="1"/>
          <w:numId w:val="76"/>
        </w:numPr>
        <w:rPr>
          <w:rFonts w:ascii="Arial" w:cs="Arial" w:eastAsia="Arial" w:hAnsi="Arial"/>
          <w:sz w:val="19"/>
          <w:szCs w:val="19"/>
          <w:color w:val="010000"/>
        </w:rPr>
      </w:pPr>
      <w:r>
        <w:rPr>
          <w:rFonts w:ascii="Arial" w:cs="Arial" w:eastAsia="Arial" w:hAnsi="Arial"/>
          <w:sz w:val="19"/>
          <w:szCs w:val="19"/>
          <w:u w:val="single" w:color="auto"/>
          <w:color w:val="auto"/>
        </w:rPr>
        <w:t>Voluntary Resignation; Termination For Cause</w:t>
      </w:r>
      <w:r>
        <w:rPr>
          <w:rFonts w:ascii="Arial" w:cs="Arial" w:eastAsia="Arial" w:hAnsi="Arial"/>
          <w:sz w:val="19"/>
          <w:szCs w:val="19"/>
          <w:color w:val="auto"/>
        </w:rPr>
        <w:t>. If Executive’s employment with the Company terminates (i) voluntarily by Executive (except upon a termination for Good Reason within twelve (12) months following a Change of Control) or</w:t>
      </w:r>
    </w:p>
    <w:p>
      <w:pPr>
        <w:ind w:right="140" w:firstLine="8"/>
        <w:spacing w:after="0" w:line="302" w:lineRule="auto"/>
        <w:tabs>
          <w:tab w:leader="none" w:pos="318" w:val="left"/>
        </w:tabs>
        <w:numPr>
          <w:ilvl w:val="0"/>
          <w:numId w:val="77"/>
        </w:numPr>
        <w:rPr>
          <w:rFonts w:ascii="Arial" w:cs="Arial" w:eastAsia="Arial" w:hAnsi="Arial"/>
          <w:sz w:val="19"/>
          <w:szCs w:val="19"/>
          <w:color w:val="auto"/>
        </w:rPr>
      </w:pPr>
      <w:r>
        <w:rPr>
          <w:rFonts w:ascii="Arial" w:cs="Arial" w:eastAsia="Arial" w:hAnsi="Arial"/>
          <w:sz w:val="19"/>
          <w:szCs w:val="19"/>
          <w:color w:val="auto"/>
        </w:rPr>
        <w:t>for Cause by the 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43" w:lineRule="exact"/>
        <w:rPr>
          <w:rFonts w:ascii="Arial" w:cs="Arial" w:eastAsia="Arial" w:hAnsi="Arial"/>
          <w:sz w:val="19"/>
          <w:szCs w:val="19"/>
          <w:color w:val="auto"/>
        </w:rPr>
      </w:pPr>
    </w:p>
    <w:p>
      <w:pPr>
        <w:ind w:right="500" w:firstLine="980"/>
        <w:spacing w:after="0" w:line="307" w:lineRule="auto"/>
        <w:tabs>
          <w:tab w:leader="none" w:pos="1404" w:val="left"/>
        </w:tabs>
        <w:numPr>
          <w:ilvl w:val="1"/>
          <w:numId w:val="77"/>
        </w:numPr>
        <w:rPr>
          <w:rFonts w:ascii="Arial" w:cs="Arial" w:eastAsia="Arial" w:hAnsi="Arial"/>
          <w:sz w:val="19"/>
          <w:szCs w:val="19"/>
          <w:color w:val="010000"/>
        </w:rPr>
      </w:pPr>
      <w:r>
        <w:rPr>
          <w:rFonts w:ascii="Arial" w:cs="Arial" w:eastAsia="Arial" w:hAnsi="Arial"/>
          <w:sz w:val="19"/>
          <w:szCs w:val="19"/>
          <w:u w:val="single" w:color="auto"/>
          <w:color w:val="auto"/>
        </w:rPr>
        <w:t>Disability; Death</w:t>
      </w:r>
      <w:r>
        <w:rPr>
          <w:rFonts w:ascii="Arial" w:cs="Arial" w:eastAsia="Arial" w:hAnsi="Arial"/>
          <w:sz w:val="19"/>
          <w:szCs w:val="19"/>
          <w:color w:val="auto"/>
        </w:rPr>
        <w:t>. If the Company terminates Executive’s employment as a result of Executive’s Disability,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38" w:lineRule="exact"/>
        <w:rPr>
          <w:rFonts w:ascii="Arial" w:cs="Arial" w:eastAsia="Arial" w:hAnsi="Arial"/>
          <w:sz w:val="19"/>
          <w:szCs w:val="19"/>
          <w:color w:val="010000"/>
        </w:rPr>
      </w:pPr>
    </w:p>
    <w:p>
      <w:pPr>
        <w:ind w:right="200" w:firstLine="980"/>
        <w:spacing w:after="0" w:line="300" w:lineRule="auto"/>
        <w:tabs>
          <w:tab w:leader="none" w:pos="1356" w:val="left"/>
        </w:tabs>
        <w:numPr>
          <w:ilvl w:val="1"/>
          <w:numId w:val="77"/>
        </w:numPr>
        <w:rPr>
          <w:rFonts w:ascii="Arial" w:cs="Arial" w:eastAsia="Arial" w:hAnsi="Arial"/>
          <w:sz w:val="19"/>
          <w:szCs w:val="19"/>
          <w:color w:val="010000"/>
        </w:rPr>
      </w:pPr>
      <w:r>
        <w:rPr>
          <w:rFonts w:ascii="Arial" w:cs="Arial" w:eastAsia="Arial" w:hAnsi="Arial"/>
          <w:sz w:val="19"/>
          <w:szCs w:val="19"/>
          <w:u w:val="single" w:color="auto"/>
          <w:color w:val="auto"/>
        </w:rPr>
        <w:t>Exclusive Remedy</w:t>
      </w:r>
      <w:r>
        <w:rPr>
          <w:rFonts w:ascii="Arial" w:cs="Arial" w:eastAsia="Arial" w:hAnsi="Arial"/>
          <w:sz w:val="19"/>
          <w:szCs w:val="19"/>
          <w:color w:val="auto"/>
        </w:rPr>
        <w:t>. In the event of a termination of Executive’s employment with the Company (or any parent or subsidiary of the Company), the provisions of this Section 3 are intended to be and are exclusive and in lieu of any other rights or remedies to which Executive or the Company may otherwise be entitled, whether at law, tort or contract, in equity, or under this Agreement. Executive will be entitled to no severance or other benefits upon termination of employment with respect to acceleration of Award vesting or severance pay other than those benefits expressly set forth in this Section 3.</w:t>
      </w:r>
    </w:p>
    <w:p>
      <w:pPr>
        <w:spacing w:after="0" w:line="147" w:lineRule="exact"/>
        <w:rPr>
          <w:rFonts w:ascii="Arial" w:cs="Arial" w:eastAsia="Arial" w:hAnsi="Arial"/>
          <w:sz w:val="19"/>
          <w:szCs w:val="19"/>
          <w:color w:val="010000"/>
        </w:rPr>
      </w:pPr>
    </w:p>
    <w:p>
      <w:pPr>
        <w:ind w:right="20" w:firstLine="980"/>
        <w:spacing w:after="0" w:line="260" w:lineRule="auto"/>
        <w:tabs>
          <w:tab w:leader="none" w:pos="1356" w:val="left"/>
        </w:tabs>
        <w:numPr>
          <w:ilvl w:val="1"/>
          <w:numId w:val="77"/>
        </w:numPr>
        <w:rPr>
          <w:rFonts w:ascii="Arial" w:cs="Arial" w:eastAsia="Arial" w:hAnsi="Arial"/>
          <w:sz w:val="21"/>
          <w:szCs w:val="21"/>
          <w:color w:val="010000"/>
        </w:rPr>
      </w:pPr>
      <w:r>
        <w:rPr>
          <w:rFonts w:ascii="Arial" w:cs="Arial" w:eastAsia="Arial" w:hAnsi="Arial"/>
          <w:sz w:val="21"/>
          <w:szCs w:val="21"/>
          <w:u w:val="single" w:color="auto"/>
          <w:color w:val="auto"/>
        </w:rPr>
        <w:t>Section 409A</w:t>
      </w:r>
      <w:r>
        <w:rPr>
          <w:rFonts w:ascii="Arial" w:cs="Arial" w:eastAsia="Arial" w:hAnsi="Arial"/>
          <w:sz w:val="21"/>
          <w:szCs w:val="21"/>
          <w:color w:val="auto"/>
        </w:rPr>
        <w:t>. 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of the Internal Revenue Code of 1986, as amended (the “Code”) and any final regulations and official guidance promulgated thereunder (“Section 409A”) (together, the “Deferred Compensation Separation Benefits”) will be paid or otherwise provided until Executive has a “separation from service” within the meaning of Section 409A. Similarly, no severance payments or separation benefits payable to Executive, if any, pursuant to this Agreement that otherwise would be exempt from Section 409A pursuant to Section 1.409A-1(b)(9) of the Treasury Regulations will be payable until Executive has a “separation from service” within the meaning of Section 409A. In addition, if Executive is a</w:t>
      </w:r>
    </w:p>
    <w:p>
      <w:pPr>
        <w:sectPr>
          <w:pgSz w:w="11900" w:h="16838" w:orient="portrait"/>
          <w:cols w:equalWidth="0" w:num="1">
            <w:col w:w="11400"/>
          </w:cols>
          <w:pgMar w:left="240" w:top="631" w:right="259" w:bottom="1440" w:gutter="0" w:footer="0" w:header="0"/>
        </w:sectPr>
      </w:pPr>
    </w:p>
    <w:bookmarkStart w:id="134" w:name="page135"/>
    <w:bookmarkEnd w:id="134"/>
    <w:p>
      <w:pPr>
        <w:spacing w:after="0" w:line="283" w:lineRule="auto"/>
        <w:rPr>
          <w:sz w:val="20"/>
          <w:szCs w:val="20"/>
          <w:color w:val="auto"/>
        </w:rPr>
      </w:pPr>
      <w:r>
        <w:rPr>
          <w:rFonts w:ascii="Arial" w:cs="Arial" w:eastAsia="Arial" w:hAnsi="Arial"/>
          <w:sz w:val="19"/>
          <w:szCs w:val="19"/>
          <w:color w:val="auto"/>
        </w:rPr>
        <w:t>“specified employee” within the meaning of Section 409A at the time of Executive’s termination (other than due to death), then the Deferred Compensation Separation Benefits that are payable within the first six (6) months following Executive’s separation from service, will become payable in a lump sum (without interest)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(without interest)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w:t>
      </w:r>
    </w:p>
    <w:p>
      <w:pPr>
        <w:spacing w:after="0" w:line="8" w:lineRule="exact"/>
        <w:rPr>
          <w:sz w:val="20"/>
          <w:szCs w:val="20"/>
          <w:color w:val="auto"/>
        </w:rPr>
      </w:pPr>
    </w:p>
    <w:p>
      <w:pPr>
        <w:ind w:right="160"/>
        <w:spacing w:after="0" w:line="257" w:lineRule="auto"/>
        <w:rPr>
          <w:sz w:val="20"/>
          <w:szCs w:val="20"/>
          <w:color w:val="auto"/>
        </w:rPr>
      </w:pPr>
      <w:r>
        <w:rPr>
          <w:rFonts w:ascii="Arial" w:cs="Arial" w:eastAsia="Arial" w:hAnsi="Arial"/>
          <w:sz w:val="21"/>
          <w:szCs w:val="21"/>
          <w:color w:val="auto"/>
        </w:rPr>
        <w:t>1.409A-2(b)(2) of the Treasury Regulations. To the extent any payment under this Agreement may be classified as a “short-term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82" w:lineRule="exact"/>
        <w:rPr>
          <w:sz w:val="20"/>
          <w:szCs w:val="20"/>
          <w:color w:val="auto"/>
        </w:rPr>
      </w:pPr>
    </w:p>
    <w:p>
      <w:pPr>
        <w:ind w:right="140" w:firstLine="656"/>
        <w:spacing w:after="0" w:line="254" w:lineRule="auto"/>
        <w:tabs>
          <w:tab w:leader="none" w:pos="990" w:val="left"/>
        </w:tabs>
        <w:numPr>
          <w:ilvl w:val="0"/>
          <w:numId w:val="78"/>
        </w:numPr>
        <w:rPr>
          <w:rFonts w:ascii="Arial" w:cs="Arial" w:eastAsia="Arial" w:hAnsi="Arial"/>
          <w:sz w:val="22"/>
          <w:szCs w:val="22"/>
          <w:color w:val="010000"/>
        </w:rPr>
      </w:pPr>
      <w:r>
        <w:rPr>
          <w:rFonts w:ascii="Arial" w:cs="Arial" w:eastAsia="Arial" w:hAnsi="Arial"/>
          <w:sz w:val="22"/>
          <w:szCs w:val="22"/>
          <w:u w:val="single" w:color="auto"/>
          <w:color w:val="auto"/>
        </w:rPr>
        <w:t>Limitation on Payments</w:t>
      </w:r>
      <w:r>
        <w:rPr>
          <w:rFonts w:ascii="Arial" w:cs="Arial" w:eastAsia="Arial" w:hAnsi="Arial"/>
          <w:sz w:val="22"/>
          <w:szCs w:val="22"/>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185" w:lineRule="exact"/>
        <w:rPr>
          <w:rFonts w:ascii="Arial" w:cs="Arial" w:eastAsia="Arial" w:hAnsi="Arial"/>
          <w:sz w:val="22"/>
          <w:szCs w:val="22"/>
          <w:color w:val="010000"/>
        </w:rPr>
      </w:pPr>
    </w:p>
    <w:p>
      <w:pPr>
        <w:ind w:left="1400" w:hanging="420"/>
        <w:spacing w:after="0"/>
        <w:tabs>
          <w:tab w:leader="none" w:pos="1400" w:val="left"/>
        </w:tabs>
        <w:numPr>
          <w:ilvl w:val="1"/>
          <w:numId w:val="78"/>
        </w:numPr>
        <w:rPr>
          <w:rFonts w:ascii="Arial" w:cs="Arial" w:eastAsia="Arial" w:hAnsi="Arial"/>
          <w:sz w:val="22"/>
          <w:szCs w:val="22"/>
          <w:color w:val="010000"/>
        </w:rPr>
      </w:pPr>
      <w:r>
        <w:rPr>
          <w:rFonts w:ascii="Arial" w:cs="Arial" w:eastAsia="Arial" w:hAnsi="Arial"/>
          <w:sz w:val="22"/>
          <w:szCs w:val="22"/>
          <w:color w:val="auto"/>
        </w:rPr>
        <w:t>delivered in full, or</w:t>
      </w:r>
    </w:p>
    <w:p>
      <w:pPr>
        <w:spacing w:after="0" w:line="233" w:lineRule="exact"/>
        <w:rPr>
          <w:rFonts w:ascii="Arial" w:cs="Arial" w:eastAsia="Arial" w:hAnsi="Arial"/>
          <w:sz w:val="22"/>
          <w:szCs w:val="22"/>
          <w:color w:val="010000"/>
        </w:rPr>
      </w:pPr>
    </w:p>
    <w:p>
      <w:pPr>
        <w:ind w:right="140" w:firstLine="980"/>
        <w:spacing w:after="0" w:line="291" w:lineRule="auto"/>
        <w:tabs>
          <w:tab w:leader="none" w:pos="1404" w:val="left"/>
        </w:tabs>
        <w:numPr>
          <w:ilvl w:val="1"/>
          <w:numId w:val="78"/>
        </w:numPr>
        <w:rPr>
          <w:rFonts w:ascii="Arial" w:cs="Arial" w:eastAsia="Arial" w:hAnsi="Arial"/>
          <w:sz w:val="19"/>
          <w:szCs w:val="19"/>
          <w:color w:val="010000"/>
        </w:rPr>
      </w:pPr>
      <w:r>
        <w:rPr>
          <w:rFonts w:ascii="Arial" w:cs="Arial" w:eastAsia="Arial" w:hAnsi="Arial"/>
          <w:sz w:val="19"/>
          <w:szCs w:val="19"/>
          <w:color w:val="auto"/>
        </w:rPr>
        <w:t>delivered as to such lesser extent which would result in no portion of such severance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severance and other benefits constituting “parachute payments” is necessary so that benefits are delivered to a lesser extent, reduction shall occur in the following order: reduction of cash payments; cancellation of awards granted “contingent on a change in ownership or control” (within the meaning of Code Section 280G); cancellation of accelerated vesting of equity awards; reduction of employee benefits. Within any such category of “parachute payment”, a reduction shall occur first with respect to amounts that are not “deferred compensation” within the meaning of Section</w:t>
      </w:r>
    </w:p>
    <w:p>
      <w:pPr>
        <w:sectPr>
          <w:pgSz w:w="11900" w:h="16838" w:orient="portrait"/>
          <w:cols w:equalWidth="0" w:num="1">
            <w:col w:w="11400"/>
          </w:cols>
          <w:pgMar w:left="240" w:top="631" w:right="259" w:bottom="1440" w:gutter="0" w:footer="0" w:header="0"/>
        </w:sectPr>
      </w:pPr>
    </w:p>
    <w:bookmarkStart w:id="135" w:name="page136"/>
    <w:bookmarkEnd w:id="135"/>
    <w:p>
      <w:pPr>
        <w:ind w:right="40"/>
        <w:spacing w:after="0" w:line="289" w:lineRule="auto"/>
        <w:rPr>
          <w:sz w:val="20"/>
          <w:szCs w:val="20"/>
          <w:color w:val="auto"/>
        </w:rPr>
      </w:pPr>
      <w:r>
        <w:rPr>
          <w:rFonts w:ascii="Arial" w:cs="Arial" w:eastAsia="Arial" w:hAnsi="Arial"/>
          <w:sz w:val="19"/>
          <w:szCs w:val="19"/>
          <w:color w:val="auto"/>
        </w:rPr>
        <w:t>409A and then with respect to amounts that are, and to the extent any such payment is to be made over time (e.g., in installments, etc.), then the payments shall be waived in reverse chronological order. Unless the Company and Executive otherwise agree in writing, any determination required under this Section 4 will be made in writing by an independent firm immediately prior to Change of Control (the “Firm”),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reasonably incur in connection with any calculations contemplated by this Section 4.</w:t>
      </w:r>
    </w:p>
    <w:p>
      <w:pPr>
        <w:spacing w:after="0" w:line="158" w:lineRule="exact"/>
        <w:rPr>
          <w:sz w:val="20"/>
          <w:szCs w:val="20"/>
          <w:color w:val="auto"/>
        </w:rPr>
      </w:pPr>
    </w:p>
    <w:p>
      <w:pPr>
        <w:ind w:left="1000" w:hanging="344"/>
        <w:spacing w:after="0"/>
        <w:tabs>
          <w:tab w:leader="none" w:pos="1000" w:val="left"/>
        </w:tabs>
        <w:numPr>
          <w:ilvl w:val="0"/>
          <w:numId w:val="79"/>
        </w:numPr>
        <w:rPr>
          <w:rFonts w:ascii="Arial" w:cs="Arial" w:eastAsia="Arial" w:hAnsi="Arial"/>
          <w:sz w:val="22"/>
          <w:szCs w:val="22"/>
          <w:color w:val="010000"/>
        </w:rPr>
      </w:pPr>
      <w:r>
        <w:rPr>
          <w:rFonts w:ascii="Arial" w:cs="Arial" w:eastAsia="Arial" w:hAnsi="Arial"/>
          <w:sz w:val="22"/>
          <w:szCs w:val="22"/>
          <w:u w:val="single" w:color="auto"/>
          <w:color w:val="auto"/>
        </w:rPr>
        <w:t>Definition of Terms</w:t>
      </w:r>
      <w:r>
        <w:rPr>
          <w:rFonts w:ascii="Arial" w:cs="Arial" w:eastAsia="Arial" w:hAnsi="Arial"/>
          <w:sz w:val="22"/>
          <w:szCs w:val="22"/>
          <w:color w:val="auto"/>
        </w:rPr>
        <w:t>. The following terms referred to in this Agreement will have the following meanings:</w:t>
      </w:r>
    </w:p>
    <w:p>
      <w:pPr>
        <w:spacing w:after="0" w:line="233" w:lineRule="exact"/>
        <w:rPr>
          <w:rFonts w:ascii="Arial" w:cs="Arial" w:eastAsia="Arial" w:hAnsi="Arial"/>
          <w:sz w:val="22"/>
          <w:szCs w:val="22"/>
          <w:color w:val="010000"/>
        </w:rPr>
      </w:pPr>
    </w:p>
    <w:p>
      <w:pPr>
        <w:ind w:right="80" w:firstLine="980"/>
        <w:spacing w:after="0" w:line="288" w:lineRule="auto"/>
        <w:tabs>
          <w:tab w:leader="none" w:pos="1392" w:val="left"/>
        </w:tabs>
        <w:numPr>
          <w:ilvl w:val="1"/>
          <w:numId w:val="79"/>
        </w:numPr>
        <w:rPr>
          <w:rFonts w:ascii="Arial" w:cs="Arial" w:eastAsia="Arial" w:hAnsi="Arial"/>
          <w:sz w:val="19"/>
          <w:szCs w:val="19"/>
          <w:color w:val="010000"/>
        </w:rPr>
      </w:pPr>
      <w:r>
        <w:rPr>
          <w:rFonts w:ascii="Arial" w:cs="Arial" w:eastAsia="Arial" w:hAnsi="Arial"/>
          <w:sz w:val="19"/>
          <w:szCs w:val="19"/>
          <w:u w:val="single" w:color="auto"/>
          <w:color w:val="auto"/>
        </w:rPr>
        <w:t>Benefit Plans</w:t>
      </w:r>
      <w:r>
        <w:rPr>
          <w:rFonts w:ascii="Arial" w:cs="Arial" w:eastAsia="Arial" w:hAnsi="Arial"/>
          <w:sz w:val="19"/>
          <w:szCs w:val="19"/>
          <w:color w:val="auto"/>
        </w:rPr>
        <w:t>. For purposes of this Agreement, “Benefit Plans” means plans, policies or arrangements that the Company sponsors (or participates in) and that immediately prior to Executive’s termination of employment provide Executive and/or Executive’s eligible dependents with medical, dental, and/or vision benefits. Benefit Plans do not include any other type of benefit (including, but not by way of limitation, disability, life insurance or retirement benefits). A requirement that the Company provide Executive and Executive’s eligible dependents with coverage under the Benefit Plans will not be satisfied unless the coverage is no less favorable than that provided to senior executives of the Company at any applicable time during the period Executive is entitled to receive severance pursuant to Section 3. The Company may, at its option, satisfy any requirement that the Company provide coverage under any Benefit Plan by (i) reimbursing Executive’s premiums under Title X of the Consolidated Budget Reconciliation Act of 1985, as amended (“COBRA”) after Executive has properly elected continuation coverage under COBRA (in which case Executive will be solely responsible for electing such coverage for his eligible dependents), or (ii) providing coverage under a separate plan or plans providing coverage that is no less favorable or by paying Executive a lump-sum payment which is, on an after-tax basis, sufficient to provide Executive and Executive’s eligible dependents with equivalent coverage under a third party plan that is reasonably available to Executive and Executive’s eligible dependents.</w:t>
      </w:r>
    </w:p>
    <w:p>
      <w:pPr>
        <w:spacing w:after="0" w:line="156" w:lineRule="exact"/>
        <w:rPr>
          <w:rFonts w:ascii="Arial" w:cs="Arial" w:eastAsia="Arial" w:hAnsi="Arial"/>
          <w:sz w:val="19"/>
          <w:szCs w:val="19"/>
          <w:color w:val="010000"/>
        </w:rPr>
      </w:pPr>
    </w:p>
    <w:p>
      <w:pPr>
        <w:ind w:firstLine="980"/>
        <w:spacing w:after="0" w:line="294" w:lineRule="auto"/>
        <w:tabs>
          <w:tab w:leader="none" w:pos="1404" w:val="left"/>
        </w:tabs>
        <w:numPr>
          <w:ilvl w:val="1"/>
          <w:numId w:val="79"/>
        </w:numPr>
        <w:rPr>
          <w:rFonts w:ascii="Arial" w:cs="Arial" w:eastAsia="Arial" w:hAnsi="Arial"/>
          <w:sz w:val="19"/>
          <w:szCs w:val="19"/>
          <w:color w:val="010000"/>
        </w:rPr>
      </w:pPr>
      <w:r>
        <w:rPr>
          <w:rFonts w:ascii="Arial" w:cs="Arial" w:eastAsia="Arial" w:hAnsi="Arial"/>
          <w:sz w:val="19"/>
          <w:szCs w:val="19"/>
          <w:u w:val="single" w:color="auto"/>
          <w:color w:val="auto"/>
        </w:rPr>
        <w:t>Cause</w:t>
      </w:r>
      <w:r>
        <w:rPr>
          <w:rFonts w:ascii="Arial" w:cs="Arial" w:eastAsia="Arial" w:hAnsi="Arial"/>
          <w:sz w:val="19"/>
          <w:szCs w:val="19"/>
          <w:color w:val="auto"/>
        </w:rPr>
        <w:t>. “Cause” is defined as (i) an act of dishonesty made by Executive in connection with Executive’s responsibilities as an employee that materially adversely affects the Company, (ii) Executive’s conviction of, or plea of nolo contendere to, a felony or any crime involving fraud, embezzlement or any other act of moral turpitude, (iii) Executive’s gross misconduct that materially and adversely affects the Company’s reputation or business, or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w:t>
      </w:r>
    </w:p>
    <w:p>
      <w:pPr>
        <w:sectPr>
          <w:pgSz w:w="11900" w:h="16838" w:orient="portrait"/>
          <w:cols w:equalWidth="0" w:num="1">
            <w:col w:w="11360"/>
          </w:cols>
          <w:pgMar w:left="240" w:top="631" w:right="29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and Executive continues to refuse to cure such non-performance within thirty (30) days after receiving such notice.</w:t>
      </w:r>
    </w:p>
    <w:p>
      <w:pPr>
        <w:spacing w:after="0" w:line="220" w:lineRule="exact"/>
        <w:rPr>
          <w:sz w:val="20"/>
          <w:szCs w:val="20"/>
          <w:color w:val="auto"/>
        </w:rPr>
      </w:pPr>
    </w:p>
    <w:p>
      <w:pPr>
        <w:ind w:left="1400" w:hanging="420"/>
        <w:spacing w:after="0"/>
        <w:tabs>
          <w:tab w:leader="none" w:pos="1400" w:val="left"/>
        </w:tabs>
        <w:numPr>
          <w:ilvl w:val="0"/>
          <w:numId w:val="80"/>
        </w:numPr>
        <w:rPr>
          <w:rFonts w:ascii="Arial" w:cs="Arial" w:eastAsia="Arial" w:hAnsi="Arial"/>
          <w:sz w:val="22"/>
          <w:szCs w:val="22"/>
          <w:color w:val="010000"/>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“Change of Control” of the Company is defined as:</w:t>
      </w:r>
    </w:p>
    <w:p>
      <w:pPr>
        <w:spacing w:after="0" w:line="233" w:lineRule="exact"/>
        <w:rPr>
          <w:rFonts w:ascii="Arial" w:cs="Arial" w:eastAsia="Arial" w:hAnsi="Arial"/>
          <w:sz w:val="22"/>
          <w:szCs w:val="22"/>
          <w:color w:val="010000"/>
        </w:rPr>
      </w:pPr>
    </w:p>
    <w:p>
      <w:pPr>
        <w:ind w:right="240" w:firstLine="1305"/>
        <w:spacing w:after="0" w:line="294" w:lineRule="auto"/>
        <w:tabs>
          <w:tab w:leader="none" w:pos="1680" w:val="left"/>
        </w:tabs>
        <w:numPr>
          <w:ilvl w:val="1"/>
          <w:numId w:val="80"/>
        </w:numPr>
        <w:rPr>
          <w:rFonts w:ascii="Arial" w:cs="Arial" w:eastAsia="Arial" w:hAnsi="Arial"/>
          <w:sz w:val="19"/>
          <w:szCs w:val="19"/>
          <w:color w:val="010000"/>
        </w:rPr>
      </w:pPr>
      <w:r>
        <w:rPr>
          <w:rFonts w:ascii="Arial" w:cs="Arial" w:eastAsia="Arial" w:hAnsi="Arial"/>
          <w:sz w:val="19"/>
          <w:szCs w:val="19"/>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(“Person”) that or is or becomes the owner, directly or indirectly, of securities of the Company representing fifty percent (50%) or more of the total voting power represented by the Company’s then outstanding securities (the “Voting Securities”); provided, however, that for purposes of this subsection (i), the acquisition of additional securities by any one Person, who is considered to own more than fifty percent (50%) of the total voting power of the securities of the Company shall not be considered a Change of Control;</w:t>
      </w:r>
    </w:p>
    <w:p>
      <w:pPr>
        <w:spacing w:after="0" w:line="152" w:lineRule="exact"/>
        <w:rPr>
          <w:rFonts w:ascii="Arial" w:cs="Arial" w:eastAsia="Arial" w:hAnsi="Arial"/>
          <w:sz w:val="19"/>
          <w:szCs w:val="19"/>
          <w:color w:val="010000"/>
        </w:rPr>
      </w:pPr>
    </w:p>
    <w:p>
      <w:pPr>
        <w:ind w:right="40" w:firstLine="1305"/>
        <w:spacing w:after="0" w:line="250" w:lineRule="auto"/>
        <w:tabs>
          <w:tab w:leader="none" w:pos="1741"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a change in the composition of the Board occurring within a twelve (12) month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88" w:lineRule="exact"/>
        <w:rPr>
          <w:rFonts w:ascii="Arial" w:cs="Arial" w:eastAsia="Arial" w:hAnsi="Arial"/>
          <w:sz w:val="22"/>
          <w:szCs w:val="22"/>
          <w:color w:val="010000"/>
        </w:rPr>
      </w:pPr>
    </w:p>
    <w:p>
      <w:pPr>
        <w:ind w:firstLine="1305"/>
        <w:spacing w:after="0" w:line="297" w:lineRule="auto"/>
        <w:tabs>
          <w:tab w:leader="none" w:pos="1800" w:val="left"/>
        </w:tabs>
        <w:numPr>
          <w:ilvl w:val="1"/>
          <w:numId w:val="80"/>
        </w:numPr>
        <w:rPr>
          <w:rFonts w:ascii="Arial" w:cs="Arial" w:eastAsia="Arial" w:hAnsi="Arial"/>
          <w:sz w:val="19"/>
          <w:szCs w:val="19"/>
          <w:color w:val="010000"/>
        </w:rPr>
      </w:pPr>
      <w:r>
        <w:rPr>
          <w:rFonts w:ascii="Arial" w:cs="Arial" w:eastAsia="Arial" w:hAnsi="Arial"/>
          <w:sz w:val="19"/>
          <w:szCs w:val="19"/>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46" w:lineRule="exact"/>
        <w:rPr>
          <w:rFonts w:ascii="Arial" w:cs="Arial" w:eastAsia="Arial" w:hAnsi="Arial"/>
          <w:sz w:val="19"/>
          <w:szCs w:val="19"/>
          <w:color w:val="010000"/>
        </w:rPr>
      </w:pPr>
    </w:p>
    <w:p>
      <w:pPr>
        <w:ind w:firstLine="1305"/>
        <w:spacing w:after="0" w:line="260" w:lineRule="auto"/>
        <w:tabs>
          <w:tab w:leader="none" w:pos="1788" w:val="left"/>
        </w:tabs>
        <w:numPr>
          <w:ilvl w:val="1"/>
          <w:numId w:val="80"/>
        </w:numPr>
        <w:rPr>
          <w:rFonts w:ascii="Arial" w:cs="Arial" w:eastAsia="Arial" w:hAnsi="Arial"/>
          <w:sz w:val="21"/>
          <w:szCs w:val="21"/>
          <w:color w:val="010000"/>
        </w:rPr>
      </w:pPr>
      <w:r>
        <w:rPr>
          <w:rFonts w:ascii="Arial" w:cs="Arial" w:eastAsia="Arial" w:hAnsi="Arial"/>
          <w:sz w:val="21"/>
          <w:szCs w:val="21"/>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5 (c)(iv), the following shall not constitute a change in the ownership of a substantial portion of the Company’s assets: (1) a transfer to an entity that is controlled by the Company’s shareholders immediately after the transfer; or (2) a transfer of assets by the Company to: (A) a shareholder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w:t>
      </w:r>
    </w:p>
    <w:p>
      <w:pPr>
        <w:sectPr>
          <w:pgSz w:w="11900" w:h="16838" w:orient="portrait"/>
          <w:cols w:equalWidth="0" w:num="1">
            <w:col w:w="11420"/>
          </w:cols>
          <w:pgMar w:left="240" w:top="631" w:right="239" w:bottom="1440" w:gutter="0" w:footer="0" w:header="0"/>
        </w:sectPr>
      </w:pPr>
    </w:p>
    <w:bookmarkStart w:id="137" w:name="page138"/>
    <w:bookmarkEnd w:id="137"/>
    <w:p>
      <w:pPr>
        <w:spacing w:after="0" w:line="250" w:lineRule="auto"/>
        <w:rPr>
          <w:sz w:val="20"/>
          <w:szCs w:val="20"/>
          <w:color w:val="auto"/>
        </w:rPr>
      </w:pPr>
      <w:r>
        <w:rPr>
          <w:rFonts w:ascii="Arial" w:cs="Arial" w:eastAsia="Arial" w:hAnsi="Arial"/>
          <w:sz w:val="22"/>
          <w:szCs w:val="22"/>
          <w:color w:val="auto"/>
        </w:rPr>
        <w:t>outstanding stock of the Company; or (D) an entity, at least fifty percent (50%) of the total value or voting power of which is owned, directly or indirectly, by a Person described in subsection (C). For purposes of this clause (2), gross fair market value means the value of the assets of the Company, or the value of the assets being disposed of, determined without regard to any liabilities associated with such assets.</w:t>
      </w:r>
    </w:p>
    <w:p>
      <w:pPr>
        <w:spacing w:after="0" w:line="188" w:lineRule="exact"/>
        <w:rPr>
          <w:sz w:val="20"/>
          <w:szCs w:val="20"/>
          <w:color w:val="auto"/>
        </w:rPr>
      </w:pPr>
    </w:p>
    <w:p>
      <w:pPr>
        <w:ind w:right="520" w:firstLine="1297"/>
        <w:spacing w:after="0" w:line="263" w:lineRule="auto"/>
        <w:rPr>
          <w:sz w:val="20"/>
          <w:szCs w:val="20"/>
          <w:color w:val="auto"/>
        </w:rPr>
      </w:pPr>
      <w:r>
        <w:rPr>
          <w:rFonts w:ascii="Arial" w:cs="Arial" w:eastAsia="Arial" w:hAnsi="Arial"/>
          <w:sz w:val="22"/>
          <w:szCs w:val="22"/>
          <w:color w:val="010000"/>
        </w:rPr>
        <w:t xml:space="preserve">Notwithstanding </w:t>
      </w:r>
      <w:r>
        <w:rPr>
          <w:rFonts w:ascii="Arial" w:cs="Arial" w:eastAsia="Arial" w:hAnsi="Arial"/>
          <w:sz w:val="22"/>
          <w:szCs w:val="22"/>
          <w:color w:val="000000"/>
        </w:rPr>
        <w:t>the foregoing, a Company transaction that does not constitute a change of control event under</w:t>
      </w:r>
      <w:r>
        <w:rPr>
          <w:rFonts w:ascii="Arial" w:cs="Arial" w:eastAsia="Arial" w:hAnsi="Arial"/>
          <w:sz w:val="22"/>
          <w:szCs w:val="22"/>
          <w:color w:val="010000"/>
        </w:rPr>
        <w:t xml:space="preserve"> </w:t>
      </w:r>
      <w:r>
        <w:rPr>
          <w:rFonts w:ascii="Arial" w:cs="Arial" w:eastAsia="Arial" w:hAnsi="Arial"/>
          <w:sz w:val="22"/>
          <w:szCs w:val="22"/>
          <w:color w:val="000000"/>
        </w:rPr>
        <w:t>Treasury Regulation 1.409A-3(i)(5)(v) or (vii) shall be not be considered a Change of Control.</w:t>
      </w:r>
    </w:p>
    <w:p>
      <w:pPr>
        <w:spacing w:after="0" w:line="175" w:lineRule="exact"/>
        <w:rPr>
          <w:sz w:val="20"/>
          <w:szCs w:val="20"/>
          <w:color w:val="auto"/>
        </w:rPr>
      </w:pPr>
    </w:p>
    <w:p>
      <w:pPr>
        <w:ind w:right="20" w:firstLine="980"/>
        <w:spacing w:after="0" w:line="248" w:lineRule="auto"/>
        <w:tabs>
          <w:tab w:leader="none" w:pos="1404" w:val="left"/>
        </w:tabs>
        <w:numPr>
          <w:ilvl w:val="1"/>
          <w:numId w:val="81"/>
        </w:numPr>
        <w:rPr>
          <w:rFonts w:ascii="Arial" w:cs="Arial" w:eastAsia="Arial" w:hAnsi="Arial"/>
          <w:sz w:val="22"/>
          <w:szCs w:val="22"/>
          <w:color w:val="010000"/>
        </w:rPr>
      </w:pPr>
      <w:r>
        <w:rPr>
          <w:rFonts w:ascii="Arial" w:cs="Arial" w:eastAsia="Arial" w:hAnsi="Arial"/>
          <w:sz w:val="22"/>
          <w:szCs w:val="22"/>
          <w:u w:val="single" w:color="auto"/>
          <w:color w:val="auto"/>
        </w:rPr>
        <w:t>Disability</w:t>
      </w:r>
      <w:r>
        <w:rPr>
          <w:rFonts w:ascii="Arial" w:cs="Arial" w:eastAsia="Arial" w:hAnsi="Arial"/>
          <w:sz w:val="22"/>
          <w:szCs w:val="22"/>
          <w:color w:val="auto"/>
        </w:rPr>
        <w:t>. “Disability” will mean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91" w:lineRule="exact"/>
        <w:rPr>
          <w:rFonts w:ascii="Arial" w:cs="Arial" w:eastAsia="Arial" w:hAnsi="Arial"/>
          <w:sz w:val="22"/>
          <w:szCs w:val="22"/>
          <w:color w:val="010000"/>
        </w:rPr>
      </w:pPr>
    </w:p>
    <w:p>
      <w:pPr>
        <w:ind w:right="20" w:firstLine="980"/>
        <w:spacing w:after="0" w:line="286" w:lineRule="auto"/>
        <w:tabs>
          <w:tab w:leader="none" w:pos="1392" w:val="left"/>
        </w:tabs>
        <w:numPr>
          <w:ilvl w:val="1"/>
          <w:numId w:val="81"/>
        </w:numPr>
        <w:rPr>
          <w:rFonts w:ascii="Arial" w:cs="Arial" w:eastAsia="Arial" w:hAnsi="Arial"/>
          <w:sz w:val="19"/>
          <w:szCs w:val="19"/>
          <w:color w:val="010000"/>
        </w:rPr>
      </w:pPr>
      <w:r>
        <w:rPr>
          <w:rFonts w:ascii="Arial" w:cs="Arial" w:eastAsia="Arial" w:hAnsi="Arial"/>
          <w:sz w:val="19"/>
          <w:szCs w:val="19"/>
          <w:u w:val="single" w:color="auto"/>
          <w:color w:val="auto"/>
        </w:rPr>
        <w:t>Good Reason</w:t>
      </w:r>
      <w:r>
        <w:rPr>
          <w:rFonts w:ascii="Arial" w:cs="Arial" w:eastAsia="Arial" w:hAnsi="Arial"/>
          <w:sz w:val="19"/>
          <w:szCs w:val="19"/>
          <w:color w:val="auto"/>
        </w:rPr>
        <w:t>. “Good Reason” means the occurrence of one or more of the following events without Executive’s express written 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 any material provision of this Agreement, or (vi) the failure of the Company to obtain the assumption of this Agreement by any successor.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w:t>
      </w:r>
    </w:p>
    <w:p>
      <w:pPr>
        <w:spacing w:after="0" w:line="169" w:lineRule="exact"/>
        <w:rPr>
          <w:rFonts w:ascii="Arial" w:cs="Arial" w:eastAsia="Arial" w:hAnsi="Arial"/>
          <w:sz w:val="19"/>
          <w:szCs w:val="19"/>
          <w:color w:val="010000"/>
        </w:rPr>
      </w:pPr>
    </w:p>
    <w:p>
      <w:pPr>
        <w:ind w:left="920" w:hanging="345"/>
        <w:spacing w:after="0"/>
        <w:tabs>
          <w:tab w:leader="none" w:pos="920" w:val="left"/>
        </w:tabs>
        <w:numPr>
          <w:ilvl w:val="0"/>
          <w:numId w:val="82"/>
        </w:numPr>
        <w:rPr>
          <w:rFonts w:ascii="Arial" w:cs="Arial" w:eastAsia="Arial" w:hAnsi="Arial"/>
          <w:sz w:val="22"/>
          <w:szCs w:val="22"/>
          <w:color w:val="010000"/>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sectPr>
      </w:pPr>
    </w:p>
    <w:bookmarkStart w:id="138" w:name="page139"/>
    <w:bookmarkEnd w:id="138"/>
    <w:p>
      <w:pPr>
        <w:ind w:left="-656" w:firstLine="980"/>
        <w:spacing w:after="0" w:line="248" w:lineRule="auto"/>
        <w:tabs>
          <w:tab w:leader="none" w:pos="736" w:val="left"/>
        </w:tabs>
        <w:numPr>
          <w:ilvl w:val="1"/>
          <w:numId w:val="83"/>
        </w:numPr>
        <w:rPr>
          <w:rFonts w:ascii="Arial" w:cs="Arial" w:eastAsia="Arial" w:hAnsi="Arial"/>
          <w:sz w:val="22"/>
          <w:szCs w:val="22"/>
          <w:color w:val="010000"/>
        </w:rPr>
      </w:pPr>
      <w:r>
        <w:rPr>
          <w:rFonts w:ascii="Arial" w:cs="Arial" w:eastAsia="Arial" w:hAnsi="Arial"/>
          <w:sz w:val="22"/>
          <w:szCs w:val="22"/>
          <w:u w:val="single" w:color="auto"/>
          <w:color w:val="auto"/>
        </w:rPr>
        <w:t>The Company’s Successors</w:t>
      </w:r>
      <w:r>
        <w:rPr>
          <w:rFonts w:ascii="Arial" w:cs="Arial" w:eastAsia="Arial" w:hAnsi="Arial"/>
          <w:sz w:val="22"/>
          <w:szCs w:val="22"/>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6(a) or which becomes bound by the terms of this Agreement by operation of law.</w:t>
      </w:r>
    </w:p>
    <w:p>
      <w:pPr>
        <w:spacing w:after="0" w:line="195" w:lineRule="exact"/>
        <w:rPr>
          <w:rFonts w:ascii="Arial" w:cs="Arial" w:eastAsia="Arial" w:hAnsi="Arial"/>
          <w:sz w:val="22"/>
          <w:szCs w:val="22"/>
          <w:color w:val="010000"/>
        </w:rPr>
      </w:pPr>
    </w:p>
    <w:p>
      <w:pPr>
        <w:ind w:left="-656" w:right="40" w:firstLine="980"/>
        <w:spacing w:after="0" w:line="260" w:lineRule="auto"/>
        <w:tabs>
          <w:tab w:leader="none" w:pos="748" w:val="left"/>
        </w:tabs>
        <w:numPr>
          <w:ilvl w:val="1"/>
          <w:numId w:val="83"/>
        </w:numPr>
        <w:rPr>
          <w:rFonts w:ascii="Arial" w:cs="Arial" w:eastAsia="Arial" w:hAnsi="Arial"/>
          <w:sz w:val="22"/>
          <w:szCs w:val="22"/>
          <w:color w:val="010000"/>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77" w:lineRule="exact"/>
        <w:rPr>
          <w:rFonts w:ascii="Arial" w:cs="Arial" w:eastAsia="Arial" w:hAnsi="Arial"/>
          <w:sz w:val="22"/>
          <w:szCs w:val="22"/>
          <w:color w:val="010000"/>
        </w:rPr>
      </w:pPr>
    </w:p>
    <w:p>
      <w:pPr>
        <w:ind w:left="344" w:hanging="344"/>
        <w:spacing w:after="0"/>
        <w:tabs>
          <w:tab w:leader="none" w:pos="344" w:val="left"/>
        </w:tabs>
        <w:numPr>
          <w:ilvl w:val="0"/>
          <w:numId w:val="84"/>
        </w:numPr>
        <w:rPr>
          <w:rFonts w:ascii="Arial" w:cs="Arial" w:eastAsia="Arial" w:hAnsi="Arial"/>
          <w:sz w:val="22"/>
          <w:szCs w:val="22"/>
          <w:color w:val="010000"/>
        </w:rPr>
      </w:pP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left="-656" w:right="120" w:firstLine="980"/>
        <w:spacing w:after="0" w:line="300" w:lineRule="auto"/>
        <w:tabs>
          <w:tab w:leader="none" w:pos="736" w:val="left"/>
        </w:tabs>
        <w:numPr>
          <w:ilvl w:val="1"/>
          <w:numId w:val="84"/>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47" w:lineRule="exact"/>
        <w:rPr>
          <w:rFonts w:ascii="Arial" w:cs="Arial" w:eastAsia="Arial" w:hAnsi="Arial"/>
          <w:sz w:val="19"/>
          <w:szCs w:val="19"/>
          <w:color w:val="010000"/>
        </w:rPr>
      </w:pPr>
    </w:p>
    <w:p>
      <w:pPr>
        <w:ind w:left="-656" w:right="60" w:firstLine="980"/>
        <w:spacing w:after="0" w:line="248" w:lineRule="auto"/>
        <w:tabs>
          <w:tab w:leader="none" w:pos="748" w:val="left"/>
        </w:tabs>
        <w:numPr>
          <w:ilvl w:val="1"/>
          <w:numId w:val="84"/>
        </w:numPr>
        <w:rPr>
          <w:rFonts w:ascii="Arial" w:cs="Arial" w:eastAsia="Arial" w:hAnsi="Arial"/>
          <w:sz w:val="22"/>
          <w:szCs w:val="22"/>
          <w:color w:val="010000"/>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191" w:lineRule="exact"/>
        <w:rPr>
          <w:rFonts w:ascii="Arial" w:cs="Arial" w:eastAsia="Arial" w:hAnsi="Arial"/>
          <w:sz w:val="22"/>
          <w:szCs w:val="22"/>
          <w:color w:val="010000"/>
        </w:rPr>
      </w:pPr>
    </w:p>
    <w:p>
      <w:pPr>
        <w:ind w:left="-656" w:right="80" w:firstLine="656"/>
        <w:spacing w:after="0" w:line="260" w:lineRule="auto"/>
        <w:tabs>
          <w:tab w:leader="none" w:pos="334" w:val="left"/>
        </w:tabs>
        <w:numPr>
          <w:ilvl w:val="0"/>
          <w:numId w:val="84"/>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have a term of ten (10) years commencing on the Prior Effective Date, which shall not be subject to renewal, unless a Change of Control occurs during such ten (10) year period, in which case this Agreement will continue until all payments and benefits, if any, have been made to Executive.</w:t>
      </w:r>
    </w:p>
    <w:p>
      <w:pPr>
        <w:spacing w:after="0" w:line="177" w:lineRule="exact"/>
        <w:rPr>
          <w:rFonts w:ascii="Arial" w:cs="Arial" w:eastAsia="Arial" w:hAnsi="Arial"/>
          <w:sz w:val="22"/>
          <w:szCs w:val="22"/>
          <w:color w:val="010000"/>
        </w:rPr>
      </w:pPr>
    </w:p>
    <w:p>
      <w:pPr>
        <w:ind w:left="344" w:hanging="344"/>
        <w:spacing w:after="0"/>
        <w:tabs>
          <w:tab w:leader="none" w:pos="344" w:val="left"/>
        </w:tabs>
        <w:numPr>
          <w:ilvl w:val="0"/>
          <w:numId w:val="84"/>
        </w:numPr>
        <w:rPr>
          <w:rFonts w:ascii="Arial" w:cs="Arial" w:eastAsia="Arial" w:hAnsi="Arial"/>
          <w:sz w:val="22"/>
          <w:szCs w:val="22"/>
          <w:color w:val="010000"/>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left="-656" w:right="160" w:firstLine="980"/>
        <w:spacing w:after="0" w:line="320" w:lineRule="auto"/>
        <w:tabs>
          <w:tab w:leader="none" w:pos="736" w:val="left"/>
        </w:tabs>
        <w:numPr>
          <w:ilvl w:val="1"/>
          <w:numId w:val="84"/>
        </w:numPr>
        <w:rPr>
          <w:rFonts w:ascii="Arial" w:cs="Arial" w:eastAsia="Arial" w:hAnsi="Arial"/>
          <w:sz w:val="19"/>
          <w:szCs w:val="19"/>
          <w:color w:val="010000"/>
        </w:rPr>
      </w:pPr>
      <w:r>
        <w:rPr>
          <w:rFonts w:ascii="Arial" w:cs="Arial" w:eastAsia="Arial" w:hAnsi="Arial"/>
          <w:sz w:val="19"/>
          <w:szCs w:val="19"/>
          <w:color w:val="auto"/>
        </w:rPr>
        <w:t>Any dispute or controversy arising out of, relating to, or in connection with this Agreement, or the interpretation, validity, construction, performance, breach, or termination thereof, shall be settled by binding arbitration to be held in Santa Clara County, California, in accordance with the National Rules for the Resolution of Employment Disputes then in effect of</w:t>
      </w:r>
    </w:p>
    <w:p>
      <w:pPr>
        <w:sectPr>
          <w:pgSz w:w="11900" w:h="16838" w:orient="portrait"/>
          <w:cols w:equalWidth="0" w:num="1">
            <w:col w:w="10744"/>
          </w:cols>
          <w:pgMar w:left="896" w:top="631" w:right="259" w:bottom="1440" w:gutter="0" w:footer="0" w:header="0"/>
        </w:sectPr>
      </w:pPr>
    </w:p>
    <w:bookmarkStart w:id="139" w:name="page140"/>
    <w:bookmarkEnd w:id="139"/>
    <w:p>
      <w:pPr>
        <w:ind w:right="20"/>
        <w:spacing w:after="0" w:line="263" w:lineRule="auto"/>
        <w:rPr>
          <w:sz w:val="20"/>
          <w:szCs w:val="20"/>
          <w:color w:val="auto"/>
        </w:rPr>
      </w:pPr>
      <w:r>
        <w:rPr>
          <w:rFonts w:ascii="Arial" w:cs="Arial" w:eastAsia="Arial" w:hAnsi="Arial"/>
          <w:sz w:val="21"/>
          <w:szCs w:val="21"/>
          <w:color w:val="auto"/>
        </w:rPr>
        <w:t>the American Arbitration Association (the “Rules”), except that each of Company and Executive may, at its, his or her option, seek injunctive relief in a court of competent jurisdiction related to the improper use, disclosure or misappropriation of a party’s private, proprietary, confidential or trade secret information. The arbitrator may grant injunctions or other relief in such dispute or controversy. The decision of the arbitrator shall be final, conclusive and binding on the parties to the arbitration. Judgment may be entered on the arbitrator’s decision in any court having jurisdiction.</w:t>
      </w:r>
    </w:p>
    <w:p>
      <w:pPr>
        <w:spacing w:after="0" w:line="176" w:lineRule="exact"/>
        <w:rPr>
          <w:sz w:val="20"/>
          <w:szCs w:val="20"/>
          <w:color w:val="auto"/>
        </w:rPr>
      </w:pPr>
    </w:p>
    <w:p>
      <w:pPr>
        <w:ind w:right="180" w:firstLine="980"/>
        <w:spacing w:after="0" w:line="307" w:lineRule="auto"/>
        <w:tabs>
          <w:tab w:leader="none" w:pos="1404"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The arbitrator(s) shall apply California law to the merits of any dispute or claim, without reference to conflicts of law rules. The arbitration proceedings shall be governed by federal arbitration law and by the Rules, without reference to state arbitration law. Executive hereby consents to the personal jurisdiction of the state and federal courts located in California for any action or proceeding arising from or relating to this Agreement or relating to any arbitration in which the parties are participants.</w:t>
      </w:r>
    </w:p>
    <w:p>
      <w:pPr>
        <w:spacing w:after="0" w:line="138" w:lineRule="exact"/>
        <w:rPr>
          <w:rFonts w:ascii="Arial" w:cs="Arial" w:eastAsia="Arial" w:hAnsi="Arial"/>
          <w:sz w:val="19"/>
          <w:szCs w:val="19"/>
          <w:color w:val="010000"/>
        </w:rPr>
      </w:pPr>
    </w:p>
    <w:p>
      <w:pPr>
        <w:ind w:right="820" w:firstLine="980"/>
        <w:spacing w:after="0" w:line="301" w:lineRule="auto"/>
        <w:tabs>
          <w:tab w:leader="none" w:pos="1392" w:val="left"/>
        </w:tabs>
        <w:numPr>
          <w:ilvl w:val="0"/>
          <w:numId w:val="85"/>
        </w:numPr>
        <w:rPr>
          <w:rFonts w:ascii="Arial" w:cs="Arial" w:eastAsia="Arial" w:hAnsi="Arial"/>
          <w:sz w:val="21"/>
          <w:szCs w:val="21"/>
          <w:color w:val="010000"/>
        </w:rPr>
      </w:pPr>
      <w:r>
        <w:rPr>
          <w:rFonts w:ascii="Arial" w:cs="Arial" w:eastAsia="Arial" w:hAnsi="Arial"/>
          <w:sz w:val="21"/>
          <w:szCs w:val="21"/>
          <w:color w:val="auto"/>
        </w:rPr>
        <w:t>Executive understands that nothing in this Section modifies Executive’s at-will employment status. Either Executive or the Company can terminate the employment relationship at any time, with or without Cause.</w:t>
      </w:r>
    </w:p>
    <w:p>
      <w:pPr>
        <w:spacing w:after="0" w:line="137" w:lineRule="exact"/>
        <w:rPr>
          <w:rFonts w:ascii="Arial" w:cs="Arial" w:eastAsia="Arial" w:hAnsi="Arial"/>
          <w:sz w:val="21"/>
          <w:szCs w:val="21"/>
          <w:color w:val="010000"/>
        </w:rPr>
      </w:pPr>
    </w:p>
    <w:p>
      <w:pPr>
        <w:ind w:right="40" w:firstLine="980"/>
        <w:spacing w:after="0" w:line="297" w:lineRule="auto"/>
        <w:tabs>
          <w:tab w:leader="none" w:pos="1404"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EXECUTIVE HAS READ AND UNDERSTANDS THIS SECTION, WHICH DISCUSSES ARBITRATION. EXECUTIVE UNDERSTANDS THAT SUBMITTING ANY CLAIMS ARISING OUT OF, RELATING TO, OR IN CONNECTION WITH THIS AGREEMENT, OR THE INTERPRETATION, VALIDITY, CONSTRUCTION, PERFORMANCE, BREACH OR TERMINATION THEREOF TO BINDING ARBITRATION, CONSTITUTES A WAIVER OF EXECUTIVE’S RIGHT TO A JURY TRIAL AND RELATES TO THE RESOLUTION OF ALL DISPUTES RELATING TO ALL ASPECTS OF THE EMPLOYER/EMPLOYEE RELATIONSHIP, INCLUDING BUT NOT LIMITED TO, THE FOLLOWING CLAIMS:</w:t>
      </w:r>
    </w:p>
    <w:p>
      <w:pPr>
        <w:spacing w:after="0" w:line="146" w:lineRule="exact"/>
        <w:rPr>
          <w:rFonts w:ascii="Arial" w:cs="Arial" w:eastAsia="Arial" w:hAnsi="Arial"/>
          <w:sz w:val="19"/>
          <w:szCs w:val="19"/>
          <w:color w:val="010000"/>
        </w:rPr>
      </w:pPr>
    </w:p>
    <w:p>
      <w:pPr>
        <w:ind w:right="240" w:firstLine="1305"/>
        <w:spacing w:after="0" w:line="251" w:lineRule="auto"/>
        <w:tabs>
          <w:tab w:leader="none" w:pos="1680" w:val="left"/>
        </w:tabs>
        <w:numPr>
          <w:ilvl w:val="1"/>
          <w:numId w:val="85"/>
        </w:numPr>
        <w:rPr>
          <w:rFonts w:ascii="Arial" w:cs="Arial" w:eastAsia="Arial" w:hAnsi="Arial"/>
          <w:sz w:val="22"/>
          <w:szCs w:val="22"/>
          <w:color w:val="010000"/>
        </w:rPr>
      </w:pPr>
      <w:r>
        <w:rPr>
          <w:rFonts w:ascii="Arial" w:cs="Arial" w:eastAsia="Arial" w:hAnsi="Arial"/>
          <w:sz w:val="22"/>
          <w:szCs w:val="22"/>
          <w:color w:val="auto"/>
        </w:rPr>
        <w:t>ANY AND ALL CLAIMS FOR WRONGFUL DISCHARGE OF EMPLOYMENT; BREACH OF CONTRACT, BOTH EXPRESS AND IMPLIED; BREACH OF THE COVENANT OF GOOD FAITH AND FAIR DEALING, BOTH EXPRESS AND IMPLIED; NEGLIGENT OR INTENTIONAL INFLICTION OF EMOTIONAL DISTRESS; NEGLIGENT OR INTENTIONAL MISREPRESENTATION; NEGLIGENT OR INTENTIONAL INTERFERENCE WITH CONTRACT OR PROSPECTIVE ECONOMIC ADVANTAGE; AND DEFAMATION.</w:t>
      </w:r>
    </w:p>
    <w:p>
      <w:pPr>
        <w:spacing w:after="0" w:line="189" w:lineRule="exact"/>
        <w:rPr>
          <w:rFonts w:ascii="Arial" w:cs="Arial" w:eastAsia="Arial" w:hAnsi="Arial"/>
          <w:sz w:val="22"/>
          <w:szCs w:val="22"/>
          <w:color w:val="010000"/>
        </w:rPr>
      </w:pPr>
    </w:p>
    <w:p>
      <w:pPr>
        <w:ind w:right="200" w:firstLine="1305"/>
        <w:spacing w:after="0" w:line="251" w:lineRule="auto"/>
        <w:tabs>
          <w:tab w:leader="none" w:pos="1741" w:val="left"/>
        </w:tabs>
        <w:numPr>
          <w:ilvl w:val="1"/>
          <w:numId w:val="85"/>
        </w:numPr>
        <w:rPr>
          <w:rFonts w:ascii="Arial" w:cs="Arial" w:eastAsia="Arial" w:hAnsi="Arial"/>
          <w:sz w:val="22"/>
          <w:szCs w:val="22"/>
          <w:color w:val="010000"/>
        </w:rPr>
      </w:pPr>
      <w:r>
        <w:rPr>
          <w:rFonts w:ascii="Arial" w:cs="Arial" w:eastAsia="Arial" w:hAnsi="Arial"/>
          <w:sz w:val="22"/>
          <w:szCs w:val="22"/>
          <w:color w:val="auto"/>
        </w:rPr>
        <w:t xml:space="preserve">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CALIFORNIA FAIR EMPLOYMENT AND HOUSING ACT, AND LABOR CODE SECTION 201,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189" w:lineRule="exact"/>
        <w:rPr>
          <w:rFonts w:ascii="Arial" w:cs="Arial" w:eastAsia="Arial" w:hAnsi="Arial"/>
          <w:sz w:val="22"/>
          <w:szCs w:val="22"/>
          <w:color w:val="010000"/>
        </w:rPr>
      </w:pPr>
    </w:p>
    <w:p>
      <w:pPr>
        <w:ind w:firstLine="1305"/>
        <w:spacing w:after="0" w:line="276" w:lineRule="auto"/>
        <w:tabs>
          <w:tab w:leader="none" w:pos="1800" w:val="left"/>
        </w:tabs>
        <w:numPr>
          <w:ilvl w:val="1"/>
          <w:numId w:val="85"/>
        </w:numPr>
        <w:rPr>
          <w:rFonts w:ascii="Arial" w:cs="Arial" w:eastAsia="Arial" w:hAnsi="Arial"/>
          <w:sz w:val="22"/>
          <w:szCs w:val="22"/>
          <w:color w:val="010000"/>
        </w:rPr>
      </w:pPr>
      <w:r>
        <w:rPr>
          <w:rFonts w:ascii="Arial" w:cs="Arial" w:eastAsia="Arial" w:hAnsi="Arial"/>
          <w:sz w:val="22"/>
          <w:szCs w:val="22"/>
          <w:color w:val="auto"/>
        </w:rPr>
        <w:t>ANY AND ALL CLAIMS ARISING OUT OF ANY OTHER LAWS AND REGULATIONS RELATING TO EMPLOYMENT OR EMPLOYMENT DISCRIMINATION.</w:t>
      </w:r>
    </w:p>
    <w:p>
      <w:pPr>
        <w:sectPr>
          <w:pgSz w:w="11900" w:h="16838" w:orient="portrait"/>
          <w:cols w:equalWidth="0" w:num="1">
            <w:col w:w="11360"/>
          </w:cols>
          <w:pgMar w:left="240" w:top="631" w:right="299" w:bottom="1440" w:gutter="0" w:footer="0" w:header="0"/>
        </w:sectPr>
      </w:pPr>
    </w:p>
    <w:bookmarkStart w:id="140" w:name="page141"/>
    <w:bookmarkEnd w:id="140"/>
    <w:p>
      <w:pPr>
        <w:ind w:left="444" w:hanging="444"/>
        <w:spacing w:after="0"/>
        <w:tabs>
          <w:tab w:leader="none" w:pos="444" w:val="left"/>
        </w:tabs>
        <w:numPr>
          <w:ilvl w:val="0"/>
          <w:numId w:val="86"/>
        </w:numPr>
        <w:rPr>
          <w:rFonts w:ascii="Arial" w:cs="Arial" w:eastAsia="Arial" w:hAnsi="Arial"/>
          <w:sz w:val="22"/>
          <w:szCs w:val="22"/>
          <w:color w:val="010000"/>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left="-656" w:right="220" w:firstLine="980"/>
        <w:spacing w:after="0" w:line="358" w:lineRule="auto"/>
        <w:tabs>
          <w:tab w:leader="none" w:pos="736" w:val="left"/>
        </w:tabs>
        <w:numPr>
          <w:ilvl w:val="1"/>
          <w:numId w:val="86"/>
        </w:numPr>
        <w:rPr>
          <w:rFonts w:ascii="Arial" w:cs="Arial" w:eastAsia="Arial" w:hAnsi="Arial"/>
          <w:sz w:val="19"/>
          <w:szCs w:val="19"/>
          <w:color w:val="010000"/>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90" w:lineRule="exact"/>
        <w:rPr>
          <w:rFonts w:ascii="Arial" w:cs="Arial" w:eastAsia="Arial" w:hAnsi="Arial"/>
          <w:sz w:val="19"/>
          <w:szCs w:val="19"/>
          <w:color w:val="010000"/>
        </w:rPr>
      </w:pPr>
    </w:p>
    <w:p>
      <w:pPr>
        <w:ind w:left="-656" w:firstLine="980"/>
        <w:spacing w:after="0" w:line="307" w:lineRule="auto"/>
        <w:tabs>
          <w:tab w:leader="none" w:pos="748" w:val="left"/>
        </w:tabs>
        <w:numPr>
          <w:ilvl w:val="1"/>
          <w:numId w:val="86"/>
        </w:numPr>
        <w:rPr>
          <w:rFonts w:ascii="Arial" w:cs="Arial" w:eastAsia="Arial" w:hAnsi="Arial"/>
          <w:sz w:val="19"/>
          <w:szCs w:val="19"/>
          <w:color w:val="010000"/>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38" w:lineRule="exact"/>
        <w:rPr>
          <w:rFonts w:ascii="Arial" w:cs="Arial" w:eastAsia="Arial" w:hAnsi="Arial"/>
          <w:sz w:val="19"/>
          <w:szCs w:val="19"/>
          <w:color w:val="010000"/>
        </w:rPr>
      </w:pPr>
    </w:p>
    <w:p>
      <w:pPr>
        <w:ind w:left="-656" w:right="200" w:firstLine="980"/>
        <w:spacing w:after="0" w:line="276" w:lineRule="auto"/>
        <w:tabs>
          <w:tab w:leader="none" w:pos="736" w:val="left"/>
        </w:tabs>
        <w:numPr>
          <w:ilvl w:val="1"/>
          <w:numId w:val="86"/>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60" w:lineRule="exact"/>
        <w:rPr>
          <w:rFonts w:ascii="Arial" w:cs="Arial" w:eastAsia="Arial" w:hAnsi="Arial"/>
          <w:sz w:val="22"/>
          <w:szCs w:val="22"/>
          <w:color w:val="010000"/>
        </w:rPr>
      </w:pPr>
    </w:p>
    <w:p>
      <w:pPr>
        <w:ind w:left="-656" w:right="20" w:firstLine="980"/>
        <w:spacing w:after="0" w:line="248" w:lineRule="auto"/>
        <w:tabs>
          <w:tab w:leader="none" w:pos="748" w:val="left"/>
        </w:tabs>
        <w:numPr>
          <w:ilvl w:val="1"/>
          <w:numId w:val="86"/>
        </w:numPr>
        <w:rPr>
          <w:rFonts w:ascii="Arial" w:cs="Arial" w:eastAsia="Arial" w:hAnsi="Arial"/>
          <w:sz w:val="22"/>
          <w:szCs w:val="22"/>
          <w:color w:val="010000"/>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of the parties hereto with respect to the subject matter described herein, and supersedes in its entirety Sections 3 and 4 of the employment offer letter between Executive and the Company, dated October 18, 2006 and the Prior Agreement. Executive acknowledges and agrees that this Agreement encompasses all the rights of Executive to any acceleration of Award vesting or severance pay based on termination of 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w:t>
      </w:r>
    </w:p>
    <w:p>
      <w:pPr>
        <w:spacing w:after="0" w:line="195" w:lineRule="exact"/>
        <w:rPr>
          <w:rFonts w:ascii="Arial" w:cs="Arial" w:eastAsia="Arial" w:hAnsi="Arial"/>
          <w:sz w:val="22"/>
          <w:szCs w:val="22"/>
          <w:color w:val="010000"/>
        </w:rPr>
      </w:pPr>
    </w:p>
    <w:p>
      <w:pPr>
        <w:ind w:left="-656" w:right="180" w:firstLine="980"/>
        <w:spacing w:after="0" w:line="276" w:lineRule="auto"/>
        <w:tabs>
          <w:tab w:leader="none" w:pos="736" w:val="left"/>
        </w:tabs>
        <w:numPr>
          <w:ilvl w:val="1"/>
          <w:numId w:val="86"/>
        </w:numPr>
        <w:rPr>
          <w:rFonts w:ascii="Arial" w:cs="Arial" w:eastAsia="Arial" w:hAnsi="Arial"/>
          <w:sz w:val="22"/>
          <w:szCs w:val="22"/>
          <w:color w:val="010000"/>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will be governed by the laws of the State of California (with the exception of its conflict of laws provisions).</w:t>
      </w:r>
    </w:p>
    <w:p>
      <w:pPr>
        <w:spacing w:after="0" w:line="160" w:lineRule="exact"/>
        <w:rPr>
          <w:rFonts w:ascii="Arial" w:cs="Arial" w:eastAsia="Arial" w:hAnsi="Arial"/>
          <w:sz w:val="22"/>
          <w:szCs w:val="22"/>
          <w:color w:val="010000"/>
        </w:rPr>
      </w:pPr>
    </w:p>
    <w:p>
      <w:pPr>
        <w:ind w:left="-656" w:right="60" w:firstLine="980"/>
        <w:spacing w:after="0" w:line="276" w:lineRule="auto"/>
        <w:tabs>
          <w:tab w:leader="none" w:pos="712" w:val="left"/>
        </w:tabs>
        <w:numPr>
          <w:ilvl w:val="1"/>
          <w:numId w:val="86"/>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60" w:lineRule="exact"/>
        <w:rPr>
          <w:rFonts w:ascii="Arial" w:cs="Arial" w:eastAsia="Arial" w:hAnsi="Arial"/>
          <w:sz w:val="22"/>
          <w:szCs w:val="22"/>
          <w:color w:val="010000"/>
        </w:rPr>
      </w:pPr>
    </w:p>
    <w:p>
      <w:pPr>
        <w:ind w:left="-656" w:right="180" w:firstLine="980"/>
        <w:spacing w:after="0" w:line="276" w:lineRule="auto"/>
        <w:tabs>
          <w:tab w:leader="none" w:pos="748" w:val="left"/>
        </w:tabs>
        <w:numPr>
          <w:ilvl w:val="1"/>
          <w:numId w:val="86"/>
        </w:numPr>
        <w:rPr>
          <w:rFonts w:ascii="Arial" w:cs="Arial" w:eastAsia="Arial" w:hAnsi="Arial"/>
          <w:sz w:val="22"/>
          <w:szCs w:val="22"/>
          <w:color w:val="010000"/>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pursuant to this Agreement will be subject to withholding of applicable income and employment taxes.</w:t>
      </w:r>
    </w:p>
    <w:p>
      <w:pPr>
        <w:spacing w:after="0" w:line="160" w:lineRule="exact"/>
        <w:rPr>
          <w:rFonts w:ascii="Arial" w:cs="Arial" w:eastAsia="Arial" w:hAnsi="Arial"/>
          <w:sz w:val="22"/>
          <w:szCs w:val="22"/>
          <w:color w:val="010000"/>
        </w:rPr>
      </w:pPr>
    </w:p>
    <w:p>
      <w:pPr>
        <w:ind w:left="-656" w:right="140" w:firstLine="980"/>
        <w:spacing w:after="0" w:line="276" w:lineRule="auto"/>
        <w:tabs>
          <w:tab w:leader="none" w:pos="748" w:val="left"/>
        </w:tabs>
        <w:numPr>
          <w:ilvl w:val="1"/>
          <w:numId w:val="86"/>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ectPr>
          <w:pgSz w:w="11900" w:h="16838" w:orient="portrait"/>
          <w:cols w:equalWidth="0" w:num="1">
            <w:col w:w="10704"/>
          </w:cols>
          <w:pgMar w:left="896" w:top="631" w:right="299" w:bottom="1440" w:gutter="0" w:footer="0" w:header="0"/>
        </w:sectPr>
      </w:pPr>
    </w:p>
    <w:bookmarkStart w:id="141" w:name="page142"/>
    <w:bookmarkEnd w:id="141"/>
    <w:p>
      <w:pPr>
        <w:ind w:right="480"/>
        <w:spacing w:after="0" w:line="263"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COMPANY</w:t>
            </w:r>
          </w:p>
        </w:tc>
        <w:tc>
          <w:tcPr>
            <w:tcW w:w="37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FORTINET, INC.</w:t>
            </w:r>
          </w:p>
        </w:tc>
      </w:tr>
      <w:tr>
        <w:trPr>
          <w:trHeight w:val="956"/>
        </w:trPr>
        <w:tc>
          <w:tcPr>
            <w:tcW w:w="2660" w:type="dxa"/>
            <w:vAlign w:val="bottom"/>
          </w:tcPr>
          <w:p>
            <w:pPr>
              <w:spacing w:after="0"/>
              <w:rPr>
                <w:sz w:val="24"/>
                <w:szCs w:val="24"/>
                <w:color w:val="auto"/>
              </w:rPr>
            </w:pPr>
          </w:p>
        </w:tc>
        <w:tc>
          <w:tcPr>
            <w:tcW w:w="3700" w:type="dxa"/>
            <w:vAlign w:val="bottom"/>
          </w:tcPr>
          <w:p>
            <w:pPr>
              <w:ind w:left="1460"/>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Ken Xie</w:t>
            </w:r>
          </w:p>
        </w:tc>
      </w:tr>
      <w:tr>
        <w:trPr>
          <w:trHeight w:val="280"/>
        </w:trPr>
        <w:tc>
          <w:tcPr>
            <w:tcW w:w="2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Ken Xie</w:t>
            </w:r>
          </w:p>
        </w:tc>
      </w:tr>
      <w:tr>
        <w:trPr>
          <w:trHeight w:val="635"/>
        </w:trPr>
        <w:tc>
          <w:tcPr>
            <w:tcW w:w="2660" w:type="dxa"/>
            <w:vAlign w:val="bottom"/>
          </w:tcPr>
          <w:p>
            <w:pPr>
              <w:spacing w:after="0"/>
              <w:rPr>
                <w:sz w:val="24"/>
                <w:szCs w:val="24"/>
                <w:color w:val="auto"/>
              </w:rPr>
            </w:pPr>
          </w:p>
        </w:tc>
        <w:tc>
          <w:tcPr>
            <w:tcW w:w="3700" w:type="dxa"/>
            <w:vAlign w:val="bottom"/>
          </w:tcPr>
          <w:p>
            <w:pPr>
              <w:ind w:left="1460"/>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President and Chief Executive Officer</w:t>
            </w:r>
          </w:p>
        </w:tc>
      </w:tr>
      <w:tr>
        <w:trPr>
          <w:trHeight w:val="233"/>
        </w:trPr>
        <w:tc>
          <w:tcPr>
            <w:tcW w:w="26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r>
      <w:tr>
        <w:trPr>
          <w:trHeight w:val="608"/>
        </w:trPr>
        <w:tc>
          <w:tcPr>
            <w:tcW w:w="2660" w:type="dxa"/>
            <w:vAlign w:val="bottom"/>
          </w:tcPr>
          <w:p>
            <w:pPr>
              <w:spacing w:after="0"/>
              <w:rPr>
                <w:sz w:val="20"/>
                <w:szCs w:val="20"/>
                <w:color w:val="auto"/>
              </w:rPr>
            </w:pPr>
            <w:r>
              <w:rPr>
                <w:rFonts w:ascii="Arial" w:cs="Arial" w:eastAsia="Arial" w:hAnsi="Arial"/>
                <w:sz w:val="22"/>
                <w:szCs w:val="22"/>
                <w:color w:val="auto"/>
              </w:rPr>
              <w:t>EXECUTIVE</w:t>
            </w:r>
          </w:p>
        </w:tc>
        <w:tc>
          <w:tcPr>
            <w:tcW w:w="3700" w:type="dxa"/>
            <w:vAlign w:val="bottom"/>
          </w:tcPr>
          <w:p>
            <w:pPr>
              <w:ind w:left="1460"/>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John Whittle</w:t>
            </w:r>
          </w:p>
        </w:tc>
      </w:tr>
      <w:tr>
        <w:trPr>
          <w:trHeight w:val="280"/>
        </w:trPr>
        <w:tc>
          <w:tcPr>
            <w:tcW w:w="2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John Whittle</w:t>
            </w:r>
          </w:p>
        </w:tc>
      </w:tr>
      <w:tr>
        <w:trPr>
          <w:trHeight w:val="419"/>
        </w:trPr>
        <w:tc>
          <w:tcPr>
            <w:tcW w:w="2660" w:type="dxa"/>
            <w:vAlign w:val="bottom"/>
          </w:tcPr>
          <w:p>
            <w:pPr>
              <w:spacing w:after="0"/>
              <w:rPr>
                <w:sz w:val="24"/>
                <w:szCs w:val="24"/>
                <w:color w:val="auto"/>
              </w:rPr>
            </w:pPr>
          </w:p>
        </w:tc>
        <w:tc>
          <w:tcPr>
            <w:tcW w:w="3700" w:type="dxa"/>
            <w:vAlign w:val="bottom"/>
          </w:tcPr>
          <w:p>
            <w:pPr>
              <w:ind w:left="1460"/>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Vice President, General Counsel</w:t>
            </w:r>
          </w:p>
        </w:tc>
      </w:tr>
      <w:tr>
        <w:trPr>
          <w:trHeight w:val="233"/>
        </w:trPr>
        <w:tc>
          <w:tcPr>
            <w:tcW w:w="26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63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t>Exhibit 10.18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FORTINET,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 SEVERANCE AGREEMENT</w:t>
      </w:r>
    </w:p>
    <w:p>
      <w:pPr>
        <w:spacing w:after="0" w:line="22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This Amended and Restated Change of Control Severance Agreement (the “Agreement”) is made and entered into by and between Andrew Del Matto (“Executive”) and Fortinet, Inc. (the “Company”), effective as of February 4, 2016 (the “Effective Date”) and supersedes the Change of Control Severance Agreement, between Executive and the Company (the “Prior Agreement”), effective as of December 17, 2013 (the “Prior Effective Date”).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ind w:right="80" w:firstLine="656"/>
        <w:spacing w:after="0" w:line="247" w:lineRule="auto"/>
        <w:tabs>
          <w:tab w:leader="none" w:pos="1026" w:val="left"/>
        </w:tabs>
        <w:numPr>
          <w:ilvl w:val="0"/>
          <w:numId w:val="87"/>
        </w:numPr>
        <w:rPr>
          <w:rFonts w:ascii="Arial" w:cs="Arial" w:eastAsia="Arial" w:hAnsi="Arial"/>
          <w:sz w:val="22"/>
          <w:szCs w:val="22"/>
          <w:color w:val="auto"/>
        </w:rPr>
      </w:pPr>
      <w:r>
        <w:rPr>
          <w:rFonts w:ascii="Arial" w:cs="Arial" w:eastAsia="Arial" w:hAnsi="Arial"/>
          <w:sz w:val="22"/>
          <w:szCs w:val="22"/>
          <w:color w:val="auto"/>
        </w:rPr>
        <w:t>It is expected that the Company from time to time will consider the possibility of an acquisition by another company or other change of control. The Board of Directors of the Company (the “Board”)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193" w:lineRule="exact"/>
        <w:rPr>
          <w:rFonts w:ascii="Arial" w:cs="Arial" w:eastAsia="Arial" w:hAnsi="Arial"/>
          <w:sz w:val="22"/>
          <w:szCs w:val="22"/>
          <w:color w:val="auto"/>
        </w:rPr>
      </w:pPr>
    </w:p>
    <w:p>
      <w:pPr>
        <w:ind w:right="280" w:firstLine="656"/>
        <w:spacing w:after="0" w:line="253" w:lineRule="auto"/>
        <w:tabs>
          <w:tab w:leader="none" w:pos="1023"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85" w:lineRule="exact"/>
        <w:rPr>
          <w:rFonts w:ascii="Arial" w:cs="Arial" w:eastAsia="Arial" w:hAnsi="Arial"/>
          <w:sz w:val="22"/>
          <w:szCs w:val="22"/>
          <w:color w:val="auto"/>
        </w:rPr>
      </w:pPr>
    </w:p>
    <w:p>
      <w:pPr>
        <w:ind w:right="400" w:firstLine="656"/>
        <w:spacing w:after="0" w:line="253" w:lineRule="auto"/>
        <w:tabs>
          <w:tab w:leader="none" w:pos="1023"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Board believes that it is imperative to provide Executive with certain benefits upon termination of employment following a Change of Control. These benefits will provide Executive with enhanced financial security and incentive and encouragement to remain with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NOW, THEREFORE, in consideration of the mutual covenants contained herein, the parties hereto agree as follows:</w:t>
      </w:r>
    </w:p>
    <w:p>
      <w:pPr>
        <w:spacing w:after="0" w:line="220" w:lineRule="exact"/>
        <w:rPr>
          <w:sz w:val="20"/>
          <w:szCs w:val="20"/>
          <w:color w:val="auto"/>
        </w:rPr>
      </w:pPr>
    </w:p>
    <w:p>
      <w:pPr>
        <w:jc w:val="both"/>
        <w:ind w:right="180" w:firstLine="656"/>
        <w:spacing w:after="0" w:line="253" w:lineRule="auto"/>
        <w:tabs>
          <w:tab w:leader="none" w:pos="1459" w:val="left"/>
        </w:tabs>
        <w:numPr>
          <w:ilvl w:val="0"/>
          <w:numId w:val="88"/>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terminate upon the earlier to occur of: (a) the Agreement’s termination date as provided in Section 8 below, and (b) the date that all of the obligations of the parties hereto with respect to this Agreement have been satisfied.</w:t>
      </w:r>
    </w:p>
    <w:p>
      <w:pPr>
        <w:spacing w:after="0" w:line="185" w:lineRule="exact"/>
        <w:rPr>
          <w:rFonts w:ascii="Arial" w:cs="Arial" w:eastAsia="Arial" w:hAnsi="Arial"/>
          <w:sz w:val="22"/>
          <w:szCs w:val="22"/>
          <w:color w:val="010000"/>
        </w:rPr>
      </w:pPr>
    </w:p>
    <w:p>
      <w:pPr>
        <w:ind w:right="20" w:firstLine="656"/>
        <w:spacing w:after="0" w:line="278" w:lineRule="auto"/>
        <w:tabs>
          <w:tab w:leader="none" w:pos="990" w:val="left"/>
        </w:tabs>
        <w:numPr>
          <w:ilvl w:val="0"/>
          <w:numId w:val="88"/>
        </w:numPr>
        <w:rPr>
          <w:rFonts w:ascii="Arial" w:cs="Arial" w:eastAsia="Arial" w:hAnsi="Arial"/>
          <w:sz w:val="21"/>
          <w:szCs w:val="21"/>
          <w:color w:val="010000"/>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The Company and Executive acknowledge that Executive’s employment is and will continue to be at-will, as defined under applicable law. If Executive’s employment terminates for any reason, including (without limitation) any termination prior to or twelve (12) months following a Change of Control, Executive will not be</w:t>
      </w:r>
    </w:p>
    <w:p>
      <w:pPr>
        <w:sectPr>
          <w:pgSz w:w="11900" w:h="16838" w:orient="portrait"/>
          <w:cols w:equalWidth="0" w:num="1">
            <w:col w:w="11420"/>
          </w:cols>
          <w:pgMar w:left="240" w:top="625" w:right="239" w:bottom="1440" w:gutter="0" w:footer="0" w:header="0"/>
        </w:sectPr>
      </w:pPr>
    </w:p>
    <w:bookmarkStart w:id="143" w:name="page144"/>
    <w:bookmarkEnd w:id="143"/>
    <w:p>
      <w:pPr>
        <w:ind w:right="180"/>
        <w:spacing w:after="0" w:line="263" w:lineRule="auto"/>
        <w:rPr>
          <w:sz w:val="20"/>
          <w:szCs w:val="20"/>
          <w:color w:val="auto"/>
        </w:rPr>
      </w:pPr>
      <w:r>
        <w:rPr>
          <w:rFonts w:ascii="Arial" w:cs="Arial" w:eastAsia="Arial" w:hAnsi="Arial"/>
          <w:sz w:val="22"/>
          <w:szCs w:val="22"/>
          <w:color w:val="auto"/>
        </w:rPr>
        <w:t>entitled to any acceleration of Award (as defined herein) vesting or severance pay based on termination of employment other than as provided by this Agreement.</w:t>
      </w:r>
    </w:p>
    <w:p>
      <w:pPr>
        <w:spacing w:after="0" w:line="175" w:lineRule="exact"/>
        <w:rPr>
          <w:sz w:val="20"/>
          <w:szCs w:val="20"/>
          <w:color w:val="auto"/>
        </w:rPr>
      </w:pPr>
    </w:p>
    <w:p>
      <w:pPr>
        <w:ind w:left="1000" w:hanging="344"/>
        <w:spacing w:after="0"/>
        <w:tabs>
          <w:tab w:leader="none" w:pos="1000" w:val="left"/>
        </w:tabs>
        <w:numPr>
          <w:ilvl w:val="0"/>
          <w:numId w:val="89"/>
        </w:numPr>
        <w:rPr>
          <w:rFonts w:ascii="Arial" w:cs="Arial" w:eastAsia="Arial" w:hAnsi="Arial"/>
          <w:sz w:val="22"/>
          <w:szCs w:val="22"/>
          <w:color w:val="010000"/>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33"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22"/>
          <w:szCs w:val="22"/>
          <w:color w:val="auto"/>
        </w:rPr>
        <w:t>(a</w:t>
      </w:r>
      <w:r>
        <w:rPr>
          <w:rFonts w:ascii="Arial" w:cs="Arial" w:eastAsia="Arial" w:hAnsi="Arial"/>
          <w:sz w:val="22"/>
          <w:szCs w:val="22"/>
          <w:color w:val="010000"/>
        </w:rPr>
        <w:t>)</w:t>
      </w:r>
      <w:r>
        <w:rPr>
          <w:sz w:val="20"/>
          <w:szCs w:val="20"/>
          <w:color w:val="auto"/>
        </w:rPr>
        <w:tab/>
      </w:r>
      <w:r>
        <w:rPr>
          <w:rFonts w:ascii="Arial" w:cs="Arial" w:eastAsia="Arial" w:hAnsi="Arial"/>
          <w:sz w:val="19"/>
          <w:szCs w:val="19"/>
          <w:u w:val="single" w:color="auto"/>
          <w:color w:val="auto"/>
        </w:rPr>
        <w:t>Involuntary Termination Prior to, or Absent, a Change of Control or After 12 Months Following a Change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Control</w:t>
      </w:r>
      <w:r>
        <w:rPr>
          <w:rFonts w:ascii="Arial" w:cs="Arial" w:eastAsia="Arial" w:hAnsi="Arial"/>
          <w:sz w:val="22"/>
          <w:szCs w:val="22"/>
          <w:color w:val="auto"/>
        </w:rPr>
        <w:t>.</w:t>
      </w:r>
    </w:p>
    <w:p>
      <w:pPr>
        <w:spacing w:after="0" w:line="215" w:lineRule="exact"/>
        <w:rPr>
          <w:sz w:val="20"/>
          <w:szCs w:val="20"/>
          <w:color w:val="auto"/>
        </w:rPr>
      </w:pPr>
    </w:p>
    <w:p>
      <w:pPr>
        <w:ind w:firstLine="972"/>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010000"/>
        </w:rPr>
        <w:t>1)</w:t>
      </w:r>
      <w:r>
        <w:rPr>
          <w:rFonts w:ascii="Arial" w:cs="Arial" w:eastAsia="Arial" w:hAnsi="Arial"/>
          <w:sz w:val="22"/>
          <w:szCs w:val="22"/>
          <w:color w:val="auto"/>
        </w:rPr>
        <w:t xml:space="preserve"> If within the first three hundred sixty-five (365) days after the commencement date of Executive’s employment with the Company and prior to, or absent, a Change of Control, the Company (or any parent or subsidiary of the Company) actually terminates Executive’s employment with the Company (or any parent or subsidiary of the Company) without Cause, Executive will receive the following severance from the Company:</w:t>
      </w:r>
    </w:p>
    <w:p>
      <w:pPr>
        <w:spacing w:after="0" w:line="185" w:lineRule="exact"/>
        <w:rPr>
          <w:sz w:val="20"/>
          <w:szCs w:val="20"/>
          <w:color w:val="auto"/>
        </w:rPr>
      </w:pPr>
    </w:p>
    <w:p>
      <w:pPr>
        <w:ind w:right="40" w:firstLine="1305"/>
        <w:spacing w:after="0" w:line="260" w:lineRule="auto"/>
        <w:tabs>
          <w:tab w:leader="none" w:pos="1680" w:val="left"/>
        </w:tabs>
        <w:numPr>
          <w:ilvl w:val="0"/>
          <w:numId w:val="90"/>
        </w:numPr>
        <w:rPr>
          <w:rFonts w:ascii="Arial" w:cs="Arial" w:eastAsia="Arial" w:hAnsi="Arial"/>
          <w:sz w:val="22"/>
          <w:szCs w:val="22"/>
          <w:color w:val="010000"/>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Executive will receive continuing payments of severance pay for a period of nine (9) months from the date of such termination equal to the pro-rata portion of Executive’s base salary rate as in effect immediately prior to Executive’s termination.</w:t>
      </w:r>
    </w:p>
    <w:p>
      <w:pPr>
        <w:spacing w:after="0" w:line="177" w:lineRule="exact"/>
        <w:rPr>
          <w:rFonts w:ascii="Arial" w:cs="Arial" w:eastAsia="Arial" w:hAnsi="Arial"/>
          <w:sz w:val="22"/>
          <w:szCs w:val="22"/>
          <w:color w:val="010000"/>
        </w:rPr>
      </w:pPr>
    </w:p>
    <w:p>
      <w:pPr>
        <w:ind w:right="180" w:firstLine="1305"/>
        <w:spacing w:after="0" w:line="251" w:lineRule="auto"/>
        <w:tabs>
          <w:tab w:leader="none" w:pos="1741" w:val="left"/>
        </w:tabs>
        <w:numPr>
          <w:ilvl w:val="0"/>
          <w:numId w:val="90"/>
        </w:numPr>
        <w:rPr>
          <w:rFonts w:ascii="Arial" w:cs="Arial" w:eastAsia="Arial" w:hAnsi="Arial"/>
          <w:sz w:val="22"/>
          <w:szCs w:val="22"/>
          <w:color w:val="010000"/>
        </w:rPr>
      </w:pPr>
      <w:r>
        <w:rPr>
          <w:rFonts w:ascii="Arial" w:cs="Arial" w:eastAsia="Arial" w:hAnsi="Arial"/>
          <w:sz w:val="22"/>
          <w:szCs w:val="22"/>
          <w:u w:val="single" w:color="auto"/>
          <w:color w:val="auto"/>
        </w:rPr>
        <w:t>Equity Awards</w:t>
      </w:r>
      <w:r>
        <w:rPr>
          <w:rFonts w:ascii="Arial" w:cs="Arial" w:eastAsia="Arial" w:hAnsi="Arial"/>
          <w:sz w:val="22"/>
          <w:szCs w:val="22"/>
          <w:color w:val="auto"/>
        </w:rPr>
        <w:t xml:space="preserve">. If Executive holds unvested equity awards (“Awards”) at the time of Executive’s termination, then </w:t>
      </w:r>
      <w:r>
        <w:rPr>
          <w:rFonts w:ascii="Arial" w:cs="Arial" w:eastAsia="Arial" w:hAnsi="Arial"/>
          <w:sz w:val="22"/>
          <w:szCs w:val="22"/>
          <w:color w:val="010000"/>
        </w:rPr>
        <w:t>the</w:t>
      </w:r>
      <w:r>
        <w:rPr>
          <w:rFonts w:ascii="Arial" w:cs="Arial" w:eastAsia="Arial" w:hAnsi="Arial"/>
          <w:sz w:val="22"/>
          <w:szCs w:val="22"/>
          <w:color w:val="auto"/>
        </w:rPr>
        <w:t xml:space="preserve"> unvested portion of such Awards that would have vested had Executive remained in continuous employment with the Company for six (6) months following Executive’s date of termination will immediately vest as of Executive’s termination date. The Awards will remain exercisable, to the extent applicable, following the termination for the period prescribed in the respective stock plan and agreement for each Award.</w:t>
      </w:r>
    </w:p>
    <w:p>
      <w:pPr>
        <w:spacing w:after="0" w:line="189" w:lineRule="exact"/>
        <w:rPr>
          <w:rFonts w:ascii="Arial" w:cs="Arial" w:eastAsia="Arial" w:hAnsi="Arial"/>
          <w:sz w:val="22"/>
          <w:szCs w:val="22"/>
          <w:color w:val="010000"/>
        </w:rPr>
      </w:pPr>
    </w:p>
    <w:p>
      <w:pPr>
        <w:ind w:right="60" w:firstLine="1305"/>
        <w:spacing w:after="0" w:line="301" w:lineRule="auto"/>
        <w:tabs>
          <w:tab w:leader="none" w:pos="1800" w:val="left"/>
        </w:tabs>
        <w:numPr>
          <w:ilvl w:val="0"/>
          <w:numId w:val="90"/>
        </w:numPr>
        <w:rPr>
          <w:rFonts w:ascii="Arial" w:cs="Arial" w:eastAsia="Arial" w:hAnsi="Arial"/>
          <w:sz w:val="21"/>
          <w:szCs w:val="21"/>
          <w:color w:val="010000"/>
        </w:rPr>
      </w:pPr>
      <w:r>
        <w:rPr>
          <w:rFonts w:ascii="Arial" w:cs="Arial" w:eastAsia="Arial" w:hAnsi="Arial"/>
          <w:sz w:val="21"/>
          <w:szCs w:val="21"/>
          <w:u w:val="single" w:color="auto"/>
          <w:color w:val="auto"/>
        </w:rPr>
        <w:t>Continued Employee Benefits</w:t>
      </w:r>
      <w:r>
        <w:rPr>
          <w:rFonts w:ascii="Arial" w:cs="Arial" w:eastAsia="Arial" w:hAnsi="Arial"/>
          <w:sz w:val="21"/>
          <w:szCs w:val="21"/>
          <w:color w:val="auto"/>
        </w:rPr>
        <w:t xml:space="preserve">. Executive will receive Company-paid coverage for a period of nine (9) months for </w:t>
      </w:r>
      <w:r>
        <w:rPr>
          <w:rFonts w:ascii="Arial" w:cs="Arial" w:eastAsia="Arial" w:hAnsi="Arial"/>
          <w:sz w:val="21"/>
          <w:szCs w:val="21"/>
          <w:color w:val="010000"/>
        </w:rPr>
        <w:t>Executive</w:t>
      </w:r>
      <w:r>
        <w:rPr>
          <w:rFonts w:ascii="Arial" w:cs="Arial" w:eastAsia="Arial" w:hAnsi="Arial"/>
          <w:sz w:val="21"/>
          <w:szCs w:val="21"/>
          <w:color w:val="auto"/>
        </w:rPr>
        <w:t xml:space="preserve"> and Executive’s eligible dependents under the Company’s Benefit Plans (as defined herein).</w:t>
      </w:r>
    </w:p>
    <w:p>
      <w:pPr>
        <w:spacing w:after="0" w:line="137" w:lineRule="exact"/>
        <w:rPr>
          <w:sz w:val="20"/>
          <w:szCs w:val="20"/>
          <w:color w:val="auto"/>
        </w:rPr>
      </w:pPr>
    </w:p>
    <w:p>
      <w:pPr>
        <w:ind w:right="100" w:firstLine="97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010000"/>
        </w:rPr>
        <w:t>2)</w:t>
      </w:r>
      <w:r>
        <w:rPr>
          <w:rFonts w:ascii="Arial" w:cs="Arial" w:eastAsia="Arial" w:hAnsi="Arial"/>
          <w:sz w:val="22"/>
          <w:szCs w:val="22"/>
          <w:color w:val="auto"/>
        </w:rPr>
        <w:t xml:space="preserve"> If after the first three hundred sixty-five (365) days after the commencement date of Executive’s employment with the Company and prior to, or absent, a Change of Control or after twelve (12) months following a Change of Control, (i) the Company (or any parent or subsidiary of the Company) terminates Executive’s employment without Cause or (ii) Executive terminates Executive’s employment with the Company (or any parent or subsidiary of the Company) for Good Reason, Executive will receive the following severance from the Company:</w:t>
      </w:r>
    </w:p>
    <w:p>
      <w:pPr>
        <w:spacing w:after="0" w:line="190" w:lineRule="exact"/>
        <w:rPr>
          <w:sz w:val="20"/>
          <w:szCs w:val="20"/>
          <w:color w:val="auto"/>
        </w:rPr>
      </w:pPr>
    </w:p>
    <w:p>
      <w:pPr>
        <w:ind w:right="40" w:firstLine="1305"/>
        <w:spacing w:after="0" w:line="260" w:lineRule="auto"/>
        <w:tabs>
          <w:tab w:leader="none" w:pos="1680" w:val="left"/>
        </w:tabs>
        <w:numPr>
          <w:ilvl w:val="0"/>
          <w:numId w:val="91"/>
        </w:numPr>
        <w:rPr>
          <w:rFonts w:ascii="Arial" w:cs="Arial" w:eastAsia="Arial" w:hAnsi="Arial"/>
          <w:sz w:val="22"/>
          <w:szCs w:val="22"/>
          <w:color w:val="010000"/>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Executive will receive continuing payments of severance pay for a period of nine (9) months from the date of such termination equal to the pro-rata portion of Executive’s base salary rate as in effect immediately prior to Executive’s termination.</w:t>
      </w:r>
    </w:p>
    <w:p>
      <w:pPr>
        <w:spacing w:after="0" w:line="177" w:lineRule="exact"/>
        <w:rPr>
          <w:rFonts w:ascii="Arial" w:cs="Arial" w:eastAsia="Arial" w:hAnsi="Arial"/>
          <w:sz w:val="22"/>
          <w:szCs w:val="22"/>
          <w:color w:val="010000"/>
        </w:rPr>
      </w:pPr>
    </w:p>
    <w:p>
      <w:pPr>
        <w:ind w:right="60" w:firstLine="1305"/>
        <w:spacing w:after="0" w:line="320" w:lineRule="auto"/>
        <w:tabs>
          <w:tab w:leader="none" w:pos="1741" w:val="left"/>
        </w:tabs>
        <w:numPr>
          <w:ilvl w:val="0"/>
          <w:numId w:val="91"/>
        </w:numPr>
        <w:rPr>
          <w:rFonts w:ascii="Arial" w:cs="Arial" w:eastAsia="Arial" w:hAnsi="Arial"/>
          <w:sz w:val="19"/>
          <w:szCs w:val="19"/>
          <w:color w:val="010000"/>
        </w:rPr>
      </w:pPr>
      <w:r>
        <w:rPr>
          <w:rFonts w:ascii="Arial" w:cs="Arial" w:eastAsia="Arial" w:hAnsi="Arial"/>
          <w:sz w:val="19"/>
          <w:szCs w:val="19"/>
          <w:u w:val="single" w:color="auto"/>
          <w:color w:val="auto"/>
        </w:rPr>
        <w:t>Equity Awards</w:t>
      </w:r>
      <w:r>
        <w:rPr>
          <w:rFonts w:ascii="Arial" w:cs="Arial" w:eastAsia="Arial" w:hAnsi="Arial"/>
          <w:sz w:val="19"/>
          <w:szCs w:val="19"/>
          <w:color w:val="auto"/>
        </w:rPr>
        <w:t>. If Executive holds unvested equity awards at the time of Executive’s termination, then the unvested portion of such Awards that would have vested had Executive remained in continuous employment with the Company for nine (9) months following Executive’s date of termination will immediately vest as of Executive’s termination date. The</w:t>
      </w:r>
    </w:p>
    <w:p>
      <w:pPr>
        <w:sectPr>
          <w:pgSz w:w="11900" w:h="16838" w:orient="portrait"/>
          <w:cols w:equalWidth="0" w:num="1">
            <w:col w:w="11400"/>
          </w:cols>
          <w:pgMar w:left="240" w:top="631" w:right="259" w:bottom="1440" w:gutter="0" w:footer="0" w:header="0"/>
        </w:sectPr>
      </w:pPr>
    </w:p>
    <w:bookmarkStart w:id="144" w:name="page145"/>
    <w:bookmarkEnd w:id="144"/>
    <w:p>
      <w:pPr>
        <w:ind w:right="60"/>
        <w:spacing w:after="0" w:line="263" w:lineRule="auto"/>
        <w:rPr>
          <w:sz w:val="20"/>
          <w:szCs w:val="20"/>
          <w:color w:val="auto"/>
        </w:rPr>
      </w:pPr>
      <w:r>
        <w:rPr>
          <w:rFonts w:ascii="Arial" w:cs="Arial" w:eastAsia="Arial" w:hAnsi="Arial"/>
          <w:sz w:val="22"/>
          <w:szCs w:val="22"/>
          <w:color w:val="auto"/>
        </w:rPr>
        <w:t>Awards will remain exercisable, to the extent applicable, following the termination for the period prescribed in the respective stock plan and agreement for each Award.</w:t>
      </w:r>
    </w:p>
    <w:p>
      <w:pPr>
        <w:spacing w:after="0" w:line="175" w:lineRule="exact"/>
        <w:rPr>
          <w:sz w:val="20"/>
          <w:szCs w:val="20"/>
          <w:color w:val="auto"/>
        </w:rPr>
      </w:pPr>
    </w:p>
    <w:p>
      <w:pPr>
        <w:ind w:right="60" w:firstLine="1305"/>
        <w:spacing w:after="0" w:line="301" w:lineRule="auto"/>
        <w:tabs>
          <w:tab w:leader="none" w:pos="1800" w:val="left"/>
        </w:tabs>
        <w:numPr>
          <w:ilvl w:val="0"/>
          <w:numId w:val="92"/>
        </w:numPr>
        <w:rPr>
          <w:rFonts w:ascii="Arial" w:cs="Arial" w:eastAsia="Arial" w:hAnsi="Arial"/>
          <w:sz w:val="21"/>
          <w:szCs w:val="21"/>
          <w:color w:val="010000"/>
        </w:rPr>
      </w:pPr>
      <w:r>
        <w:rPr>
          <w:rFonts w:ascii="Arial" w:cs="Arial" w:eastAsia="Arial" w:hAnsi="Arial"/>
          <w:sz w:val="21"/>
          <w:szCs w:val="21"/>
          <w:u w:val="single" w:color="auto"/>
          <w:color w:val="auto"/>
        </w:rPr>
        <w:t>Continued Employee Benefits</w:t>
      </w:r>
      <w:r>
        <w:rPr>
          <w:rFonts w:ascii="Arial" w:cs="Arial" w:eastAsia="Arial" w:hAnsi="Arial"/>
          <w:sz w:val="21"/>
          <w:szCs w:val="21"/>
          <w:color w:val="auto"/>
        </w:rPr>
        <w:t>. Executive will receive Company-paid coverage for a period of nine (9) months for Executive and Executive’s eligible dependents under the Company’s Benefit Plans (as defined herein).</w:t>
      </w:r>
    </w:p>
    <w:p>
      <w:pPr>
        <w:spacing w:after="0" w:line="137" w:lineRule="exact"/>
        <w:rPr>
          <w:sz w:val="20"/>
          <w:szCs w:val="20"/>
          <w:color w:val="auto"/>
        </w:rPr>
      </w:pPr>
    </w:p>
    <w:p>
      <w:pPr>
        <w:ind w:right="40" w:firstLine="972"/>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010000"/>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Involuntary Termination within 12 Months Following a Change of Control</w:t>
      </w:r>
      <w:r>
        <w:rPr>
          <w:rFonts w:ascii="Arial" w:cs="Arial" w:eastAsia="Arial" w:hAnsi="Arial"/>
          <w:sz w:val="22"/>
          <w:szCs w:val="22"/>
          <w:color w:val="auto"/>
        </w:rPr>
        <w:t>. If within twelve (12) months following a Change of Control, (i) the Company (or any parent or subsidiary of the Company) terminates Executive’s employment without Cause or (ii) Executive terminates Executive’s employment with the Company (or any parent or subsidiary of the Company) for Good Reason, Executive will receive the following severance from the Company:</w:t>
      </w:r>
    </w:p>
    <w:p>
      <w:pPr>
        <w:spacing w:after="0" w:line="185" w:lineRule="exact"/>
        <w:rPr>
          <w:sz w:val="20"/>
          <w:szCs w:val="20"/>
          <w:color w:val="auto"/>
        </w:rPr>
      </w:pPr>
    </w:p>
    <w:p>
      <w:pPr>
        <w:ind w:right="40" w:firstLine="1305"/>
        <w:spacing w:after="0" w:line="260" w:lineRule="auto"/>
        <w:tabs>
          <w:tab w:leader="none" w:pos="1788" w:val="left"/>
        </w:tabs>
        <w:numPr>
          <w:ilvl w:val="0"/>
          <w:numId w:val="93"/>
        </w:numPr>
        <w:rPr>
          <w:rFonts w:ascii="Arial" w:cs="Arial" w:eastAsia="Arial" w:hAnsi="Arial"/>
          <w:sz w:val="22"/>
          <w:szCs w:val="22"/>
          <w:color w:val="010000"/>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Executive will receive continuing payments of severance pay for a period of twelve (12) months from the date of such termination equal to the pro-rata portion of Executive’s base salary rate as in effect immediately prior to (A) the Change of Control, or (B) Executive’s termination, whichever is greater.</w:t>
      </w:r>
    </w:p>
    <w:p>
      <w:pPr>
        <w:spacing w:after="0" w:line="177" w:lineRule="exact"/>
        <w:rPr>
          <w:rFonts w:ascii="Arial" w:cs="Arial" w:eastAsia="Arial" w:hAnsi="Arial"/>
          <w:sz w:val="22"/>
          <w:szCs w:val="22"/>
          <w:color w:val="010000"/>
        </w:rPr>
      </w:pPr>
    </w:p>
    <w:p>
      <w:pPr>
        <w:ind w:right="40" w:firstLine="1305"/>
        <w:spacing w:after="0" w:line="254" w:lineRule="auto"/>
        <w:tabs>
          <w:tab w:leader="none" w:pos="1728" w:val="left"/>
        </w:tabs>
        <w:numPr>
          <w:ilvl w:val="0"/>
          <w:numId w:val="93"/>
        </w:numPr>
        <w:rPr>
          <w:rFonts w:ascii="Arial" w:cs="Arial" w:eastAsia="Arial" w:hAnsi="Arial"/>
          <w:sz w:val="22"/>
          <w:szCs w:val="22"/>
          <w:color w:val="010000"/>
        </w:rPr>
      </w:pPr>
      <w:r>
        <w:rPr>
          <w:rFonts w:ascii="Arial" w:cs="Arial" w:eastAsia="Arial" w:hAnsi="Arial"/>
          <w:sz w:val="22"/>
          <w:szCs w:val="22"/>
          <w:u w:val="single" w:color="auto"/>
          <w:color w:val="auto"/>
        </w:rPr>
        <w:t>Equity Awards</w:t>
      </w:r>
      <w:r>
        <w:rPr>
          <w:rFonts w:ascii="Arial" w:cs="Arial" w:eastAsia="Arial" w:hAnsi="Arial"/>
          <w:sz w:val="22"/>
          <w:szCs w:val="22"/>
          <w:color w:val="auto"/>
        </w:rPr>
        <w:t>. If Executive holds unvested equity awards at the time of Executive’s termination, then one hundred percent (100%) of the then-unvested portion of such Awards will immediately vest as of Executive’s termination date. The Awards will remain exercisable, to the extent applicable, following the termination for the period prescribed in the respective stock plan and agreement for each Award.</w:t>
      </w:r>
    </w:p>
    <w:p>
      <w:pPr>
        <w:spacing w:after="0" w:line="185" w:lineRule="exact"/>
        <w:rPr>
          <w:rFonts w:ascii="Arial" w:cs="Arial" w:eastAsia="Arial" w:hAnsi="Arial"/>
          <w:sz w:val="22"/>
          <w:szCs w:val="22"/>
          <w:color w:val="010000"/>
        </w:rPr>
      </w:pPr>
    </w:p>
    <w:p>
      <w:pPr>
        <w:ind w:right="440" w:firstLine="1305"/>
        <w:spacing w:after="0" w:line="358" w:lineRule="auto"/>
        <w:tabs>
          <w:tab w:leader="none" w:pos="1788" w:val="left"/>
        </w:tabs>
        <w:numPr>
          <w:ilvl w:val="0"/>
          <w:numId w:val="93"/>
        </w:numPr>
        <w:rPr>
          <w:rFonts w:ascii="Arial" w:cs="Arial" w:eastAsia="Arial" w:hAnsi="Arial"/>
          <w:sz w:val="19"/>
          <w:szCs w:val="19"/>
          <w:color w:val="010000"/>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Executive will receive Company-paid coverage for a period of twelve (12) months for Executive and Executive’s eligible dependents under the Company’s Benefit Plans (as defined herein).</w:t>
      </w:r>
    </w:p>
    <w:p>
      <w:pPr>
        <w:spacing w:after="0" w:line="91" w:lineRule="exact"/>
        <w:rPr>
          <w:sz w:val="20"/>
          <w:szCs w:val="20"/>
          <w:color w:val="auto"/>
        </w:rPr>
      </w:pPr>
    </w:p>
    <w:p>
      <w:pPr>
        <w:ind w:right="60" w:firstLine="972"/>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010000"/>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Release of Claims Agreement</w:t>
      </w:r>
      <w:r>
        <w:rPr>
          <w:rFonts w:ascii="Arial" w:cs="Arial" w:eastAsia="Arial" w:hAnsi="Arial"/>
          <w:sz w:val="19"/>
          <w:szCs w:val="19"/>
          <w:color w:val="auto"/>
        </w:rPr>
        <w:t>. The receipt of any severance pay or other benefits pursuant to Sections 3(a) and (b) above will be subject to Executive signing and not revoking a release of claims agreement with the Company in a form reasonably acceptable to the Company (provided the Company will work in good faith with Executive to reach agreement on the form of release) that is effective and irrevocable no later than thirty (30) days after the date of termination of employment of Executive. No such severance pay or other benefits will be paid or provided until the release of claims agreement becomes effective, and any severance amounts or benefits otherwise payable between the date of Executive’s termination and the date of such release becomes effective and irrevocable shall be paid on the sixtieth (60th) day following the date of termination of employment of Executive.</w:t>
      </w:r>
    </w:p>
    <w:p>
      <w:pPr>
        <w:spacing w:after="0" w:line="152" w:lineRule="exact"/>
        <w:rPr>
          <w:sz w:val="20"/>
          <w:szCs w:val="20"/>
          <w:color w:val="auto"/>
        </w:rPr>
      </w:pPr>
    </w:p>
    <w:p>
      <w:pPr>
        <w:ind w:firstLine="97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010000"/>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Non-solicitation and Non-competition</w:t>
      </w:r>
      <w:r>
        <w:rPr>
          <w:rFonts w:ascii="Arial" w:cs="Arial" w:eastAsia="Arial" w:hAnsi="Arial"/>
          <w:sz w:val="22"/>
          <w:szCs w:val="22"/>
          <w:color w:val="auto"/>
        </w:rPr>
        <w:t>. Executive agrees, to the extent permitted by applicable law, that in the event Executive receives severance pay or other benefits pursuant to Sections 3 (b) above, for the twenty-four (24) consecutive month period immediately following the date of the closing of the Change of Control, Executive, as a condition to receipt of severance pay, accelerated vesting, and benefits under Sections 3(b), will not (i) either directly or indirectly, solicit, induce, recruit, encourage any employee of the Company to leave his employment either for Executive or for any other entity or person, or (ii) without the express</w:t>
      </w:r>
    </w:p>
    <w:p>
      <w:pPr>
        <w:sectPr>
          <w:pgSz w:w="11900" w:h="16838" w:orient="portrait"/>
          <w:cols w:equalWidth="0" w:num="1">
            <w:col w:w="11400"/>
          </w:cols>
          <w:pgMar w:left="240" w:top="631" w:right="259" w:bottom="1440" w:gutter="0" w:footer="0" w:header="0"/>
        </w:sectPr>
      </w:pPr>
    </w:p>
    <w:bookmarkStart w:id="145" w:name="page146"/>
    <w:bookmarkEnd w:id="145"/>
    <w:p>
      <w:pPr>
        <w:ind w:right="100"/>
        <w:spacing w:after="0" w:line="260" w:lineRule="auto"/>
        <w:rPr>
          <w:sz w:val="20"/>
          <w:szCs w:val="20"/>
          <w:color w:val="auto"/>
        </w:rPr>
      </w:pPr>
      <w:r>
        <w:rPr>
          <w:rFonts w:ascii="Arial" w:cs="Arial" w:eastAsia="Arial" w:hAnsi="Arial"/>
          <w:sz w:val="21"/>
          <w:szCs w:val="21"/>
          <w:color w:val="auto"/>
        </w:rPr>
        <w:t>written consent of the Company, directly or indirectly engage in, enter the employ, have any ownership interest in, or participate in any entity that as of the date of involuntary termination, engages in the design, development, manufacture, production, marketing, sale or servicing of any product or the provision of any service that competes with any service offered by the Company or any product sold by the Company or under development by the Company; provided, however, that ownership of less than one percent (1%) of the outstanding stock of any publicly traded corporation will not be deemed to be violative of the restrictive covenant set forth in this paragraph. The provisions of clause (ii) will not apply to Executive to the extent Executive is providing services or residing in the State of California.</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The covenants contained in this Section 3(d) hereof shall be construed as a series of separate covenants, one for each country, province, state, city or other political subdivision in which the Company currently engages in its business or, during the term of this Agreement, becomes engaged in its business. Except for geographic coverage, each such separate covenant shall be deemed identical in terms to the covenant contained in this Section 3(d).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the provisions of this Section 3(d) are deemed to exceed the time, geographic or scope limitations permitted by applicable law, then such provisions shall be reformed to the maximum time, geographic or scope limitations, as the case may be, permitted by applicable law.</w:t>
      </w:r>
    </w:p>
    <w:p>
      <w:pPr>
        <w:spacing w:after="0" w:line="180" w:lineRule="exact"/>
        <w:rPr>
          <w:sz w:val="20"/>
          <w:szCs w:val="20"/>
          <w:color w:val="auto"/>
        </w:rPr>
      </w:pPr>
    </w:p>
    <w:p>
      <w:pPr>
        <w:ind w:right="40" w:firstLine="972"/>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010000"/>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Accelerated Vesting of Equity Awards</w:t>
      </w:r>
      <w:r>
        <w:rPr>
          <w:rFonts w:ascii="Arial" w:cs="Arial" w:eastAsia="Arial" w:hAnsi="Arial"/>
          <w:sz w:val="19"/>
          <w:szCs w:val="19"/>
          <w:color w:val="auto"/>
        </w:rPr>
        <w:t>. For the sake of clarity, with respect to the Awards vested pursuant to Sections 3(a)(1)(ii), 3(a)(2)(ii) or 3(b)(ii), Executive will fully vest in and have the right to exercise stock options and/or stock appreciation rights as to all of the shares underlying such Awards, including those shares which would not otherwise be vested or exercisable, all restrictions on restricted stock and restricted stock units will lapse, and, with respect to performance stock units and performance shares, all performance goals or other vesting criteria will be deemed to have been achieved at one hundred percent (100%) of target levels and all other terms and conditions met (for clarity, for performance stock units and performance shares where Executive has earned greater than 100% of the granted shares, such as where Executive has earned 150% for performance shares, "100% of target levels" in the preceding sentence shall mean the greater of 100% and the earned percentage).</w:t>
      </w:r>
    </w:p>
    <w:p>
      <w:pPr>
        <w:spacing w:after="0" w:line="156" w:lineRule="exact"/>
        <w:rPr>
          <w:sz w:val="20"/>
          <w:szCs w:val="20"/>
          <w:color w:val="auto"/>
        </w:rPr>
      </w:pPr>
    </w:p>
    <w:p>
      <w:pPr>
        <w:ind w:right="80" w:firstLine="97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010000"/>
        </w:rPr>
        <w:t>f)</w:t>
      </w:r>
      <w:r>
        <w:rPr>
          <w:rFonts w:ascii="Arial" w:cs="Arial" w:eastAsia="Arial" w:hAnsi="Arial"/>
          <w:sz w:val="22"/>
          <w:szCs w:val="22"/>
          <w:color w:val="auto"/>
        </w:rPr>
        <w:t xml:space="preserve"> </w:t>
      </w:r>
      <w:r>
        <w:rPr>
          <w:rFonts w:ascii="Arial" w:cs="Arial" w:eastAsia="Arial" w:hAnsi="Arial"/>
          <w:sz w:val="22"/>
          <w:szCs w:val="22"/>
          <w:u w:val="single" w:color="auto"/>
          <w:color w:val="auto"/>
        </w:rPr>
        <w:t>Timing of Severance Payments</w:t>
      </w:r>
      <w:r>
        <w:rPr>
          <w:rFonts w:ascii="Arial" w:cs="Arial" w:eastAsia="Arial" w:hAnsi="Arial"/>
          <w:sz w:val="22"/>
          <w:szCs w:val="22"/>
          <w:color w:val="auto"/>
        </w:rPr>
        <w:t>. Subject to Section 3(c), the Company will pay the severance payments to which Executive is entitled as salary continuation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pacing w:after="0" w:line="190" w:lineRule="exact"/>
        <w:rPr>
          <w:sz w:val="20"/>
          <w:szCs w:val="20"/>
          <w:color w:val="auto"/>
        </w:rPr>
      </w:pPr>
    </w:p>
    <w:p>
      <w:pPr>
        <w:ind w:firstLine="972"/>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010000"/>
        </w:rPr>
        <w:t>g)</w:t>
      </w:r>
      <w:r>
        <w:rPr>
          <w:rFonts w:ascii="Arial" w:cs="Arial" w:eastAsia="Arial" w:hAnsi="Arial"/>
          <w:sz w:val="22"/>
          <w:szCs w:val="22"/>
          <w:color w:val="auto"/>
        </w:rPr>
        <w:t xml:space="preserve"> </w:t>
      </w:r>
      <w:r>
        <w:rPr>
          <w:rFonts w:ascii="Arial" w:cs="Arial" w:eastAsia="Arial" w:hAnsi="Arial"/>
          <w:sz w:val="22"/>
          <w:szCs w:val="22"/>
          <w:u w:val="single" w:color="auto"/>
          <w:color w:val="auto"/>
        </w:rPr>
        <w:t>Voluntary Resignation; Termination For Cause</w:t>
      </w:r>
      <w:r>
        <w:rPr>
          <w:rFonts w:ascii="Arial" w:cs="Arial" w:eastAsia="Arial" w:hAnsi="Arial"/>
          <w:sz w:val="22"/>
          <w:szCs w:val="22"/>
          <w:color w:val="auto"/>
        </w:rPr>
        <w:t>. If Executive’s employment with the Company terminates (i) voluntarily by Executive (except upon a termination for Good Reason within twelve (12) months following a Change of Control) or (ii) for Cause by the</w:t>
      </w:r>
    </w:p>
    <w:p>
      <w:pPr>
        <w:sectPr>
          <w:pgSz w:w="11900" w:h="16838" w:orient="portrait"/>
          <w:cols w:equalWidth="0" w:num="1">
            <w:col w:w="11400"/>
          </w:cols>
          <w:pgMar w:left="240" w:top="631" w:right="259" w:bottom="1440" w:gutter="0" w:footer="0" w:header="0"/>
        </w:sectPr>
      </w:pPr>
    </w:p>
    <w:bookmarkStart w:id="146" w:name="page147"/>
    <w:bookmarkEnd w:id="146"/>
    <w:p>
      <w:pPr>
        <w:ind w:right="220"/>
        <w:spacing w:after="0" w:line="271" w:lineRule="auto"/>
        <w:rPr>
          <w:sz w:val="20"/>
          <w:szCs w:val="20"/>
          <w:color w:val="auto"/>
        </w:rPr>
      </w:pPr>
      <w:r>
        <w:rPr>
          <w:rFonts w:ascii="Arial" w:cs="Arial" w:eastAsia="Arial" w:hAnsi="Arial"/>
          <w:sz w:val="21"/>
          <w:szCs w:val="21"/>
          <w:color w:val="auto"/>
        </w:rPr>
        <w:t>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68" w:lineRule="exact"/>
        <w:rPr>
          <w:sz w:val="20"/>
          <w:szCs w:val="20"/>
          <w:color w:val="auto"/>
        </w:rPr>
      </w:pPr>
    </w:p>
    <w:p>
      <w:pPr>
        <w:ind w:right="480" w:firstLine="972"/>
        <w:spacing w:after="0" w:line="307"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010000"/>
        </w:rPr>
        <w:t>h)</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Disability; Death</w:t>
      </w:r>
      <w:r>
        <w:rPr>
          <w:rFonts w:ascii="Arial" w:cs="Arial" w:eastAsia="Arial" w:hAnsi="Arial"/>
          <w:sz w:val="19"/>
          <w:szCs w:val="19"/>
          <w:color w:val="auto"/>
        </w:rPr>
        <w:t>. If the Company terminates Executive’s employment as a result of Executive’s Disability,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38" w:lineRule="exact"/>
        <w:rPr>
          <w:sz w:val="20"/>
          <w:szCs w:val="20"/>
          <w:color w:val="auto"/>
        </w:rPr>
      </w:pPr>
    </w:p>
    <w:p>
      <w:pPr>
        <w:ind w:right="180" w:firstLine="972"/>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010000"/>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Exclusive Remedy</w:t>
      </w:r>
      <w:r>
        <w:rPr>
          <w:rFonts w:ascii="Arial" w:cs="Arial" w:eastAsia="Arial" w:hAnsi="Arial"/>
          <w:sz w:val="19"/>
          <w:szCs w:val="19"/>
          <w:color w:val="auto"/>
        </w:rPr>
        <w:t>. In the event of a termination of Executive’s employment with the Company (or any parent or subsidiary of the Company), the provisions of this Section 3 are intended to be and are exclusive and in lieu of any other rights or remedies to which Executive or the Company may otherwise be entitled, whether at law, tort or contract, in equity, or under this Agreement. Executive will be entitled to no severance or other benefits upon termination of employment with respect to acceleration of Award vesting or severance pay other than those benefits expressly set forth in this Section 3.</w:t>
      </w:r>
    </w:p>
    <w:p>
      <w:pPr>
        <w:spacing w:after="0" w:line="147" w:lineRule="exact"/>
        <w:rPr>
          <w:sz w:val="20"/>
          <w:szCs w:val="20"/>
          <w:color w:val="auto"/>
        </w:rPr>
      </w:pPr>
    </w:p>
    <w:p>
      <w:pPr>
        <w:ind w:firstLine="972"/>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010000"/>
        </w:rPr>
        <w:t>j)</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409A</w:t>
      </w:r>
      <w:r>
        <w:rPr>
          <w:rFonts w:ascii="Arial" w:cs="Arial" w:eastAsia="Arial" w:hAnsi="Arial"/>
          <w:sz w:val="19"/>
          <w:szCs w:val="19"/>
          <w:color w:val="auto"/>
        </w:rPr>
        <w:t>. 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of the Internal Revenue Code of 1986, as amended (the “Code”) and any final regulations and official guidance promulgated thereunder (“Section 409A”) (together, the “Deferred Compensation Separation Benefits”) will be paid or otherwise provided until Executive has a “separation from service” within the meaning of Section 409A. Similarly, no severance payments or separation benefits payable to Executive, if any, pursuant to this Agreement that otherwise would be exempt from Section 409A pursuant to Section 1.409A-1(b)(9) of the Treasury Regulations will be payable until Executive has a “separation from service” within the meaning of Section 409A. In addition, if Executive is a “specified employee” within the meaning of Section 409A at the time of Executive’s termination (other than due to death), then the Deferred Compensation Separation Benefits that are payable within the first six (6) months following Executive’s separation from service, will become payable in a lump sum (without interest)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(without interest)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 To the extent any payment under this Agreement may be classified as a</w:t>
      </w:r>
    </w:p>
    <w:p>
      <w:pPr>
        <w:sectPr>
          <w:pgSz w:w="11900" w:h="16838" w:orient="portrait"/>
          <w:cols w:equalWidth="0" w:num="1">
            <w:col w:w="11380"/>
          </w:cols>
          <w:pgMar w:left="240" w:top="631" w:right="279" w:bottom="1440" w:gutter="0" w:footer="0" w:header="0"/>
        </w:sectPr>
      </w:pPr>
    </w:p>
    <w:bookmarkStart w:id="147" w:name="page148"/>
    <w:bookmarkEnd w:id="147"/>
    <w:p>
      <w:pPr>
        <w:ind w:right="80"/>
        <w:spacing w:after="0" w:line="260" w:lineRule="auto"/>
        <w:rPr>
          <w:sz w:val="20"/>
          <w:szCs w:val="20"/>
          <w:color w:val="auto"/>
        </w:rPr>
      </w:pPr>
      <w:r>
        <w:rPr>
          <w:rFonts w:ascii="Arial" w:cs="Arial" w:eastAsia="Arial" w:hAnsi="Arial"/>
          <w:sz w:val="21"/>
          <w:szCs w:val="21"/>
          <w:color w:val="auto"/>
        </w:rPr>
        <w:t>“short-term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81" w:lineRule="exact"/>
        <w:rPr>
          <w:sz w:val="20"/>
          <w:szCs w:val="20"/>
          <w:color w:val="auto"/>
        </w:rPr>
      </w:pPr>
    </w:p>
    <w:p>
      <w:pPr>
        <w:ind w:right="120" w:firstLine="656"/>
        <w:spacing w:after="0" w:line="254" w:lineRule="auto"/>
        <w:tabs>
          <w:tab w:leader="none" w:pos="990" w:val="left"/>
        </w:tabs>
        <w:numPr>
          <w:ilvl w:val="0"/>
          <w:numId w:val="94"/>
        </w:numPr>
        <w:rPr>
          <w:rFonts w:ascii="Arial" w:cs="Arial" w:eastAsia="Arial" w:hAnsi="Arial"/>
          <w:sz w:val="22"/>
          <w:szCs w:val="22"/>
          <w:color w:val="010000"/>
        </w:rPr>
      </w:pPr>
      <w:r>
        <w:rPr>
          <w:rFonts w:ascii="Arial" w:cs="Arial" w:eastAsia="Arial" w:hAnsi="Arial"/>
          <w:sz w:val="22"/>
          <w:szCs w:val="22"/>
          <w:u w:val="single" w:color="auto"/>
          <w:color w:val="auto"/>
        </w:rPr>
        <w:t>Limitation on Payments</w:t>
      </w:r>
      <w:r>
        <w:rPr>
          <w:rFonts w:ascii="Arial" w:cs="Arial" w:eastAsia="Arial" w:hAnsi="Arial"/>
          <w:sz w:val="22"/>
          <w:szCs w:val="22"/>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18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22"/>
          <w:szCs w:val="22"/>
          <w:color w:val="auto"/>
        </w:rPr>
        <w:t>(</w:t>
      </w:r>
      <w:r>
        <w:rPr>
          <w:rFonts w:ascii="Arial" w:cs="Arial" w:eastAsia="Arial" w:hAnsi="Arial"/>
          <w:sz w:val="22"/>
          <w:szCs w:val="22"/>
          <w:color w:val="010000"/>
        </w:rPr>
        <w:t>a)</w:t>
      </w:r>
      <w:r>
        <w:rPr>
          <w:sz w:val="20"/>
          <w:szCs w:val="20"/>
          <w:color w:val="auto"/>
        </w:rPr>
        <w:tab/>
      </w:r>
      <w:r>
        <w:rPr>
          <w:rFonts w:ascii="Arial" w:cs="Arial" w:eastAsia="Arial" w:hAnsi="Arial"/>
          <w:sz w:val="19"/>
          <w:szCs w:val="19"/>
          <w:color w:val="auto"/>
        </w:rPr>
        <w:t>delivered in full, or</w:t>
      </w:r>
    </w:p>
    <w:p>
      <w:pPr>
        <w:spacing w:after="0" w:line="233" w:lineRule="exact"/>
        <w:rPr>
          <w:sz w:val="20"/>
          <w:szCs w:val="20"/>
          <w:color w:val="auto"/>
        </w:rPr>
      </w:pPr>
    </w:p>
    <w:p>
      <w:pPr>
        <w:ind w:right="500" w:firstLine="972"/>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010000"/>
        </w:rPr>
        <w:t>b)</w:t>
      </w:r>
      <w:r>
        <w:rPr>
          <w:rFonts w:ascii="Arial" w:cs="Arial" w:eastAsia="Arial" w:hAnsi="Arial"/>
          <w:sz w:val="22"/>
          <w:szCs w:val="22"/>
          <w:color w:val="auto"/>
        </w:rPr>
        <w:t xml:space="preserve"> delivered as to such lesser extent which would result in no portion of such severance benefits being subject to excise tax under Section 4999 of the Code,</w:t>
      </w:r>
    </w:p>
    <w:p>
      <w:pPr>
        <w:spacing w:after="0" w:line="161"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severance and other benefits constituting “parachute payments” is necessary so that benefits are delivered to a lesser extent, the payments and benefits shall be reduced in the following order unless Executive elects in writing a different order (provided, however, that such election shall be subject to Company approval if made on or after the date on which the event that triggers the “parachute payments” occurs): (A) a pro rata reduction of (i) cash payments that are subject to Section 409A as deferred compensation and (ii) cash payments not subject to Section 409A of the Code; (B) a pro rata cancellation of (i) accelerated vesting of stock and other equity-based awards that are subject to Section 409A of the Code as deferred compensation and (ii) stock and other equity-based awards not subject to Section 409A; and (C) a pro rata reduction of (i) employee benefits that are subject to Section 409A as deferred compensation and (ii) employee benefits not subject to Section 409A of the Code. In the event that acceleration of vesting of equity award compensation is to be reduced, such acceleration of vesting shall be cancelled in the reverse order of the date of grant of Executive’s equity awards. Unless the Company and Executive otherwise agree in writing, any determination required under this Section 4 will be made in writing by an independent firm immediately prior to Change of Control (the “Firm”),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w:t>
      </w:r>
    </w:p>
    <w:p>
      <w:pPr>
        <w:sectPr>
          <w:pgSz w:w="11900" w:h="16838" w:orient="portrait"/>
          <w:cols w:equalWidth="0" w:num="1">
            <w:col w:w="11380"/>
          </w:cols>
          <w:pgMar w:left="240" w:top="631" w:right="279" w:bottom="1440" w:gutter="0" w:footer="0" w:header="0"/>
        </w:sectPr>
      </w:pPr>
    </w:p>
    <w:bookmarkStart w:id="148" w:name="page149"/>
    <w:bookmarkEnd w:id="148"/>
    <w:p>
      <w:pPr>
        <w:ind w:right="20"/>
        <w:spacing w:after="0" w:line="343" w:lineRule="auto"/>
        <w:rPr>
          <w:sz w:val="20"/>
          <w:szCs w:val="20"/>
          <w:color w:val="auto"/>
        </w:rPr>
      </w:pPr>
      <w:r>
        <w:rPr>
          <w:rFonts w:ascii="Arial" w:cs="Arial" w:eastAsia="Arial" w:hAnsi="Arial"/>
          <w:sz w:val="19"/>
          <w:szCs w:val="19"/>
          <w:color w:val="auto"/>
        </w:rPr>
        <w:t>information and documents as the Firm may reasonably request in order to make a determination under this Section. The Company will bear all costs the Firm may reasonably incur in connection with any calculations contemplated by this Section 4.</w:t>
      </w:r>
    </w:p>
    <w:p>
      <w:pPr>
        <w:spacing w:after="0" w:line="105" w:lineRule="exact"/>
        <w:rPr>
          <w:sz w:val="20"/>
          <w:szCs w:val="20"/>
          <w:color w:val="auto"/>
        </w:rPr>
      </w:pPr>
    </w:p>
    <w:p>
      <w:pPr>
        <w:ind w:left="1000" w:hanging="344"/>
        <w:spacing w:after="0"/>
        <w:tabs>
          <w:tab w:leader="none" w:pos="1000" w:val="left"/>
        </w:tabs>
        <w:numPr>
          <w:ilvl w:val="0"/>
          <w:numId w:val="95"/>
        </w:numPr>
        <w:rPr>
          <w:rFonts w:ascii="Arial" w:cs="Arial" w:eastAsia="Arial" w:hAnsi="Arial"/>
          <w:sz w:val="22"/>
          <w:szCs w:val="22"/>
          <w:color w:val="010000"/>
        </w:rPr>
      </w:pPr>
      <w:r>
        <w:rPr>
          <w:rFonts w:ascii="Arial" w:cs="Arial" w:eastAsia="Arial" w:hAnsi="Arial"/>
          <w:sz w:val="22"/>
          <w:szCs w:val="22"/>
          <w:u w:val="single" w:color="auto"/>
          <w:color w:val="auto"/>
        </w:rPr>
        <w:t>Definition of Terms</w:t>
      </w:r>
      <w:r>
        <w:rPr>
          <w:rFonts w:ascii="Arial" w:cs="Arial" w:eastAsia="Arial" w:hAnsi="Arial"/>
          <w:sz w:val="22"/>
          <w:szCs w:val="22"/>
          <w:color w:val="auto"/>
        </w:rPr>
        <w:t>. The following terms referred to in this Agreement will have the following meanings:</w:t>
      </w:r>
    </w:p>
    <w:p>
      <w:pPr>
        <w:spacing w:after="0" w:line="233" w:lineRule="exact"/>
        <w:rPr>
          <w:sz w:val="20"/>
          <w:szCs w:val="20"/>
          <w:color w:val="auto"/>
        </w:rPr>
      </w:pPr>
    </w:p>
    <w:p>
      <w:pPr>
        <w:ind w:right="80" w:firstLine="972"/>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010000"/>
        </w:rPr>
        <w:t>a)</w:t>
      </w:r>
      <w:r>
        <w:rPr>
          <w:rFonts w:ascii="Arial" w:cs="Arial" w:eastAsia="Arial" w:hAnsi="Arial"/>
          <w:sz w:val="19"/>
          <w:szCs w:val="19"/>
          <w:color w:val="auto"/>
        </w:rPr>
        <w:t xml:space="preserve"> </w:t>
      </w:r>
      <w:r>
        <w:rPr>
          <w:rFonts w:ascii="Arial" w:cs="Arial" w:eastAsia="Arial" w:hAnsi="Arial"/>
          <w:sz w:val="19"/>
          <w:szCs w:val="19"/>
          <w:u w:val="single" w:color="auto"/>
          <w:color w:val="auto"/>
        </w:rPr>
        <w:t>Benefit Plans</w:t>
      </w:r>
      <w:r>
        <w:rPr>
          <w:rFonts w:ascii="Arial" w:cs="Arial" w:eastAsia="Arial" w:hAnsi="Arial"/>
          <w:sz w:val="19"/>
          <w:szCs w:val="19"/>
          <w:color w:val="auto"/>
        </w:rPr>
        <w:t>. For purposes of this Agreement, “Benefit Plans” means plans, policies or arrangements that the Company sponsors (or participates in) and that immediately prior to Executive’s termination of employment provide Executive and/or Executive’s eligible dependents with medical, dental, and/or vision benefits. Benefit Plans do not include any other type of benefit (including, but not by way of limitation, disability, life insurance or retirement benefits). A requirement that the Company provide Executive and Executive’s eligible dependents with coverage under the Benefit Plans will not be satisfied unless the coverage is no less favorable than that provided to senior executives of the Company at any applicable time during the period Executive is entitled to receive severance pursuant to Section 3. The Company may, at its option, satisfy any requirement that the Company provide coverage under any Benefit Plan by (i) reimbursing Executive’s premiums under Title X of the Consolidated Budget Reconciliation Act of 1985, as amended (“COBRA”) after Executive has properly elected continuation coverage under COBRA (in which case Executive will be solely responsible for electing such coverage for his eligible dependents), or (ii) providing coverage under a separate plan or plans providing coverage that is no less favorable or by paying Executive a lump-sum payment which is, on an after-tax basis, sufficient to provide Executive and Executive’s eligible dependents with equivalent coverage under a third party plan that is reasonably available to Executive and Executive’s eligible dependents.</w:t>
      </w:r>
    </w:p>
    <w:p>
      <w:pPr>
        <w:spacing w:after="0" w:line="157" w:lineRule="exact"/>
        <w:rPr>
          <w:sz w:val="20"/>
          <w:szCs w:val="20"/>
          <w:color w:val="auto"/>
        </w:rPr>
      </w:pPr>
    </w:p>
    <w:p>
      <w:pPr>
        <w:ind w:firstLine="972"/>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010000"/>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“Cause” is defined as (i) an act of dishonesty made by Executive in connection with Executive’s responsibilities as an employee that materially adversely affects the Company, (ii) Executive’s conviction of, or plea of </w:t>
      </w:r>
      <w:r>
        <w:rPr>
          <w:rFonts w:ascii="Arial" w:cs="Arial" w:eastAsia="Arial" w:hAnsi="Arial"/>
          <w:sz w:val="19"/>
          <w:szCs w:val="19"/>
          <w:u w:val="single" w:color="auto"/>
          <w:color w:val="auto"/>
        </w:rPr>
        <w:t>nolo</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contendere</w:t>
      </w:r>
      <w:r>
        <w:rPr>
          <w:rFonts w:ascii="Arial" w:cs="Arial" w:eastAsia="Arial" w:hAnsi="Arial"/>
          <w:sz w:val="19"/>
          <w:szCs w:val="19"/>
          <w:color w:val="auto"/>
        </w:rPr>
        <w:t xml:space="preserve"> to, a felony or any crime involving fraud, embezzlement or any other act of moral turpitude, (iii) Executive’s gross misconduct that materially and adversely affects the Company’s reputation or business, or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 and Executive continues to refuse to cure such non-performance within thirty (30) days after receiving such notice.</w:t>
      </w:r>
    </w:p>
    <w:p>
      <w:pPr>
        <w:spacing w:after="0" w:line="156"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22"/>
          <w:szCs w:val="22"/>
          <w:color w:val="auto"/>
        </w:rPr>
        <w:t>(</w:t>
      </w:r>
      <w:r>
        <w:rPr>
          <w:rFonts w:ascii="Arial" w:cs="Arial" w:eastAsia="Arial" w:hAnsi="Arial"/>
          <w:sz w:val="22"/>
          <w:szCs w:val="22"/>
          <w:color w:val="010000"/>
        </w:rPr>
        <w:t>c)</w:t>
      </w:r>
      <w:r>
        <w:rPr>
          <w:sz w:val="20"/>
          <w:szCs w:val="20"/>
          <w:color w:val="auto"/>
        </w:rPr>
        <w:tab/>
      </w:r>
      <w:r>
        <w:rPr>
          <w:rFonts w:ascii="Arial" w:cs="Arial" w:eastAsia="Arial" w:hAnsi="Arial"/>
          <w:sz w:val="19"/>
          <w:szCs w:val="19"/>
          <w:u w:val="single" w:color="auto"/>
          <w:color w:val="auto"/>
        </w:rPr>
        <w:t>Change of Control</w:t>
      </w:r>
      <w:r>
        <w:rPr>
          <w:rFonts w:ascii="Arial" w:cs="Arial" w:eastAsia="Arial" w:hAnsi="Arial"/>
          <w:sz w:val="19"/>
          <w:szCs w:val="19"/>
          <w:color w:val="auto"/>
        </w:rPr>
        <w:t>. “Change of Control” of the Company is defined as:</w:t>
      </w:r>
    </w:p>
    <w:p>
      <w:pPr>
        <w:spacing w:after="0" w:line="233" w:lineRule="exact"/>
        <w:rPr>
          <w:sz w:val="20"/>
          <w:szCs w:val="20"/>
          <w:color w:val="auto"/>
        </w:rPr>
      </w:pPr>
    </w:p>
    <w:p>
      <w:pPr>
        <w:ind w:right="180" w:firstLine="1305"/>
        <w:spacing w:after="0" w:line="266" w:lineRule="auto"/>
        <w:tabs>
          <w:tab w:leader="none" w:pos="1680" w:val="left"/>
        </w:tabs>
        <w:numPr>
          <w:ilvl w:val="0"/>
          <w:numId w:val="96"/>
        </w:numPr>
        <w:rPr>
          <w:rFonts w:ascii="Arial" w:cs="Arial" w:eastAsia="Arial" w:hAnsi="Arial"/>
          <w:sz w:val="21"/>
          <w:szCs w:val="21"/>
          <w:color w:val="010000"/>
        </w:rPr>
      </w:pPr>
      <w:r>
        <w:rPr>
          <w:rFonts w:ascii="Arial" w:cs="Arial" w:eastAsia="Arial" w:hAnsi="Arial"/>
          <w:sz w:val="21"/>
          <w:szCs w:val="21"/>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(“Person”) that or is or becomes the owner, directly or indirectly, of securities of the Company representing fifty percent (50%) or more of the total voting power represented by the Company’s then outstanding securities (the “Voting</w:t>
      </w:r>
    </w:p>
    <w:p>
      <w:pPr>
        <w:sectPr>
          <w:pgSz w:w="11900" w:h="16838" w:orient="portrait"/>
          <w:cols w:equalWidth="0" w:num="1">
            <w:col w:w="11360"/>
          </w:cols>
          <w:pgMar w:left="240" w:top="631" w:right="299" w:bottom="1440" w:gutter="0" w:footer="0" w:header="0"/>
        </w:sectPr>
      </w:pPr>
    </w:p>
    <w:bookmarkStart w:id="149" w:name="page150"/>
    <w:bookmarkEnd w:id="149"/>
    <w:p>
      <w:pPr>
        <w:ind w:right="180"/>
        <w:spacing w:after="0" w:line="253" w:lineRule="auto"/>
        <w:rPr>
          <w:sz w:val="20"/>
          <w:szCs w:val="20"/>
          <w:color w:val="auto"/>
        </w:rPr>
      </w:pPr>
      <w:r>
        <w:rPr>
          <w:rFonts w:ascii="Arial" w:cs="Arial" w:eastAsia="Arial" w:hAnsi="Arial"/>
          <w:sz w:val="22"/>
          <w:szCs w:val="22"/>
          <w:color w:val="auto"/>
        </w:rPr>
        <w:t>Securities”); provided, however, that for purposes of this subsection (i), the acquisition of additional securities by any one Person, who is considered to own more than fifty percent (50%) of the total voting power of the securities of the Company shall not be considered a Change of Control;</w:t>
      </w:r>
    </w:p>
    <w:p>
      <w:pPr>
        <w:spacing w:after="0" w:line="186" w:lineRule="exact"/>
        <w:rPr>
          <w:sz w:val="20"/>
          <w:szCs w:val="20"/>
          <w:color w:val="auto"/>
        </w:rPr>
      </w:pPr>
    </w:p>
    <w:p>
      <w:pPr>
        <w:ind w:right="40" w:firstLine="1305"/>
        <w:spacing w:after="0" w:line="250" w:lineRule="auto"/>
        <w:tabs>
          <w:tab w:leader="none" w:pos="1741"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a change in the composition of the Board occurring within a twelve (12) month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88" w:lineRule="exact"/>
        <w:rPr>
          <w:rFonts w:ascii="Arial" w:cs="Arial" w:eastAsia="Arial" w:hAnsi="Arial"/>
          <w:sz w:val="22"/>
          <w:szCs w:val="22"/>
          <w:color w:val="010000"/>
        </w:rPr>
      </w:pPr>
    </w:p>
    <w:p>
      <w:pPr>
        <w:ind w:firstLine="1305"/>
        <w:spacing w:after="0" w:line="297" w:lineRule="auto"/>
        <w:tabs>
          <w:tab w:leader="none" w:pos="180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46" w:lineRule="exact"/>
        <w:rPr>
          <w:rFonts w:ascii="Arial" w:cs="Arial" w:eastAsia="Arial" w:hAnsi="Arial"/>
          <w:sz w:val="19"/>
          <w:szCs w:val="19"/>
          <w:color w:val="010000"/>
        </w:rPr>
      </w:pPr>
    </w:p>
    <w:p>
      <w:pPr>
        <w:ind w:firstLine="1305"/>
        <w:spacing w:after="0" w:line="285" w:lineRule="auto"/>
        <w:tabs>
          <w:tab w:leader="none" w:pos="1788"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5 (c)(iv), the following shall not constitute a change in the ownership of a substantial portion of the Company’s assets: (1) a transfer to an entity that is controlled by the Company’s shareholders immediately after the transfer; or (2) a transfer of assets by the Company to: (A) a shareholder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subsection (C). For purposes of this clause</w:t>
      </w:r>
    </w:p>
    <w:p>
      <w:pPr>
        <w:ind w:right="180"/>
        <w:spacing w:after="0" w:line="246" w:lineRule="auto"/>
        <w:rPr>
          <w:rFonts w:ascii="Arial" w:cs="Arial" w:eastAsia="Arial" w:hAnsi="Arial"/>
          <w:sz w:val="19"/>
          <w:szCs w:val="19"/>
          <w:color w:val="010000"/>
        </w:rPr>
      </w:pPr>
      <w:r>
        <w:rPr>
          <w:rFonts w:ascii="Arial" w:cs="Arial" w:eastAsia="Arial" w:hAnsi="Arial"/>
          <w:sz w:val="22"/>
          <w:szCs w:val="22"/>
          <w:color w:val="auto"/>
        </w:rPr>
        <w:t>(2),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Notwithstanding the foregoing, a Company transaction that does not constitute a change of control event under Treasury Regulation 1.409A-3(i)(5)(v) or (vii) shall be not be considered a Change of Control.</w:t>
      </w:r>
    </w:p>
    <w:p>
      <w:pPr>
        <w:sectPr>
          <w:pgSz w:w="11900" w:h="16838" w:orient="portrait"/>
          <w:cols w:equalWidth="0" w:num="1">
            <w:col w:w="11420"/>
          </w:cols>
          <w:pgMar w:left="240" w:top="631" w:right="239" w:bottom="1440" w:gutter="0" w:footer="0" w:header="0"/>
        </w:sectPr>
      </w:pPr>
    </w:p>
    <w:bookmarkStart w:id="150" w:name="page151"/>
    <w:bookmarkEnd w:id="150"/>
    <w:p>
      <w:pPr>
        <w:ind w:left="-656" w:firstLine="1305"/>
        <w:spacing w:after="0" w:line="248" w:lineRule="auto"/>
        <w:tabs>
          <w:tab w:leader="none" w:pos="1072" w:val="left"/>
        </w:tabs>
        <w:numPr>
          <w:ilvl w:val="1"/>
          <w:numId w:val="98"/>
        </w:numPr>
        <w:rPr>
          <w:rFonts w:ascii="Arial" w:cs="Arial" w:eastAsia="Arial" w:hAnsi="Arial"/>
          <w:sz w:val="22"/>
          <w:szCs w:val="22"/>
          <w:color w:val="010000"/>
        </w:rPr>
      </w:pPr>
      <w:r>
        <w:rPr>
          <w:rFonts w:ascii="Arial" w:cs="Arial" w:eastAsia="Arial" w:hAnsi="Arial"/>
          <w:sz w:val="22"/>
          <w:szCs w:val="22"/>
          <w:u w:val="single" w:color="auto"/>
          <w:color w:val="auto"/>
        </w:rPr>
        <w:t>Disability</w:t>
      </w:r>
      <w:r>
        <w:rPr>
          <w:rFonts w:ascii="Arial" w:cs="Arial" w:eastAsia="Arial" w:hAnsi="Arial"/>
          <w:sz w:val="22"/>
          <w:szCs w:val="22"/>
          <w:color w:val="auto"/>
        </w:rPr>
        <w:t>. “Disability” will mean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91" w:lineRule="exact"/>
        <w:rPr>
          <w:rFonts w:ascii="Arial" w:cs="Arial" w:eastAsia="Arial" w:hAnsi="Arial"/>
          <w:sz w:val="22"/>
          <w:szCs w:val="22"/>
          <w:color w:val="010000"/>
        </w:rPr>
      </w:pPr>
    </w:p>
    <w:p>
      <w:pPr>
        <w:ind w:left="-656" w:firstLine="1305"/>
        <w:spacing w:after="0" w:line="286" w:lineRule="auto"/>
        <w:tabs>
          <w:tab w:leader="none" w:pos="1060" w:val="left"/>
        </w:tabs>
        <w:numPr>
          <w:ilvl w:val="1"/>
          <w:numId w:val="98"/>
        </w:numPr>
        <w:rPr>
          <w:rFonts w:ascii="Arial" w:cs="Arial" w:eastAsia="Arial" w:hAnsi="Arial"/>
          <w:sz w:val="19"/>
          <w:szCs w:val="19"/>
          <w:color w:val="010000"/>
        </w:rPr>
      </w:pPr>
      <w:r>
        <w:rPr>
          <w:rFonts w:ascii="Arial" w:cs="Arial" w:eastAsia="Arial" w:hAnsi="Arial"/>
          <w:sz w:val="19"/>
          <w:szCs w:val="19"/>
          <w:u w:val="single" w:color="auto"/>
          <w:color w:val="auto"/>
        </w:rPr>
        <w:t>Good Reason</w:t>
      </w:r>
      <w:r>
        <w:rPr>
          <w:rFonts w:ascii="Arial" w:cs="Arial" w:eastAsia="Arial" w:hAnsi="Arial"/>
          <w:sz w:val="19"/>
          <w:szCs w:val="19"/>
          <w:color w:val="auto"/>
        </w:rPr>
        <w:t>. “Good Reason” means the occurrence of one or more of the following events without Executive’s express written 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 any material provision of this Agreement, or (vi) the failure of the Company to obtain the assumption of this Agreement by any successor.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w:t>
      </w:r>
    </w:p>
    <w:p>
      <w:pPr>
        <w:spacing w:after="0" w:line="169" w:lineRule="exact"/>
        <w:rPr>
          <w:rFonts w:ascii="Arial" w:cs="Arial" w:eastAsia="Arial" w:hAnsi="Arial"/>
          <w:sz w:val="19"/>
          <w:szCs w:val="19"/>
          <w:color w:val="010000"/>
        </w:rPr>
      </w:pPr>
    </w:p>
    <w:p>
      <w:pPr>
        <w:ind w:left="344" w:hanging="344"/>
        <w:spacing w:after="0"/>
        <w:tabs>
          <w:tab w:leader="none" w:pos="344" w:val="left"/>
        </w:tabs>
        <w:numPr>
          <w:ilvl w:val="0"/>
          <w:numId w:val="99"/>
        </w:numPr>
        <w:rPr>
          <w:rFonts w:ascii="Arial" w:cs="Arial" w:eastAsia="Arial" w:hAnsi="Arial"/>
          <w:sz w:val="22"/>
          <w:szCs w:val="22"/>
          <w:color w:val="010000"/>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left="-656" w:right="80" w:firstLine="1305"/>
        <w:spacing w:after="0" w:line="262" w:lineRule="auto"/>
        <w:tabs>
          <w:tab w:leader="none" w:pos="1060" w:val="left"/>
        </w:tabs>
        <w:numPr>
          <w:ilvl w:val="1"/>
          <w:numId w:val="99"/>
        </w:numPr>
        <w:rPr>
          <w:rFonts w:ascii="Arial" w:cs="Arial" w:eastAsia="Arial" w:hAnsi="Arial"/>
          <w:sz w:val="21"/>
          <w:szCs w:val="21"/>
          <w:color w:val="010000"/>
        </w:rPr>
      </w:pPr>
      <w:r>
        <w:rPr>
          <w:rFonts w:ascii="Arial" w:cs="Arial" w:eastAsia="Arial" w:hAnsi="Arial"/>
          <w:sz w:val="21"/>
          <w:szCs w:val="21"/>
          <w:u w:val="single" w:color="auto"/>
          <w:color w:val="auto"/>
        </w:rPr>
        <w:t>The Company’s Successors</w:t>
      </w:r>
      <w:r>
        <w:rPr>
          <w:rFonts w:ascii="Arial" w:cs="Arial" w:eastAsia="Arial" w:hAnsi="Arial"/>
          <w:sz w:val="21"/>
          <w:szCs w:val="21"/>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6(a) or which becomes bound by the terms of this Agreement by operation of law.</w:t>
      </w:r>
    </w:p>
    <w:p>
      <w:pPr>
        <w:sectPr>
          <w:pgSz w:w="11900" w:h="16838" w:orient="portrait"/>
          <w:cols w:equalWidth="0" w:num="1">
            <w:col w:w="10744"/>
          </w:cols>
          <w:pgMar w:left="896" w:top="631" w:right="259" w:bottom="1440" w:gutter="0" w:footer="0" w:header="0"/>
        </w:sectPr>
      </w:pPr>
    </w:p>
    <w:bookmarkStart w:id="151" w:name="page152"/>
    <w:bookmarkEnd w:id="151"/>
    <w:p>
      <w:pPr>
        <w:ind w:left="-656" w:right="320" w:firstLine="1305"/>
        <w:spacing w:after="0" w:line="260" w:lineRule="auto"/>
        <w:tabs>
          <w:tab w:leader="none" w:pos="1072" w:val="left"/>
        </w:tabs>
        <w:numPr>
          <w:ilvl w:val="2"/>
          <w:numId w:val="100"/>
        </w:numPr>
        <w:rPr>
          <w:rFonts w:ascii="Arial" w:cs="Arial" w:eastAsia="Arial" w:hAnsi="Arial"/>
          <w:sz w:val="22"/>
          <w:szCs w:val="22"/>
          <w:color w:val="010000"/>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77" w:lineRule="exact"/>
        <w:rPr>
          <w:rFonts w:ascii="Arial" w:cs="Arial" w:eastAsia="Arial" w:hAnsi="Arial"/>
          <w:sz w:val="22"/>
          <w:szCs w:val="22"/>
          <w:color w:val="010000"/>
        </w:rPr>
      </w:pPr>
    </w:p>
    <w:p>
      <w:pPr>
        <w:ind w:left="344" w:hanging="344"/>
        <w:spacing w:after="0"/>
        <w:tabs>
          <w:tab w:leader="none" w:pos="344" w:val="left"/>
        </w:tabs>
        <w:numPr>
          <w:ilvl w:val="0"/>
          <w:numId w:val="101"/>
        </w:numPr>
        <w:rPr>
          <w:rFonts w:ascii="Arial" w:cs="Arial" w:eastAsia="Arial" w:hAnsi="Arial"/>
          <w:sz w:val="22"/>
          <w:szCs w:val="22"/>
          <w:color w:val="010000"/>
        </w:rPr>
      </w:pP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left="-656" w:right="60" w:firstLine="980"/>
        <w:spacing w:after="0" w:line="300" w:lineRule="auto"/>
        <w:tabs>
          <w:tab w:leader="none" w:pos="736" w:val="left"/>
        </w:tabs>
        <w:numPr>
          <w:ilvl w:val="1"/>
          <w:numId w:val="101"/>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47" w:lineRule="exact"/>
        <w:rPr>
          <w:rFonts w:ascii="Arial" w:cs="Arial" w:eastAsia="Arial" w:hAnsi="Arial"/>
          <w:sz w:val="19"/>
          <w:szCs w:val="19"/>
          <w:color w:val="010000"/>
        </w:rPr>
      </w:pPr>
    </w:p>
    <w:p>
      <w:pPr>
        <w:ind w:left="-656" w:firstLine="980"/>
        <w:spacing w:after="0" w:line="248" w:lineRule="auto"/>
        <w:tabs>
          <w:tab w:leader="none" w:pos="748" w:val="left"/>
        </w:tabs>
        <w:numPr>
          <w:ilvl w:val="1"/>
          <w:numId w:val="101"/>
        </w:numPr>
        <w:rPr>
          <w:rFonts w:ascii="Arial" w:cs="Arial" w:eastAsia="Arial" w:hAnsi="Arial"/>
          <w:sz w:val="22"/>
          <w:szCs w:val="22"/>
          <w:color w:val="010000"/>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191" w:lineRule="exact"/>
        <w:rPr>
          <w:rFonts w:ascii="Arial" w:cs="Arial" w:eastAsia="Arial" w:hAnsi="Arial"/>
          <w:sz w:val="22"/>
          <w:szCs w:val="22"/>
          <w:color w:val="010000"/>
        </w:rPr>
      </w:pPr>
    </w:p>
    <w:p>
      <w:pPr>
        <w:ind w:left="-656" w:right="60" w:firstLine="656"/>
        <w:spacing w:after="0" w:line="260" w:lineRule="auto"/>
        <w:tabs>
          <w:tab w:leader="none" w:pos="334" w:val="left"/>
        </w:tabs>
        <w:numPr>
          <w:ilvl w:val="0"/>
          <w:numId w:val="101"/>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have a term of five (5) years commencing on the Prior Effective Date, which shall not be subject to renewal, unless a Change of Control occurs during such five (5) year period, in which case this Agreement will continue until all payments and benefits, if any, have been made to Executive.</w:t>
      </w:r>
    </w:p>
    <w:p>
      <w:pPr>
        <w:spacing w:after="0" w:line="177" w:lineRule="exact"/>
        <w:rPr>
          <w:rFonts w:ascii="Arial" w:cs="Arial" w:eastAsia="Arial" w:hAnsi="Arial"/>
          <w:sz w:val="22"/>
          <w:szCs w:val="22"/>
          <w:color w:val="010000"/>
        </w:rPr>
      </w:pPr>
    </w:p>
    <w:p>
      <w:pPr>
        <w:ind w:left="344" w:hanging="344"/>
        <w:spacing w:after="0"/>
        <w:tabs>
          <w:tab w:leader="none" w:pos="344" w:val="left"/>
        </w:tabs>
        <w:numPr>
          <w:ilvl w:val="0"/>
          <w:numId w:val="101"/>
        </w:numPr>
        <w:rPr>
          <w:rFonts w:ascii="Arial" w:cs="Arial" w:eastAsia="Arial" w:hAnsi="Arial"/>
          <w:sz w:val="22"/>
          <w:szCs w:val="22"/>
          <w:color w:val="010000"/>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left="-656" w:right="20" w:firstLine="980"/>
        <w:spacing w:after="0" w:line="264" w:lineRule="auto"/>
        <w:tabs>
          <w:tab w:leader="none" w:pos="736" w:val="left"/>
        </w:tabs>
        <w:numPr>
          <w:ilvl w:val="1"/>
          <w:numId w:val="101"/>
        </w:numPr>
        <w:rPr>
          <w:rFonts w:ascii="Arial" w:cs="Arial" w:eastAsia="Arial" w:hAnsi="Arial"/>
          <w:sz w:val="21"/>
          <w:szCs w:val="21"/>
          <w:color w:val="010000"/>
        </w:rPr>
      </w:pPr>
      <w:r>
        <w:rPr>
          <w:rFonts w:ascii="Arial" w:cs="Arial" w:eastAsia="Arial" w:hAnsi="Arial"/>
          <w:sz w:val="21"/>
          <w:szCs w:val="21"/>
          <w:color w:val="auto"/>
        </w:rPr>
        <w:t>Any dispute or controversy arising out of, relating to, or in connection with this Agreement, or the interpretation, validity, construction, performance, breach, or termination thereof, shall be settled by binding arbitration to be held in Santa Clara County, California, in accordance with the National Rules for the Resolution of Employment Disputes then in effect of the American Arbitration Association (the “Rules”). The arbitrator may grant injunctions or other relief in such dispute or controversy. The decision of the arbitrator shall be final, conclusive and binding on the parties to the arbitration. Judgment may be entered on the arbitrator’s decision in any court having jurisdiction.</w:t>
      </w:r>
    </w:p>
    <w:p>
      <w:pPr>
        <w:spacing w:after="0" w:line="175" w:lineRule="exact"/>
        <w:rPr>
          <w:rFonts w:ascii="Arial" w:cs="Arial" w:eastAsia="Arial" w:hAnsi="Arial"/>
          <w:sz w:val="21"/>
          <w:szCs w:val="21"/>
          <w:color w:val="010000"/>
        </w:rPr>
      </w:pPr>
    </w:p>
    <w:p>
      <w:pPr>
        <w:ind w:left="-656" w:right="160" w:firstLine="980"/>
        <w:spacing w:after="0" w:line="320" w:lineRule="auto"/>
        <w:tabs>
          <w:tab w:leader="none" w:pos="748" w:val="left"/>
        </w:tabs>
        <w:numPr>
          <w:ilvl w:val="1"/>
          <w:numId w:val="101"/>
        </w:numPr>
        <w:rPr>
          <w:rFonts w:ascii="Arial" w:cs="Arial" w:eastAsia="Arial" w:hAnsi="Arial"/>
          <w:sz w:val="19"/>
          <w:szCs w:val="19"/>
          <w:color w:val="010000"/>
        </w:rPr>
      </w:pPr>
      <w:r>
        <w:rPr>
          <w:rFonts w:ascii="Arial" w:cs="Arial" w:eastAsia="Arial" w:hAnsi="Arial"/>
          <w:sz w:val="19"/>
          <w:szCs w:val="19"/>
          <w:color w:val="auto"/>
        </w:rPr>
        <w:t>The arbitrator(s) shall apply California law to the merits of any dispute or claim, without reference to conflicts of law rules. The arbitration proceedings shall be governed by federal arbitration law and by the Rules, without reference to state arbitration law. Executive hereby consents to the personal jurisdiction of the state and federal courts located in California</w:t>
      </w:r>
    </w:p>
    <w:p>
      <w:pPr>
        <w:sectPr>
          <w:pgSz w:w="11900" w:h="16838" w:orient="portrait"/>
          <w:cols w:equalWidth="0" w:num="1">
            <w:col w:w="10684"/>
          </w:cols>
          <w:pgMar w:left="896" w:top="631" w:right="319" w:bottom="1440" w:gutter="0" w:footer="0" w:header="0"/>
        </w:sectPr>
      </w:pPr>
    </w:p>
    <w:bookmarkStart w:id="152" w:name="page153"/>
    <w:bookmarkEnd w:id="152"/>
    <w:p>
      <w:pPr>
        <w:ind w:right="680"/>
        <w:spacing w:after="0" w:line="263" w:lineRule="auto"/>
        <w:rPr>
          <w:sz w:val="20"/>
          <w:szCs w:val="20"/>
          <w:color w:val="auto"/>
        </w:rPr>
      </w:pPr>
      <w:r>
        <w:rPr>
          <w:rFonts w:ascii="Arial" w:cs="Arial" w:eastAsia="Arial" w:hAnsi="Arial"/>
          <w:sz w:val="22"/>
          <w:szCs w:val="22"/>
          <w:color w:val="auto"/>
        </w:rPr>
        <w:t>for any action or proceeding arising from or relating to this Agreement or relating to any arbitration in which the parties are participants.</w:t>
      </w:r>
    </w:p>
    <w:p>
      <w:pPr>
        <w:spacing w:after="0" w:line="175" w:lineRule="exact"/>
        <w:rPr>
          <w:sz w:val="20"/>
          <w:szCs w:val="20"/>
          <w:color w:val="auto"/>
        </w:rPr>
      </w:pPr>
    </w:p>
    <w:p>
      <w:pPr>
        <w:ind w:right="820" w:firstLine="980"/>
        <w:spacing w:after="0" w:line="301" w:lineRule="auto"/>
        <w:tabs>
          <w:tab w:leader="none" w:pos="1392" w:val="left"/>
        </w:tabs>
        <w:numPr>
          <w:ilvl w:val="1"/>
          <w:numId w:val="102"/>
        </w:numPr>
        <w:rPr>
          <w:rFonts w:ascii="Arial" w:cs="Arial" w:eastAsia="Arial" w:hAnsi="Arial"/>
          <w:sz w:val="21"/>
          <w:szCs w:val="21"/>
          <w:color w:val="010000"/>
        </w:rPr>
      </w:pPr>
      <w:r>
        <w:rPr>
          <w:rFonts w:ascii="Arial" w:cs="Arial" w:eastAsia="Arial" w:hAnsi="Arial"/>
          <w:sz w:val="21"/>
          <w:szCs w:val="21"/>
          <w:color w:val="auto"/>
        </w:rPr>
        <w:t>Executive understands that nothing in this Section modifies Executive’s at-will employment status. Either Executive or the Company can terminate the employment relationship at any time, with or without Cause.</w:t>
      </w:r>
    </w:p>
    <w:p>
      <w:pPr>
        <w:spacing w:after="0" w:line="137" w:lineRule="exact"/>
        <w:rPr>
          <w:rFonts w:ascii="Arial" w:cs="Arial" w:eastAsia="Arial" w:hAnsi="Arial"/>
          <w:sz w:val="21"/>
          <w:szCs w:val="21"/>
          <w:color w:val="010000"/>
        </w:rPr>
      </w:pPr>
    </w:p>
    <w:p>
      <w:pPr>
        <w:ind w:right="40" w:firstLine="980"/>
        <w:spacing w:after="0" w:line="297" w:lineRule="auto"/>
        <w:tabs>
          <w:tab w:leader="none" w:pos="1404" w:val="left"/>
        </w:tabs>
        <w:numPr>
          <w:ilvl w:val="1"/>
          <w:numId w:val="102"/>
        </w:numPr>
        <w:rPr>
          <w:rFonts w:ascii="Arial" w:cs="Arial" w:eastAsia="Arial" w:hAnsi="Arial"/>
          <w:sz w:val="19"/>
          <w:szCs w:val="19"/>
          <w:color w:val="010000"/>
        </w:rPr>
      </w:pPr>
      <w:r>
        <w:rPr>
          <w:rFonts w:ascii="Arial" w:cs="Arial" w:eastAsia="Arial" w:hAnsi="Arial"/>
          <w:sz w:val="19"/>
          <w:szCs w:val="19"/>
          <w:color w:val="auto"/>
        </w:rPr>
        <w:t>EXECUTIVE HAS READ AND UNDERSTANDS THIS SECTION, WHICH DISCUSSES ARBITRATION. EXECUTIVE UNDERSTANDS THAT SUBMITTING ANY CLAIMS ARISING OUT OF, RELATING TO, OR IN CONNECTION WITH THIS AGREEMENT, OR THE INTERPRETATION, VALIDITY, CONSTRUCTION, PERFORMANCE, BREACH OR TERMINATION THEREOF TO BINDING ARBITRATION, CONSTITUTES A WAIVER OF EXECUTIVE’S RIGHT TO A JURY TRIAL AND RELATES TO THE RESOLUTION OF ALL DISPUTES RELATING TO ALL ASPECTS OF THE EMPLOYER/EMPLOYEE RELATIONSHIP, INCLUDING BUT NOT LIMITED TO, THE FOLLOWING CLAIMS:</w:t>
      </w:r>
    </w:p>
    <w:p>
      <w:pPr>
        <w:spacing w:after="0" w:line="146" w:lineRule="exact"/>
        <w:rPr>
          <w:rFonts w:ascii="Arial" w:cs="Arial" w:eastAsia="Arial" w:hAnsi="Arial"/>
          <w:sz w:val="19"/>
          <w:szCs w:val="19"/>
          <w:color w:val="010000"/>
        </w:rPr>
      </w:pPr>
    </w:p>
    <w:p>
      <w:pPr>
        <w:ind w:right="240" w:firstLine="1305"/>
        <w:spacing w:after="0" w:line="251" w:lineRule="auto"/>
        <w:tabs>
          <w:tab w:leader="none" w:pos="1680" w:val="left"/>
        </w:tabs>
        <w:numPr>
          <w:ilvl w:val="2"/>
          <w:numId w:val="102"/>
        </w:numPr>
        <w:rPr>
          <w:rFonts w:ascii="Arial" w:cs="Arial" w:eastAsia="Arial" w:hAnsi="Arial"/>
          <w:sz w:val="22"/>
          <w:szCs w:val="22"/>
          <w:color w:val="010000"/>
        </w:rPr>
      </w:pPr>
      <w:r>
        <w:rPr>
          <w:rFonts w:ascii="Arial" w:cs="Arial" w:eastAsia="Arial" w:hAnsi="Arial"/>
          <w:sz w:val="22"/>
          <w:szCs w:val="22"/>
          <w:color w:val="auto"/>
        </w:rPr>
        <w:t>ANY AND ALL CLAIMS FOR WRONGFUL DISCHARGE OF EMPLOYMENT; BREACH OF CONTRACT, BOTH EXPRESS AND IMPLIED; BREACH OF THE COVENANT OF GOOD FAITH AND FAIR DEALING, BOTH EXPRESS AND IMPLIED; NEGLIGENT OR INTENTIONAL INFLICTION OF EMOTIONAL DISTRESS; NEGLIGENT OR INTENTIONAL MISREPRESENTATION; NEGLIGENT OR INTENTIONAL INTERFERENCE WITH CONTRACT OR PROSPECTIVE ECONOMIC ADVANTAGE; AND DEFAMATION.</w:t>
      </w:r>
    </w:p>
    <w:p>
      <w:pPr>
        <w:spacing w:after="0" w:line="189" w:lineRule="exact"/>
        <w:rPr>
          <w:rFonts w:ascii="Arial" w:cs="Arial" w:eastAsia="Arial" w:hAnsi="Arial"/>
          <w:sz w:val="22"/>
          <w:szCs w:val="22"/>
          <w:color w:val="010000"/>
        </w:rPr>
      </w:pPr>
    </w:p>
    <w:p>
      <w:pPr>
        <w:ind w:right="200" w:firstLine="1305"/>
        <w:spacing w:after="0" w:line="251" w:lineRule="auto"/>
        <w:tabs>
          <w:tab w:leader="none" w:pos="1741" w:val="left"/>
        </w:tabs>
        <w:numPr>
          <w:ilvl w:val="2"/>
          <w:numId w:val="102"/>
        </w:numPr>
        <w:rPr>
          <w:rFonts w:ascii="Arial" w:cs="Arial" w:eastAsia="Arial" w:hAnsi="Arial"/>
          <w:sz w:val="22"/>
          <w:szCs w:val="22"/>
          <w:color w:val="010000"/>
        </w:rPr>
      </w:pPr>
      <w:r>
        <w:rPr>
          <w:rFonts w:ascii="Arial" w:cs="Arial" w:eastAsia="Arial" w:hAnsi="Arial"/>
          <w:sz w:val="22"/>
          <w:szCs w:val="22"/>
          <w:color w:val="auto"/>
        </w:rPr>
        <w:t>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CALIFORNIA FAIR EMPLOYMENT AND HOUSING ACT, AND LABOR CODE SECTION 201, et seq;</w:t>
      </w:r>
    </w:p>
    <w:p>
      <w:pPr>
        <w:spacing w:after="0" w:line="189" w:lineRule="exact"/>
        <w:rPr>
          <w:rFonts w:ascii="Arial" w:cs="Arial" w:eastAsia="Arial" w:hAnsi="Arial"/>
          <w:sz w:val="22"/>
          <w:szCs w:val="22"/>
          <w:color w:val="010000"/>
        </w:rPr>
      </w:pPr>
    </w:p>
    <w:p>
      <w:pPr>
        <w:ind w:firstLine="1305"/>
        <w:spacing w:after="0" w:line="276" w:lineRule="auto"/>
        <w:tabs>
          <w:tab w:leader="none" w:pos="1800" w:val="left"/>
        </w:tabs>
        <w:numPr>
          <w:ilvl w:val="2"/>
          <w:numId w:val="102"/>
        </w:numPr>
        <w:rPr>
          <w:rFonts w:ascii="Arial" w:cs="Arial" w:eastAsia="Arial" w:hAnsi="Arial"/>
          <w:sz w:val="22"/>
          <w:szCs w:val="22"/>
          <w:color w:val="010000"/>
        </w:rPr>
      </w:pPr>
      <w:r>
        <w:rPr>
          <w:rFonts w:ascii="Arial" w:cs="Arial" w:eastAsia="Arial" w:hAnsi="Arial"/>
          <w:sz w:val="22"/>
          <w:szCs w:val="22"/>
          <w:color w:val="auto"/>
        </w:rPr>
        <w:t>ANY AND ALL CLAIMS ARISING OUT OF ANY OTHER LAWS AND REGULATIONS RELATING TO EMPLOYMENT OR EMPLOYMENT DISCRIMINATION.</w:t>
      </w:r>
    </w:p>
    <w:p>
      <w:pPr>
        <w:spacing w:after="0" w:line="160" w:lineRule="exact"/>
        <w:rPr>
          <w:rFonts w:ascii="Arial" w:cs="Arial" w:eastAsia="Arial" w:hAnsi="Arial"/>
          <w:sz w:val="22"/>
          <w:szCs w:val="22"/>
          <w:color w:val="010000"/>
        </w:rPr>
      </w:pPr>
    </w:p>
    <w:p>
      <w:pPr>
        <w:ind w:left="1100" w:hanging="444"/>
        <w:spacing w:after="0"/>
        <w:tabs>
          <w:tab w:leader="none" w:pos="1100" w:val="left"/>
        </w:tabs>
        <w:numPr>
          <w:ilvl w:val="0"/>
          <w:numId w:val="103"/>
        </w:numPr>
        <w:rPr>
          <w:rFonts w:ascii="Arial" w:cs="Arial" w:eastAsia="Arial" w:hAnsi="Arial"/>
          <w:sz w:val="22"/>
          <w:szCs w:val="22"/>
          <w:color w:val="010000"/>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220" w:firstLine="980"/>
        <w:spacing w:after="0" w:line="358" w:lineRule="auto"/>
        <w:tabs>
          <w:tab w:leader="none" w:pos="1392" w:val="left"/>
        </w:tabs>
        <w:numPr>
          <w:ilvl w:val="1"/>
          <w:numId w:val="103"/>
        </w:numPr>
        <w:rPr>
          <w:rFonts w:ascii="Arial" w:cs="Arial" w:eastAsia="Arial" w:hAnsi="Arial"/>
          <w:sz w:val="19"/>
          <w:szCs w:val="19"/>
          <w:color w:val="010000"/>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90" w:lineRule="exact"/>
        <w:rPr>
          <w:rFonts w:ascii="Arial" w:cs="Arial" w:eastAsia="Arial" w:hAnsi="Arial"/>
          <w:sz w:val="19"/>
          <w:szCs w:val="19"/>
          <w:color w:val="010000"/>
        </w:rPr>
      </w:pPr>
    </w:p>
    <w:p>
      <w:pPr>
        <w:ind w:right="40" w:firstLine="980"/>
        <w:spacing w:after="0" w:line="320" w:lineRule="auto"/>
        <w:tabs>
          <w:tab w:leader="none" w:pos="1404" w:val="left"/>
        </w:tabs>
        <w:numPr>
          <w:ilvl w:val="1"/>
          <w:numId w:val="103"/>
        </w:numPr>
        <w:rPr>
          <w:rFonts w:ascii="Arial" w:cs="Arial" w:eastAsia="Arial" w:hAnsi="Arial"/>
          <w:sz w:val="19"/>
          <w:szCs w:val="19"/>
          <w:color w:val="010000"/>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w:t>
      </w:r>
    </w:p>
    <w:p>
      <w:pPr>
        <w:sectPr>
          <w:pgSz w:w="11900" w:h="16838" w:orient="portrait"/>
          <w:cols w:equalWidth="0" w:num="1">
            <w:col w:w="11360"/>
          </w:cols>
          <w:pgMar w:left="240" w:top="631" w:right="299" w:bottom="1440" w:gutter="0" w:footer="0" w:header="0"/>
        </w:sectPr>
      </w:pPr>
    </w:p>
    <w:bookmarkStart w:id="153" w:name="page154"/>
    <w:bookmarkEnd w:id="153"/>
    <w:p>
      <w:pPr>
        <w:spacing w:after="0"/>
        <w:rPr>
          <w:sz w:val="20"/>
          <w:szCs w:val="20"/>
          <w:color w:val="auto"/>
        </w:rPr>
      </w:pPr>
      <w:r>
        <w:rPr>
          <w:rFonts w:ascii="Arial" w:cs="Arial" w:eastAsia="Arial" w:hAnsi="Arial"/>
          <w:sz w:val="21"/>
          <w:szCs w:val="21"/>
          <w:color w:val="auto"/>
        </w:rPr>
        <w:t>party will be considered a waiver of any other condition or provision or of the same condition or provision at another time.</w:t>
      </w:r>
    </w:p>
    <w:p>
      <w:pPr>
        <w:spacing w:after="0" w:line="231" w:lineRule="exact"/>
        <w:rPr>
          <w:sz w:val="20"/>
          <w:szCs w:val="20"/>
          <w:color w:val="auto"/>
        </w:rPr>
      </w:pPr>
    </w:p>
    <w:p>
      <w:pPr>
        <w:ind w:right="220" w:firstLine="980"/>
        <w:spacing w:after="0" w:line="276" w:lineRule="auto"/>
        <w:tabs>
          <w:tab w:leader="none" w:pos="1392" w:val="left"/>
        </w:tabs>
        <w:numPr>
          <w:ilvl w:val="0"/>
          <w:numId w:val="104"/>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60" w:lineRule="exact"/>
        <w:rPr>
          <w:rFonts w:ascii="Arial" w:cs="Arial" w:eastAsia="Arial" w:hAnsi="Arial"/>
          <w:sz w:val="22"/>
          <w:szCs w:val="22"/>
          <w:color w:val="010000"/>
        </w:rPr>
      </w:pPr>
    </w:p>
    <w:p>
      <w:pPr>
        <w:ind w:firstLine="980"/>
        <w:spacing w:after="0" w:line="250" w:lineRule="auto"/>
        <w:tabs>
          <w:tab w:leader="none" w:pos="1404" w:val="left"/>
        </w:tabs>
        <w:numPr>
          <w:ilvl w:val="0"/>
          <w:numId w:val="104"/>
        </w:numPr>
        <w:rPr>
          <w:rFonts w:ascii="Arial" w:cs="Arial" w:eastAsia="Arial" w:hAnsi="Arial"/>
          <w:sz w:val="22"/>
          <w:szCs w:val="22"/>
          <w:color w:val="010000"/>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of the parties hereto with respect to the subject matter described herein and supersedes in its entirety the Prior Agreement. Executive acknowledges and agrees that this Agreement encompasses all the rights of Executive to any acceleration of Award vesting or severance pay based on termination of 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w:t>
      </w:r>
    </w:p>
    <w:p>
      <w:pPr>
        <w:spacing w:after="0" w:line="188" w:lineRule="exact"/>
        <w:rPr>
          <w:rFonts w:ascii="Arial" w:cs="Arial" w:eastAsia="Arial" w:hAnsi="Arial"/>
          <w:sz w:val="22"/>
          <w:szCs w:val="22"/>
          <w:color w:val="010000"/>
        </w:rPr>
      </w:pPr>
    </w:p>
    <w:p>
      <w:pPr>
        <w:ind w:right="200" w:firstLine="980"/>
        <w:spacing w:after="0" w:line="276" w:lineRule="auto"/>
        <w:tabs>
          <w:tab w:leader="none" w:pos="1392" w:val="left"/>
        </w:tabs>
        <w:numPr>
          <w:ilvl w:val="0"/>
          <w:numId w:val="104"/>
        </w:numPr>
        <w:rPr>
          <w:rFonts w:ascii="Arial" w:cs="Arial" w:eastAsia="Arial" w:hAnsi="Arial"/>
          <w:sz w:val="22"/>
          <w:szCs w:val="22"/>
          <w:color w:val="010000"/>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will be governed by the laws of the State of California (with the exception of its conflict of laws provisions).</w:t>
      </w:r>
    </w:p>
    <w:p>
      <w:pPr>
        <w:spacing w:after="0" w:line="160" w:lineRule="exact"/>
        <w:rPr>
          <w:rFonts w:ascii="Arial" w:cs="Arial" w:eastAsia="Arial" w:hAnsi="Arial"/>
          <w:sz w:val="22"/>
          <w:szCs w:val="22"/>
          <w:color w:val="010000"/>
        </w:rPr>
      </w:pPr>
    </w:p>
    <w:p>
      <w:pPr>
        <w:ind w:right="80" w:firstLine="980"/>
        <w:spacing w:after="0" w:line="276" w:lineRule="auto"/>
        <w:tabs>
          <w:tab w:leader="none" w:pos="1368" w:val="left"/>
        </w:tabs>
        <w:numPr>
          <w:ilvl w:val="0"/>
          <w:numId w:val="104"/>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60" w:lineRule="exact"/>
        <w:rPr>
          <w:rFonts w:ascii="Arial" w:cs="Arial" w:eastAsia="Arial" w:hAnsi="Arial"/>
          <w:sz w:val="22"/>
          <w:szCs w:val="22"/>
          <w:color w:val="010000"/>
        </w:rPr>
      </w:pPr>
    </w:p>
    <w:p>
      <w:pPr>
        <w:ind w:right="200" w:firstLine="980"/>
        <w:spacing w:after="0" w:line="276" w:lineRule="auto"/>
        <w:tabs>
          <w:tab w:leader="none" w:pos="1404" w:val="left"/>
        </w:tabs>
        <w:numPr>
          <w:ilvl w:val="0"/>
          <w:numId w:val="104"/>
        </w:numPr>
        <w:rPr>
          <w:rFonts w:ascii="Arial" w:cs="Arial" w:eastAsia="Arial" w:hAnsi="Arial"/>
          <w:sz w:val="22"/>
          <w:szCs w:val="22"/>
          <w:color w:val="010000"/>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pursuant to this Agreement will be subject to withholding of applicable income and employment taxes.</w:t>
      </w:r>
    </w:p>
    <w:p>
      <w:pPr>
        <w:spacing w:after="0" w:line="160" w:lineRule="exact"/>
        <w:rPr>
          <w:rFonts w:ascii="Arial" w:cs="Arial" w:eastAsia="Arial" w:hAnsi="Arial"/>
          <w:sz w:val="22"/>
          <w:szCs w:val="22"/>
          <w:color w:val="010000"/>
        </w:rPr>
      </w:pPr>
    </w:p>
    <w:p>
      <w:pPr>
        <w:ind w:right="160" w:firstLine="980"/>
        <w:spacing w:after="0" w:line="276" w:lineRule="auto"/>
        <w:tabs>
          <w:tab w:leader="none" w:pos="1404" w:val="left"/>
        </w:tabs>
        <w:numPr>
          <w:ilvl w:val="0"/>
          <w:numId w:val="104"/>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ectPr>
          <w:pgSz w:w="11900" w:h="16838" w:orient="portrait"/>
          <w:cols w:equalWidth="0" w:num="1">
            <w:col w:w="11380"/>
          </w:cols>
          <w:pgMar w:left="240" w:top="632" w:right="279" w:bottom="1440" w:gutter="0" w:footer="0" w:header="0"/>
        </w:sectPr>
      </w:pPr>
    </w:p>
    <w:bookmarkStart w:id="154" w:name="page155"/>
    <w:bookmarkEnd w:id="154"/>
    <w:p>
      <w:pPr>
        <w:ind w:right="800" w:firstLine="648"/>
        <w:spacing w:after="0" w:line="263"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22"/>
                <w:szCs w:val="22"/>
                <w:color w:val="auto"/>
              </w:rPr>
              <w:t>COMPANY</w:t>
            </w:r>
          </w:p>
        </w:tc>
        <w:tc>
          <w:tcPr>
            <w:tcW w:w="422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22"/>
                <w:szCs w:val="22"/>
                <w:color w:val="auto"/>
              </w:rPr>
              <w:t>FORTINET, INC.</w:t>
            </w:r>
          </w:p>
        </w:tc>
      </w:tr>
      <w:tr>
        <w:trPr>
          <w:trHeight w:val="956"/>
        </w:trPr>
        <w:tc>
          <w:tcPr>
            <w:tcW w:w="3180" w:type="dxa"/>
            <w:vAlign w:val="bottom"/>
          </w:tcPr>
          <w:p>
            <w:pPr>
              <w:spacing w:after="0"/>
              <w:rPr>
                <w:sz w:val="24"/>
                <w:szCs w:val="24"/>
                <w:color w:val="auto"/>
              </w:rPr>
            </w:pPr>
          </w:p>
        </w:tc>
        <w:tc>
          <w:tcPr>
            <w:tcW w:w="4220" w:type="dxa"/>
            <w:vAlign w:val="bottom"/>
          </w:tcPr>
          <w:p>
            <w:pPr>
              <w:ind w:left="1960"/>
              <w:spacing w:after="0"/>
              <w:rPr>
                <w:sz w:val="20"/>
                <w:szCs w:val="20"/>
                <w:color w:val="auto"/>
              </w:rPr>
            </w:pPr>
            <w:r>
              <w:rPr>
                <w:rFonts w:ascii="Arial" w:cs="Arial" w:eastAsia="Arial" w:hAnsi="Arial"/>
                <w:sz w:val="22"/>
                <w:szCs w:val="22"/>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Whittle</w:t>
            </w:r>
          </w:p>
        </w:tc>
      </w:tr>
      <w:tr>
        <w:trPr>
          <w:trHeight w:val="280"/>
        </w:trPr>
        <w:tc>
          <w:tcPr>
            <w:tcW w:w="31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22"/>
                <w:szCs w:val="22"/>
                <w:color w:val="auto"/>
              </w:rPr>
              <w:t>John Whittle</w:t>
            </w:r>
          </w:p>
        </w:tc>
      </w:tr>
      <w:tr>
        <w:trPr>
          <w:trHeight w:val="635"/>
        </w:trPr>
        <w:tc>
          <w:tcPr>
            <w:tcW w:w="3180" w:type="dxa"/>
            <w:vAlign w:val="bottom"/>
          </w:tcPr>
          <w:p>
            <w:pPr>
              <w:spacing w:after="0"/>
              <w:rPr>
                <w:sz w:val="24"/>
                <w:szCs w:val="24"/>
                <w:color w:val="auto"/>
              </w:rPr>
            </w:pPr>
          </w:p>
        </w:tc>
        <w:tc>
          <w:tcPr>
            <w:tcW w:w="4220" w:type="dxa"/>
            <w:vAlign w:val="bottom"/>
          </w:tcPr>
          <w:p>
            <w:pPr>
              <w:ind w:left="1960"/>
              <w:spacing w:after="0"/>
              <w:rPr>
                <w:sz w:val="20"/>
                <w:szCs w:val="20"/>
                <w:color w:val="auto"/>
              </w:rPr>
            </w:pPr>
            <w:r>
              <w:rPr>
                <w:rFonts w:ascii="Arial" w:cs="Arial" w:eastAsia="Arial" w:hAnsi="Arial"/>
                <w:sz w:val="22"/>
                <w:szCs w:val="22"/>
                <w:color w:val="auto"/>
              </w:rPr>
              <w:t>Title:</w:t>
            </w:r>
          </w:p>
        </w:tc>
        <w:tc>
          <w:tcPr>
            <w:tcW w:w="3980" w:type="dxa"/>
            <w:vAlign w:val="bottom"/>
          </w:tcPr>
          <w:p>
            <w:pPr>
              <w:ind w:left="20"/>
              <w:spacing w:after="0"/>
              <w:rPr>
                <w:sz w:val="20"/>
                <w:szCs w:val="20"/>
                <w:color w:val="auto"/>
              </w:rPr>
            </w:pPr>
            <w:r>
              <w:rPr>
                <w:rFonts w:ascii="Arial" w:cs="Arial" w:eastAsia="Arial" w:hAnsi="Arial"/>
                <w:sz w:val="22"/>
                <w:szCs w:val="22"/>
                <w:color w:val="auto"/>
              </w:rPr>
              <w:t>Vice President, General Counsel</w:t>
            </w:r>
          </w:p>
        </w:tc>
      </w:tr>
      <w:tr>
        <w:trPr>
          <w:trHeight w:val="233"/>
        </w:trPr>
        <w:tc>
          <w:tcPr>
            <w:tcW w:w="31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r>
      <w:tr>
        <w:trPr>
          <w:trHeight w:val="608"/>
        </w:trPr>
        <w:tc>
          <w:tcPr>
            <w:tcW w:w="3180" w:type="dxa"/>
            <w:vAlign w:val="bottom"/>
          </w:tcPr>
          <w:p>
            <w:pPr>
              <w:spacing w:after="0"/>
              <w:rPr>
                <w:sz w:val="20"/>
                <w:szCs w:val="20"/>
                <w:color w:val="auto"/>
              </w:rPr>
            </w:pPr>
            <w:r>
              <w:rPr>
                <w:rFonts w:ascii="Arial" w:cs="Arial" w:eastAsia="Arial" w:hAnsi="Arial"/>
                <w:sz w:val="22"/>
                <w:szCs w:val="22"/>
                <w:color w:val="auto"/>
              </w:rPr>
              <w:t>EXECUTIVE</w:t>
            </w:r>
          </w:p>
        </w:tc>
        <w:tc>
          <w:tcPr>
            <w:tcW w:w="4220" w:type="dxa"/>
            <w:vAlign w:val="bottom"/>
          </w:tcPr>
          <w:p>
            <w:pPr>
              <w:ind w:left="1960"/>
              <w:spacing w:after="0"/>
              <w:rPr>
                <w:sz w:val="20"/>
                <w:szCs w:val="20"/>
                <w:color w:val="auto"/>
              </w:rPr>
            </w:pPr>
            <w:r>
              <w:rPr>
                <w:rFonts w:ascii="Arial" w:cs="Arial" w:eastAsia="Arial" w:hAnsi="Arial"/>
                <w:sz w:val="22"/>
                <w:szCs w:val="22"/>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Andrew Del Matto</w:t>
            </w:r>
          </w:p>
        </w:tc>
      </w:tr>
      <w:tr>
        <w:trPr>
          <w:trHeight w:val="280"/>
        </w:trPr>
        <w:tc>
          <w:tcPr>
            <w:tcW w:w="31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22"/>
                <w:szCs w:val="22"/>
                <w:color w:val="auto"/>
              </w:rPr>
              <w:t>Andrew Del Matto</w:t>
            </w:r>
          </w:p>
        </w:tc>
      </w:tr>
      <w:tr>
        <w:trPr>
          <w:trHeight w:val="635"/>
        </w:trPr>
        <w:tc>
          <w:tcPr>
            <w:tcW w:w="3180" w:type="dxa"/>
            <w:vAlign w:val="bottom"/>
          </w:tcPr>
          <w:p>
            <w:pPr>
              <w:spacing w:after="0"/>
              <w:rPr>
                <w:sz w:val="24"/>
                <w:szCs w:val="24"/>
                <w:color w:val="auto"/>
              </w:rPr>
            </w:pPr>
          </w:p>
        </w:tc>
        <w:tc>
          <w:tcPr>
            <w:tcW w:w="4220" w:type="dxa"/>
            <w:vAlign w:val="bottom"/>
          </w:tcPr>
          <w:p>
            <w:pPr>
              <w:ind w:left="1960"/>
              <w:spacing w:after="0"/>
              <w:rPr>
                <w:sz w:val="20"/>
                <w:szCs w:val="20"/>
                <w:color w:val="auto"/>
              </w:rPr>
            </w:pPr>
            <w:r>
              <w:rPr>
                <w:rFonts w:ascii="Arial" w:cs="Arial" w:eastAsia="Arial" w:hAnsi="Arial"/>
                <w:sz w:val="22"/>
                <w:szCs w:val="22"/>
                <w:color w:val="auto"/>
              </w:rPr>
              <w:t>Title:</w:t>
            </w:r>
          </w:p>
        </w:tc>
        <w:tc>
          <w:tcPr>
            <w:tcW w:w="3980" w:type="dxa"/>
            <w:vAlign w:val="bottom"/>
          </w:tcPr>
          <w:p>
            <w:pPr>
              <w:ind w:left="20"/>
              <w:spacing w:after="0"/>
              <w:rPr>
                <w:sz w:val="20"/>
                <w:szCs w:val="20"/>
                <w:color w:val="auto"/>
              </w:rPr>
            </w:pPr>
            <w:r>
              <w:rPr>
                <w:rFonts w:ascii="Arial" w:cs="Arial" w:eastAsia="Arial" w:hAnsi="Arial"/>
                <w:sz w:val="22"/>
                <w:szCs w:val="22"/>
                <w:color w:val="auto"/>
              </w:rPr>
              <w:t>Chief Financial Officer</w:t>
            </w:r>
          </w:p>
        </w:tc>
      </w:tr>
      <w:tr>
        <w:trPr>
          <w:trHeight w:val="233"/>
        </w:trPr>
        <w:tc>
          <w:tcPr>
            <w:tcW w:w="31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631"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6620" w:type="dxa"/>
            <w:vAlign w:val="bottom"/>
            <w:gridSpan w:val="3"/>
          </w:tcPr>
          <w:p>
            <w:pPr>
              <w:ind w:left="40"/>
              <w:spacing w:after="0"/>
              <w:rPr>
                <w:sz w:val="20"/>
                <w:szCs w:val="20"/>
                <w:color w:val="auto"/>
              </w:rPr>
            </w:pPr>
            <w:r>
              <w:rPr>
                <w:rFonts w:ascii="Arial" w:cs="Arial" w:eastAsia="Arial" w:hAnsi="Arial"/>
                <w:sz w:val="18"/>
                <w:szCs w:val="18"/>
                <w:b w:val="1"/>
                <w:bCs w:val="1"/>
                <w:color w:val="auto"/>
              </w:rPr>
              <w:t>FORTINET, INC. SUBSIDIARIES</w:t>
            </w:r>
          </w:p>
        </w:tc>
      </w:tr>
      <w:tr>
        <w:trPr>
          <w:trHeight w:val="378"/>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Entity</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3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156"/>
        </w:trPr>
        <w:tc>
          <w:tcPr>
            <w:tcW w:w="38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0" w:type="dxa"/>
            <w:vAlign w:val="bottom"/>
          </w:tcPr>
          <w:p>
            <w:pPr>
              <w:spacing w:after="0"/>
              <w:rPr>
                <w:sz w:val="13"/>
                <w:szCs w:val="13"/>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International,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Cayman Islands</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UK,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Technologies (Canada),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Japan K.K.</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Fortinet Information Technology (Beijing) Co.,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w w:val="95"/>
              </w:rPr>
              <w:t>Fortinet Information Technology (Tianjin) Co.,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Malaysia SDN. BHD.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Malaysia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Singapore Private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Technologies India Private Limited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S.A.R.L.</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GmbH</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Federal, Inc.</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BV</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Mexico</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Network Security Brazil Limitada</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Brazil</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Colombia S.A.S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Security Israel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Israel</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Security Korea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Korea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Meru Networks,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Meru Networks K.K.</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Meru Networks Pty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Meru Networks International, Inc.</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Innovation Centre India Limited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Meru Networks BV</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Meru Networks Sweden AB</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Sweden</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Meru Networks GMBH</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Meru Networks UK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Meru Networks Hong Kong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0920"/>
          </w:cols>
          <w:pgMar w:left="740" w:top="837"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333-205958, 333-202402, 333-163367, 333-172459, 333-175985, 333-179751, 333-186921, and 333-194281 on Form S-8 of our reports dated February 26, 2016, relating to the consolidated financial statements and financial statement schedule of Fortinet, Inc., and the effectiveness of Fortinet, Inc.'s internal control over financial reporting, appearing in this Annual Report on Form 10-K of Fortinet, Inc. for the year ended December 31, 2015.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580"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Annual Report on Form 10-K of Fortinet, Inc. for the fiscal year ended December 31, 2015 fully complies with the requirements of Section 13(a) or 15(d) of the Securities Exchange Act of 1934, as amended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40"/>
              <w:spacing w:after="0"/>
              <w:rPr>
                <w:sz w:val="20"/>
                <w:szCs w:val="20"/>
                <w:color w:val="auto"/>
              </w:rPr>
            </w:pPr>
            <w:r>
              <w:rPr>
                <w:rFonts w:ascii="Arial" w:cs="Arial" w:eastAsia="Arial" w:hAnsi="Arial"/>
                <w:sz w:val="18"/>
                <w:szCs w:val="18"/>
                <w:color w:val="auto"/>
              </w:rPr>
              <w:t>February 26, 2016</w:t>
            </w: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 Andrew Del Matto, certify, pursuant to 18 U.S.C. Section 1350, as adopted pursuant to Section 906 of the Sarbanes-Oxley Act of 2002, that the Annual Report on Form 10-K of Fortinet, Inc. for the fiscal year ended December 31, 2015 fully complies with the requirements of Section 13(a) or 15(d) of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Andrew Del Matto</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40"/>
              <w:spacing w:after="0"/>
              <w:rPr>
                <w:sz w:val="20"/>
                <w:szCs w:val="20"/>
                <w:color w:val="auto"/>
              </w:rPr>
            </w:pPr>
            <w:r>
              <w:rPr>
                <w:rFonts w:ascii="Arial" w:cs="Arial" w:eastAsia="Arial" w:hAnsi="Arial"/>
                <w:sz w:val="18"/>
                <w:szCs w:val="18"/>
                <w:color w:val="auto"/>
              </w:rPr>
              <w:t>February 26, 2016</w:t>
            </w: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Andrew Del Matto</w:t>
            </w:r>
          </w:p>
        </w:tc>
      </w:tr>
      <w:tr>
        <w:trPr>
          <w:trHeight w:val="256"/>
        </w:trPr>
        <w:tc>
          <w:tcPr>
            <w:tcW w:w="5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x"/>
      <w:numFmt w:val="bullet"/>
      <w:start w:val="1"/>
    </w:lvl>
  </w:abstractNum>
  <w:abstractNum w:abstractNumId="1">
    <w:nsid w:val="374A3FE6"/>
    <w:multiLevelType w:val="hybridMultilevel"/>
    <w:lvl w:ilvl="0">
      <w:lvlJc w:val="left"/>
      <w:lvlText w:val="o"/>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1)"/>
      <w:numFmt w:val="decimal"/>
      <w:start w:val="1"/>
    </w:lvl>
  </w:abstractNum>
  <w:abstractNum w:abstractNumId="25">
    <w:nsid w:val="1DBABF00"/>
    <w:multiLevelType w:val="hybridMultilevel"/>
    <w:lvl w:ilvl="0">
      <w:lvlJc w:val="left"/>
      <w:lvlText w:val="(%1)"/>
      <w:numFmt w:val="decimal"/>
      <w:start w:val="2"/>
    </w:lvl>
  </w:abstractNum>
  <w:abstractNum w:abstractNumId="26">
    <w:nsid w:val="4AD084E9"/>
    <w:multiLevelType w:val="hybridMultilevel"/>
    <w:lvl w:ilvl="0">
      <w:lvlJc w:val="left"/>
      <w:lvlText w:val="(%1)"/>
      <w:numFmt w:val="decimal"/>
      <w:start w:val="1"/>
    </w:lvl>
  </w:abstractNum>
  <w:abstractNum w:abstractNumId="27">
    <w:nsid w:val="1F48EAA1"/>
    <w:multiLevelType w:val="hybridMultilevel"/>
    <w:lvl w:ilvl="0">
      <w:lvlJc w:val="left"/>
      <w:lvlText w:val="%1."/>
      <w:numFmt w:val="decimal"/>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1)"/>
      <w:numFmt w:val="decimal"/>
      <w:start w:val="1"/>
    </w:lvl>
  </w:abstractNum>
  <w:abstractNum w:abstractNumId="30">
    <w:nsid w:val="100F8FCA"/>
    <w:multiLevelType w:val="hybridMultilevel"/>
    <w:lvl w:ilvl="0">
      <w:lvlJc w:val="left"/>
      <w:lvlText w:val="%1."/>
      <w:numFmt w:val="decimal"/>
      <w:start w:val="1"/>
    </w:lvl>
  </w:abstractNum>
  <w:abstractNum w:abstractNumId="31">
    <w:nsid w:val="6590700B"/>
    <w:multiLevelType w:val="hybridMultilevel"/>
    <w:lvl w:ilvl="0">
      <w:lvlJc w:val="left"/>
      <w:lvlText w:val="%1."/>
      <w:numFmt w:val="decimal"/>
      <w:start w:val="3"/>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1."/>
      <w:numFmt w:val="decimal"/>
      <w:start w:val="1"/>
    </w:lvl>
  </w:abstractNum>
  <w:abstractNum w:abstractNumId="34">
    <w:nsid w:val="98A3148"/>
    <w:multiLevelType w:val="hybridMultilevel"/>
    <w:lvl w:ilvl="0">
      <w:lvlJc w:val="left"/>
      <w:lvlText w:val="%1."/>
      <w:numFmt w:val="decimal"/>
      <w:start w:val="1"/>
    </w:lvl>
  </w:abstractNum>
  <w:abstractNum w:abstractNumId="35">
    <w:nsid w:val="799D024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6">
    <w:nsid w:val="6B94764"/>
    <w:multiLevelType w:val="hybridMultilevel"/>
    <w:lvl w:ilvl="0">
      <w:lvlJc w:val="left"/>
      <w:lvlText w:val="%1"/>
      <w:numFmt w:val="lowerLetter"/>
      <w:start w:val="1"/>
    </w:lvl>
    <w:lvl w:ilvl="1">
      <w:lvlJc w:val="left"/>
      <w:lvlText w:val="(%2)"/>
      <w:numFmt w:val="lowerLetter"/>
      <w:start w:val="61"/>
    </w:lvl>
  </w:abstractNum>
  <w:abstractNum w:abstractNumId="37">
    <w:nsid w:val="42C296BD"/>
    <w:multiLevelType w:val="hybridMultilevel"/>
    <w:lvl w:ilvl="0">
      <w:lvlJc w:val="left"/>
      <w:lvlText w:val="(%1)"/>
      <w:numFmt w:val="lowerLetter"/>
      <w:start w:val="3"/>
    </w:lvl>
    <w:lvl w:ilvl="1">
      <w:lvlJc w:val="left"/>
      <w:lvlText w:val="%2"/>
      <w:numFmt w:val="lowerLetter"/>
      <w:start w:val="1"/>
    </w:lvl>
  </w:abstractNum>
  <w:abstractNum w:abstractNumId="38">
    <w:nsid w:val="168E121F"/>
    <w:multiLevelType w:val="hybridMultilevel"/>
    <w:lvl w:ilvl="0">
      <w:lvlJc w:val="left"/>
      <w:lvlText w:val="%1"/>
      <w:numFmt w:val="lowerLetter"/>
      <w:start w:val="1"/>
    </w:lvl>
    <w:lvl w:ilvl="1">
      <w:lvlJc w:val="left"/>
      <w:lvlText w:val="(%2)"/>
      <w:numFmt w:val="lowerLetter"/>
      <w:start w:val="5"/>
    </w:lvl>
  </w:abstractNum>
  <w:abstractNum w:abstractNumId="39">
    <w:nsid w:val="1EBA5D23"/>
    <w:multiLevelType w:val="hybridMultilevel"/>
    <w:lvl w:ilvl="0">
      <w:lvlJc w:val="left"/>
      <w:lvlText w:val="(%1)"/>
      <w:numFmt w:val="lowerLetter"/>
      <w:start w:val="35"/>
    </w:lvl>
    <w:lvl w:ilvl="1">
      <w:lvlJc w:val="left"/>
      <w:lvlText w:val="(%2)"/>
      <w:numFmt w:val="lowerLetter"/>
      <w:start w:val="7"/>
    </w:lvl>
  </w:abstractNum>
  <w:abstractNum w:abstractNumId="40">
    <w:nsid w:val="661E3F1E"/>
    <w:multiLevelType w:val="hybridMultilevel"/>
    <w:lvl w:ilvl="0">
      <w:lvlJc w:val="left"/>
      <w:lvlText w:val="%1."/>
      <w:numFmt w:val="decimal"/>
      <w:start w:val="4"/>
    </w:lvl>
    <w:lvl w:ilvl="1">
      <w:lvlJc w:val="left"/>
      <w:lvlText w:val="(%2)"/>
      <w:numFmt w:val="lowerLetter"/>
      <w:start w:val="1"/>
    </w:lvl>
  </w:abstractNum>
  <w:abstractNum w:abstractNumId="41">
    <w:nsid w:val="5DC79EA8"/>
    <w:multiLevelType w:val="hybridMultilevel"/>
    <w:lvl w:ilvl="0">
      <w:lvlJc w:val="left"/>
      <w:lvlText w:val="%1."/>
      <w:numFmt w:val="decimal"/>
      <w:start w:val="5"/>
    </w:lvl>
    <w:lvl w:ilvl="1">
      <w:lvlJc w:val="left"/>
      <w:lvlText w:val="(%2)"/>
      <w:numFmt w:val="lowerLetter"/>
      <w:start w:val="1"/>
    </w:lvl>
  </w:abstractNum>
  <w:abstractNum w:abstractNumId="42">
    <w:nsid w:val="540A471C"/>
    <w:multiLevelType w:val="hybridMultilevel"/>
    <w:lvl w:ilvl="0">
      <w:lvlJc w:val="left"/>
      <w:lvlText w:val="(%1)"/>
      <w:numFmt w:val="lowerLetter"/>
      <w:start w:val="3"/>
    </w:lvl>
    <w:lvl w:ilvl="1">
      <w:lvlJc w:val="left"/>
      <w:lvlText w:val="(%2)"/>
      <w:numFmt w:val="lowerRoman"/>
      <w:start w:val="1"/>
    </w:lvl>
  </w:abstractNum>
  <w:abstractNum w:abstractNumId="43">
    <w:nsid w:val="7BD3EE7B"/>
    <w:multiLevelType w:val="hybridMultilevel"/>
    <w:lvl w:ilvl="0">
      <w:lvlJc w:val="left"/>
      <w:lvlText w:val="%1"/>
      <w:numFmt w:val="decimal"/>
      <w:start w:val="1"/>
    </w:lvl>
    <w:lvl w:ilvl="1">
      <w:lvlJc w:val="left"/>
      <w:lvlText w:val="(%2)"/>
      <w:numFmt w:val="lowerLetter"/>
      <w:start w:val="4"/>
    </w:lvl>
  </w:abstractNum>
  <w:abstractNum w:abstractNumId="44">
    <w:nsid w:val="51D9C564"/>
    <w:multiLevelType w:val="hybridMultilevel"/>
    <w:lvl w:ilvl="0">
      <w:lvlJc w:val="left"/>
      <w:lvlText w:val="%1."/>
      <w:numFmt w:val="decimal"/>
      <w:start w:val="6"/>
    </w:lvl>
    <w:lvl w:ilvl="1">
      <w:lvlJc w:val="left"/>
      <w:lvlText w:val="%2"/>
      <w:numFmt w:val="lowerLetter"/>
      <w:start w:val="1"/>
    </w:lvl>
  </w:abstractNum>
  <w:abstractNum w:abstractNumId="45">
    <w:nsid w:val="613EFDC5"/>
    <w:multiLevelType w:val="hybridMultilevel"/>
    <w:lvl w:ilvl="0">
      <w:lvlJc w:val="left"/>
      <w:lvlText w:val="%1"/>
      <w:numFmt w:val="decimal"/>
      <w:start w:val="1"/>
    </w:lvl>
    <w:lvl w:ilvl="1">
      <w:lvlJc w:val="left"/>
      <w:lvlText w:val="(%2)"/>
      <w:numFmt w:val="lowerLetter"/>
      <w:start w:val="1"/>
    </w:lvl>
  </w:abstractNum>
  <w:abstractNum w:abstractNumId="46">
    <w:nsid w:val="BF72B14"/>
    <w:multiLevelType w:val="hybridMultilevel"/>
    <w:lvl w:ilvl="0">
      <w:lvlJc w:val="left"/>
      <w:lvlText w:val="%1."/>
      <w:numFmt w:val="decimal"/>
      <w:start w:val="7"/>
    </w:lvl>
    <w:lvl w:ilvl="1">
      <w:lvlJc w:val="left"/>
      <w:lvlText w:val="(%2)"/>
      <w:numFmt w:val="lowerLetter"/>
      <w:start w:val="1"/>
    </w:lvl>
  </w:abstractNum>
  <w:abstractNum w:abstractNumId="47">
    <w:nsid w:val="11447B73"/>
    <w:multiLevelType w:val="hybridMultilevel"/>
    <w:lvl w:ilvl="0">
      <w:lvlJc w:val="left"/>
      <w:lvlText w:val="(%1)"/>
      <w:numFmt w:val="lowerLetter"/>
      <w:start w:val="2"/>
    </w:lvl>
    <w:lvl w:ilvl="1">
      <w:lvlJc w:val="left"/>
      <w:lvlText w:val="(%2)"/>
      <w:numFmt w:val="lowerRoman"/>
      <w:start w:val="1"/>
    </w:lvl>
  </w:abstractNum>
  <w:abstractNum w:abstractNumId="48">
    <w:nsid w:val="42963E5A"/>
    <w:multiLevelType w:val="hybridMultilevel"/>
    <w:lvl w:ilvl="0">
      <w:lvlJc w:val="left"/>
      <w:lvlText w:val="%1."/>
      <w:numFmt w:val="decimal"/>
      <w:start w:val="10"/>
    </w:lvl>
    <w:lvl w:ilvl="1">
      <w:lvlJc w:val="left"/>
      <w:lvlText w:val="(%2)"/>
      <w:numFmt w:val="lowerLetter"/>
      <w:start w:val="1"/>
    </w:lvl>
  </w:abstractNum>
  <w:abstractNum w:abstractNumId="49">
    <w:nsid w:val="A0382C5"/>
    <w:multiLevelType w:val="hybridMultilevel"/>
    <w:lvl w:ilvl="0">
      <w:lvlJc w:val="left"/>
      <w:lvlText w:val="%1."/>
      <w:numFmt w:val="decimal"/>
      <w:start w:val="1"/>
    </w:lvl>
  </w:abstractNum>
  <w:abstractNum w:abstractNumId="50">
    <w:nsid w:val="8F2B15E"/>
    <w:multiLevelType w:val="hybridMultilevel"/>
    <w:lvl w:ilvl="0">
      <w:lvlJc w:val="left"/>
      <w:lvlText w:val="%1."/>
      <w:numFmt w:val="decimal"/>
      <w:start w:val="1"/>
    </w:lvl>
  </w:abstractNum>
  <w:abstractNum w:abstractNumId="51">
    <w:nsid w:val="1A32234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2">
    <w:nsid w:val="3B0FD379"/>
    <w:multiLevelType w:val="hybridMultilevel"/>
    <w:lvl w:ilvl="0">
      <w:lvlJc w:val="left"/>
      <w:lvlText w:val="(%1)"/>
      <w:numFmt w:val="lowerLetter"/>
      <w:start w:val="4"/>
    </w:lvl>
  </w:abstractNum>
  <w:abstractNum w:abstractNumId="53">
    <w:nsid w:val="68EB2F63"/>
    <w:multiLevelType w:val="hybridMultilevel"/>
    <w:lvl w:ilvl="0">
      <w:lvlJc w:val="left"/>
      <w:lvlText w:val="(%1)"/>
      <w:numFmt w:val="lowerLetter"/>
      <w:start w:val="5"/>
    </w:lvl>
  </w:abstractNum>
  <w:abstractNum w:abstractNumId="54">
    <w:nsid w:val="4962813B"/>
    <w:multiLevelType w:val="hybridMultilevel"/>
    <w:lvl w:ilvl="0">
      <w:lvlJc w:val="left"/>
      <w:lvlText w:val="%1"/>
      <w:numFmt w:val="lowerLetter"/>
      <w:start w:val="1"/>
    </w:lvl>
    <w:lvl w:ilvl="1">
      <w:lvlJc w:val="left"/>
      <w:lvlText w:val="(%2)"/>
      <w:numFmt w:val="lowerLetter"/>
      <w:start w:val="6"/>
    </w:lvl>
  </w:abstractNum>
  <w:abstractNum w:abstractNumId="55">
    <w:nsid w:val="60B6DF70"/>
    <w:multiLevelType w:val="hybridMultilevel"/>
    <w:lvl w:ilvl="0">
      <w:lvlJc w:val="left"/>
      <w:lvlText w:val="(%1)"/>
      <w:numFmt w:val="lowerLetter"/>
      <w:start w:val="35"/>
    </w:lvl>
    <w:lvl w:ilvl="1">
      <w:lvlJc w:val="left"/>
      <w:lvlText w:val="(%2)"/>
      <w:numFmt w:val="lowerLetter"/>
      <w:start w:val="7"/>
    </w:lvl>
  </w:abstractNum>
  <w:abstractNum w:abstractNumId="56">
    <w:nsid w:val="6A5EE64"/>
    <w:multiLevelType w:val="hybridMultilevel"/>
    <w:lvl w:ilvl="0">
      <w:lvlJc w:val="left"/>
      <w:lvlText w:val="%1."/>
      <w:numFmt w:val="decimal"/>
      <w:start w:val="4"/>
    </w:lvl>
    <w:lvl w:ilvl="1">
      <w:lvlJc w:val="left"/>
      <w:lvlText w:val="(%2)"/>
      <w:numFmt w:val="lowerLetter"/>
      <w:start w:val="1"/>
    </w:lvl>
  </w:abstractNum>
  <w:abstractNum w:abstractNumId="57">
    <w:nsid w:val="1433062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58">
    <w:nsid w:val="7FFFCA11"/>
    <w:multiLevelType w:val="hybridMultilevel"/>
    <w:lvl w:ilvl="0">
      <w:lvlJc w:val="left"/>
      <w:lvlText w:val="(%1)"/>
      <w:numFmt w:val="lowerRoman"/>
      <w:start w:val="2"/>
    </w:lvl>
  </w:abstractNum>
  <w:abstractNum w:abstractNumId="59">
    <w:nsid w:val="1A27709E"/>
    <w:multiLevelType w:val="hybridMultilevel"/>
    <w:lvl w:ilvl="0">
      <w:lvlJc w:val="left"/>
      <w:lvlText w:val="(%1)"/>
      <w:numFmt w:val="lowerLetter"/>
      <w:start w:val="4"/>
    </w:lvl>
  </w:abstractNum>
  <w:abstractNum w:abstractNumId="60">
    <w:nsid w:val="71EA1109"/>
    <w:multiLevelType w:val="hybridMultilevel"/>
    <w:lvl w:ilvl="0">
      <w:lvlJc w:val="left"/>
      <w:lvlText w:val="%1"/>
      <w:numFmt w:val="decimal"/>
      <w:start w:val="1"/>
    </w:lvl>
    <w:lvl w:ilvl="1">
      <w:lvlJc w:val="left"/>
      <w:lvlText w:val="(%2)"/>
      <w:numFmt w:val="lowerLetter"/>
      <w:start w:val="5"/>
    </w:lvl>
  </w:abstractNum>
  <w:abstractNum w:abstractNumId="61">
    <w:nsid w:val="100F59DC"/>
    <w:multiLevelType w:val="hybridMultilevel"/>
    <w:lvl w:ilvl="0">
      <w:lvlJc w:val="left"/>
      <w:lvlText w:val="%1."/>
      <w:numFmt w:val="decimal"/>
      <w:start w:val="6"/>
    </w:lvl>
    <w:lvl w:ilvl="1">
      <w:lvlJc w:val="left"/>
      <w:lvlText w:val="(%2)"/>
      <w:numFmt w:val="lowerLetter"/>
      <w:start w:val="1"/>
    </w:lvl>
  </w:abstractNum>
  <w:abstractNum w:abstractNumId="62">
    <w:nsid w:val="7FB7E0AA"/>
    <w:multiLevelType w:val="hybridMultilevel"/>
    <w:lvl w:ilvl="0">
      <w:lvlJc w:val="left"/>
      <w:lvlText w:val="%1"/>
      <w:numFmt w:val="decimal"/>
      <w:start w:val="1"/>
    </w:lvl>
    <w:lvl w:ilvl="1">
      <w:lvlJc w:val="left"/>
      <w:lvlText w:val="(%2)"/>
      <w:numFmt w:val="lowerLetter"/>
      <w:start w:val="2"/>
    </w:lvl>
  </w:abstractNum>
  <w:abstractNum w:abstractNumId="63">
    <w:nsid w:val="6EB5BD4"/>
    <w:multiLevelType w:val="hybridMultilevel"/>
    <w:lvl w:ilvl="0">
      <w:lvlJc w:val="left"/>
      <w:lvlText w:val="%1."/>
      <w:numFmt w:val="decimal"/>
      <w:start w:val="7"/>
    </w:lvl>
    <w:lvl w:ilvl="1">
      <w:lvlJc w:val="left"/>
      <w:lvlText w:val="(%2)"/>
      <w:numFmt w:val="lowerLetter"/>
      <w:start w:val="1"/>
    </w:lvl>
  </w:abstractNum>
  <w:abstractNum w:abstractNumId="64">
    <w:nsid w:val="6F6DD9A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5">
    <w:nsid w:val="94211F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6">
    <w:nsid w:val="885E1B"/>
    <w:multiLevelType w:val="hybridMultilevel"/>
    <w:lvl w:ilvl="0">
      <w:lvlJc w:val="left"/>
      <w:lvlText w:val="(%1)"/>
      <w:numFmt w:val="lowerLetter"/>
      <w:start w:val="3"/>
    </w:lvl>
  </w:abstractNum>
  <w:abstractNum w:abstractNumId="67">
    <w:nsid w:val="76272110"/>
    <w:multiLevelType w:val="hybridMultilevel"/>
    <w:lvl w:ilvl="0">
      <w:lvlJc w:val="left"/>
      <w:lvlText w:val="%1."/>
      <w:numFmt w:val="decimal"/>
      <w:start w:val="1"/>
    </w:lvl>
  </w:abstractNum>
  <w:abstractNum w:abstractNumId="68">
    <w:nsid w:val="4C04A8AF"/>
    <w:multiLevelType w:val="hybridMultilevel"/>
    <w:lvl w:ilvl="0">
      <w:lvlJc w:val="left"/>
      <w:lvlText w:val="%1."/>
      <w:numFmt w:val="decimal"/>
      <w:start w:val="1"/>
    </w:lvl>
  </w:abstractNum>
  <w:abstractNum w:abstractNumId="69">
    <w:nsid w:val="1716703B"/>
    <w:multiLevelType w:val="hybridMultilevel"/>
    <w:lvl w:ilvl="0">
      <w:lvlJc w:val="left"/>
      <w:lvlText w:val="%1."/>
      <w:numFmt w:val="decimal"/>
      <w:start w:val="3"/>
    </w:lvl>
    <w:lvl w:ilvl="1">
      <w:lvlJc w:val="left"/>
      <w:lvlText w:val="(%2)"/>
      <w:numFmt w:val="lowerLetter"/>
      <w:start w:val="1"/>
    </w:lvl>
  </w:abstractNum>
  <w:abstractNum w:abstractNumId="70">
    <w:nsid w:val="14E17E33"/>
    <w:multiLevelType w:val="hybridMultilevel"/>
    <w:lvl w:ilvl="0">
      <w:lvlJc w:val="left"/>
      <w:lvlText w:val="(%1)"/>
      <w:numFmt w:val="lowerRoman"/>
      <w:start w:val="1"/>
    </w:lvl>
  </w:abstractNum>
  <w:abstractNum w:abstractNumId="71">
    <w:nsid w:val="3222E7CD"/>
    <w:multiLevelType w:val="hybridMultilevel"/>
    <w:lvl w:ilvl="0">
      <w:lvlJc w:val="left"/>
      <w:lvlText w:val="(%1)"/>
      <w:numFmt w:val="lowerLetter"/>
      <w:start w:val="2"/>
    </w:lvl>
  </w:abstractNum>
  <w:abstractNum w:abstractNumId="72">
    <w:nsid w:val="74DE0EE3"/>
    <w:multiLevelType w:val="hybridMultilevel"/>
    <w:lvl w:ilvl="0">
      <w:lvlJc w:val="left"/>
      <w:lvlText w:val="(%1)"/>
      <w:numFmt w:val="lowerRoman"/>
      <w:start w:val="1"/>
    </w:lvl>
  </w:abstractNum>
  <w:abstractNum w:abstractNumId="73">
    <w:nsid w:val="68EBC550"/>
    <w:multiLevelType w:val="hybridMultilevel"/>
    <w:lvl w:ilvl="0">
      <w:lvlJc w:val="left"/>
      <w:lvlText w:val="(%1)"/>
      <w:numFmt w:val="lowerLetter"/>
      <w:start w:val="3"/>
    </w:lvl>
  </w:abstractNum>
  <w:abstractNum w:abstractNumId="74">
    <w:nsid w:val="2DF6D648"/>
    <w:multiLevelType w:val="hybridMultilevel"/>
    <w:lvl w:ilvl="0">
      <w:lvlJc w:val="left"/>
      <w:lvlText w:val="(%1)"/>
      <w:numFmt w:val="lowerLetter"/>
      <w:start w:val="5"/>
    </w:lvl>
  </w:abstractNum>
  <w:abstractNum w:abstractNumId="75">
    <w:nsid w:val="46B7D447"/>
    <w:multiLevelType w:val="hybridMultilevel"/>
    <w:lvl w:ilvl="0">
      <w:lvlJc w:val="left"/>
      <w:lvlText w:val="%1"/>
      <w:numFmt w:val="lowerLetter"/>
      <w:start w:val="1"/>
    </w:lvl>
    <w:lvl w:ilvl="1">
      <w:lvlJc w:val="left"/>
      <w:lvlText w:val="(%2)"/>
      <w:numFmt w:val="lowerLetter"/>
      <w:start w:val="6"/>
    </w:lvl>
  </w:abstractNum>
  <w:abstractNum w:abstractNumId="76">
    <w:nsid w:val="4A2AC315"/>
    <w:multiLevelType w:val="hybridMultilevel"/>
    <w:lvl w:ilvl="0">
      <w:lvlJc w:val="left"/>
      <w:lvlText w:val="(%1)"/>
      <w:numFmt w:val="lowerLetter"/>
      <w:start w:val="35"/>
    </w:lvl>
    <w:lvl w:ilvl="1">
      <w:lvlJc w:val="left"/>
      <w:lvlText w:val="(%2)"/>
      <w:numFmt w:val="lowerLetter"/>
      <w:start w:val="8"/>
    </w:lvl>
  </w:abstractNum>
  <w:abstractNum w:abstractNumId="77">
    <w:nsid w:val="39EE015C"/>
    <w:multiLevelType w:val="hybridMultilevel"/>
    <w:lvl w:ilvl="0">
      <w:lvlJc w:val="left"/>
      <w:lvlText w:val="%1."/>
      <w:numFmt w:val="decimal"/>
      <w:start w:val="4"/>
    </w:lvl>
    <w:lvl w:ilvl="1">
      <w:lvlJc w:val="left"/>
      <w:lvlText w:val="(%2)"/>
      <w:numFmt w:val="lowerLetter"/>
      <w:start w:val="1"/>
    </w:lvl>
  </w:abstractNum>
  <w:abstractNum w:abstractNumId="78">
    <w:nsid w:val="57FC4FBB"/>
    <w:multiLevelType w:val="hybridMultilevel"/>
    <w:lvl w:ilvl="0">
      <w:lvlJc w:val="left"/>
      <w:lvlText w:val="%1."/>
      <w:numFmt w:val="decimal"/>
      <w:start w:val="5"/>
    </w:lvl>
    <w:lvl w:ilvl="1">
      <w:lvlJc w:val="left"/>
      <w:lvlText w:val="(%2)"/>
      <w:numFmt w:val="lowerLetter"/>
      <w:start w:val="1"/>
    </w:lvl>
  </w:abstractNum>
  <w:abstractNum w:abstractNumId="79">
    <w:nsid w:val="CC1016F"/>
    <w:multiLevelType w:val="hybridMultilevel"/>
    <w:lvl w:ilvl="0">
      <w:lvlJc w:val="left"/>
      <w:lvlText w:val="(%1)"/>
      <w:numFmt w:val="lowerLetter"/>
      <w:start w:val="3"/>
    </w:lvl>
    <w:lvl w:ilvl="1">
      <w:lvlJc w:val="left"/>
      <w:lvlText w:val="(%2)"/>
      <w:numFmt w:val="lowerRoman"/>
      <w:start w:val="1"/>
    </w:lvl>
  </w:abstractNum>
  <w:abstractNum w:abstractNumId="80">
    <w:nsid w:val="43F18422"/>
    <w:multiLevelType w:val="hybridMultilevel"/>
    <w:lvl w:ilvl="0">
      <w:lvlJc w:val="left"/>
      <w:lvlText w:val="%1"/>
      <w:numFmt w:val="decimal"/>
      <w:start w:val="1"/>
    </w:lvl>
    <w:lvl w:ilvl="1">
      <w:lvlJc w:val="left"/>
      <w:lvlText w:val="(%2)"/>
      <w:numFmt w:val="lowerLetter"/>
      <w:start w:val="4"/>
    </w:lvl>
  </w:abstractNum>
  <w:abstractNum w:abstractNumId="81">
    <w:nsid w:val="60EF0119"/>
    <w:multiLevelType w:val="hybridMultilevel"/>
    <w:lvl w:ilvl="0">
      <w:lvlJc w:val="left"/>
      <w:lvlText w:val="%1."/>
      <w:numFmt w:val="decimal"/>
      <w:start w:val="6"/>
    </w:lvl>
    <w:lvl w:ilvl="1">
      <w:lvlJc w:val="left"/>
      <w:lvlText w:val="%2"/>
      <w:numFmt w:val="lowerLetter"/>
      <w:start w:val="1"/>
    </w:lvl>
  </w:abstractNum>
  <w:abstractNum w:abstractNumId="82">
    <w:nsid w:val="26F324BA"/>
    <w:multiLevelType w:val="hybridMultilevel"/>
    <w:lvl w:ilvl="0">
      <w:lvlJc w:val="left"/>
      <w:lvlText w:val="%1"/>
      <w:numFmt w:val="decimal"/>
      <w:start w:val="1"/>
    </w:lvl>
    <w:lvl w:ilvl="1">
      <w:lvlJc w:val="left"/>
      <w:lvlText w:val="(%2)"/>
      <w:numFmt w:val="lowerLetter"/>
      <w:start w:val="1"/>
    </w:lvl>
  </w:abstractNum>
  <w:abstractNum w:abstractNumId="83">
    <w:nsid w:val="7F01579B"/>
    <w:multiLevelType w:val="hybridMultilevel"/>
    <w:lvl w:ilvl="0">
      <w:lvlJc w:val="left"/>
      <w:lvlText w:val="%1."/>
      <w:numFmt w:val="decimal"/>
      <w:start w:val="7"/>
    </w:lvl>
    <w:lvl w:ilvl="1">
      <w:lvlJc w:val="left"/>
      <w:lvlText w:val="(%2)"/>
      <w:numFmt w:val="lowerLetter"/>
      <w:start w:val="1"/>
    </w:lvl>
  </w:abstractNum>
  <w:abstractNum w:abstractNumId="84">
    <w:nsid w:val="49DA307D"/>
    <w:multiLevelType w:val="hybridMultilevel"/>
    <w:lvl w:ilvl="0">
      <w:lvlJc w:val="left"/>
      <w:lvlText w:val="(%1)"/>
      <w:numFmt w:val="lowerLetter"/>
      <w:start w:val="2"/>
    </w:lvl>
    <w:lvl w:ilvl="1">
      <w:lvlJc w:val="left"/>
      <w:lvlText w:val="(%2)"/>
      <w:numFmt w:val="lowerRoman"/>
      <w:start w:val="1"/>
    </w:lvl>
  </w:abstractNum>
  <w:abstractNum w:abstractNumId="85">
    <w:nsid w:val="7055A5F5"/>
    <w:multiLevelType w:val="hybridMultilevel"/>
    <w:lvl w:ilvl="0">
      <w:lvlJc w:val="left"/>
      <w:lvlText w:val="%1."/>
      <w:numFmt w:val="decimal"/>
      <w:start w:val="10"/>
    </w:lvl>
    <w:lvl w:ilvl="1">
      <w:lvlJc w:val="left"/>
      <w:lvlText w:val="(%2)"/>
      <w:numFmt w:val="lowerLetter"/>
      <w:start w:val="1"/>
    </w:lvl>
  </w:abstractNum>
  <w:abstractNum w:abstractNumId="86">
    <w:nsid w:val="5FB8370B"/>
    <w:multiLevelType w:val="hybridMultilevel"/>
    <w:lvl w:ilvl="0">
      <w:lvlJc w:val="left"/>
      <w:lvlText w:val="%1."/>
      <w:numFmt w:val="decimal"/>
      <w:start w:val="1"/>
    </w:lvl>
  </w:abstractNum>
  <w:abstractNum w:abstractNumId="87">
    <w:nsid w:val="50801EE1"/>
    <w:multiLevelType w:val="hybridMultilevel"/>
    <w:lvl w:ilvl="0">
      <w:lvlJc w:val="left"/>
      <w:lvlText w:val="%1."/>
      <w:numFmt w:val="decimal"/>
      <w:start w:val="1"/>
    </w:lvl>
  </w:abstractNum>
  <w:abstractNum w:abstractNumId="88">
    <w:nsid w:val="488AC1A"/>
    <w:multiLevelType w:val="hybridMultilevel"/>
    <w:lvl w:ilvl="0">
      <w:lvlJc w:val="left"/>
      <w:lvlText w:val="%1."/>
      <w:numFmt w:val="decimal"/>
      <w:start w:val="3"/>
    </w:lvl>
  </w:abstractNum>
  <w:abstractNum w:abstractNumId="89">
    <w:nsid w:val="5FB8011C"/>
    <w:multiLevelType w:val="hybridMultilevel"/>
    <w:lvl w:ilvl="0">
      <w:lvlJc w:val="left"/>
      <w:lvlText w:val="(%1)"/>
      <w:numFmt w:val="lowerRoman"/>
      <w:start w:val="1"/>
    </w:lvl>
  </w:abstractNum>
  <w:abstractNum w:abstractNumId="90">
    <w:nsid w:val="6AA78F7F"/>
    <w:multiLevelType w:val="hybridMultilevel"/>
    <w:lvl w:ilvl="0">
      <w:lvlJc w:val="left"/>
      <w:lvlText w:val="(%1)"/>
      <w:numFmt w:val="lowerRoman"/>
      <w:start w:val="1"/>
    </w:lvl>
  </w:abstractNum>
  <w:abstractNum w:abstractNumId="91">
    <w:nsid w:val="7672BD23"/>
    <w:multiLevelType w:val="hybridMultilevel"/>
    <w:lvl w:ilvl="0">
      <w:lvlJc w:val="left"/>
      <w:lvlText w:val="(%1)"/>
      <w:numFmt w:val="lowerRoman"/>
      <w:start w:val="3"/>
    </w:lvl>
  </w:abstractNum>
  <w:abstractNum w:abstractNumId="92">
    <w:nsid w:val="6FC75AF8"/>
    <w:multiLevelType w:val="hybridMultilevel"/>
    <w:lvl w:ilvl="0">
      <w:lvlJc w:val="left"/>
      <w:lvlText w:val="(%1)"/>
      <w:numFmt w:val="lowerRoman"/>
      <w:start w:val="4"/>
    </w:lvl>
  </w:abstractNum>
  <w:abstractNum w:abstractNumId="93">
    <w:nsid w:val="6A5F7029"/>
    <w:multiLevelType w:val="hybridMultilevel"/>
    <w:lvl w:ilvl="0">
      <w:lvlJc w:val="left"/>
      <w:lvlText w:val="%1."/>
      <w:numFmt w:val="decimal"/>
      <w:start w:val="4"/>
    </w:lvl>
  </w:abstractNum>
  <w:abstractNum w:abstractNumId="94">
    <w:nsid w:val="7D5E18F8"/>
    <w:multiLevelType w:val="hybridMultilevel"/>
    <w:lvl w:ilvl="0">
      <w:lvlJc w:val="left"/>
      <w:lvlText w:val="%1."/>
      <w:numFmt w:val="decimal"/>
      <w:start w:val="5"/>
    </w:lvl>
  </w:abstractNum>
  <w:abstractNum w:abstractNumId="95">
    <w:nsid w:val="5F3534A4"/>
    <w:multiLevelType w:val="hybridMultilevel"/>
    <w:lvl w:ilvl="0">
      <w:lvlJc w:val="left"/>
      <w:lvlText w:val="(%1)"/>
      <w:numFmt w:val="lowerRoman"/>
      <w:start w:val="1"/>
    </w:lvl>
  </w:abstractNum>
  <w:abstractNum w:abstractNumId="96">
    <w:nsid w:val="73A1821B"/>
    <w:multiLevelType w:val="hybridMultilevel"/>
    <w:lvl w:ilvl="0">
      <w:lvlJc w:val="left"/>
      <w:lvlText w:val="(%1)"/>
      <w:numFmt w:val="lowerRoman"/>
      <w:start w:val="2"/>
    </w:lvl>
  </w:abstractNum>
  <w:abstractNum w:abstractNumId="97">
    <w:nsid w:val="7DE67713"/>
    <w:multiLevelType w:val="hybridMultilevel"/>
    <w:lvl w:ilvl="0">
      <w:lvlJc w:val="left"/>
      <w:lvlText w:val="%1"/>
      <w:numFmt w:val="decimal"/>
      <w:start w:val="1"/>
    </w:lvl>
    <w:lvl w:ilvl="1">
      <w:lvlJc w:val="left"/>
      <w:lvlText w:val="(%2)"/>
      <w:numFmt w:val="lowerLetter"/>
      <w:start w:val="4"/>
    </w:lvl>
  </w:abstractNum>
  <w:abstractNum w:abstractNumId="98">
    <w:nsid w:val="555C55B5"/>
    <w:multiLevelType w:val="hybridMultilevel"/>
    <w:lvl w:ilvl="0">
      <w:lvlJc w:val="left"/>
      <w:lvlText w:val="%1."/>
      <w:numFmt w:val="decimal"/>
      <w:start w:val="6"/>
    </w:lvl>
    <w:lvl w:ilvl="1">
      <w:lvlJc w:val="left"/>
      <w:lvlText w:val="(%2)"/>
      <w:numFmt w:val="lowerLetter"/>
      <w:start w:val="1"/>
    </w:lvl>
  </w:abstractNum>
  <w:abstractNum w:abstractNumId="99">
    <w:nsid w:val="3FA62A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0">
    <w:nsid w:val="14FCE74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01">
    <w:nsid w:val="6A3DD3E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2">
    <w:nsid w:val="71C9129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03">
    <w:nsid w:val="9DAF632"/>
    <w:multiLevelType w:val="hybridMultilevel"/>
    <w:lvl w:ilvl="0">
      <w:lvlJc w:val="left"/>
      <w:lvlText w:val="(%1)"/>
      <w:numFmt w:val="lowerLetter"/>
      <w:start w:val="3"/>
    </w:lvl>
  </w:abstractNum>
  <w:abstractNum w:abstractNumId="104">
    <w:nsid w:val="53299938"/>
    <w:multiLevelType w:val="hybridMultilevel"/>
    <w:lvl w:ilvl="0">
      <w:lvlJc w:val="left"/>
      <w:lvlText w:val="%1."/>
      <w:numFmt w:val="decimal"/>
      <w:start w:val="1"/>
    </w:lvl>
    <w:lvl w:ilvl="1">
      <w:lvlJc w:val="left"/>
      <w:lvlText w:val="%2."/>
      <w:numFmt w:val="lowerLetter"/>
      <w:start w:val="1"/>
    </w:lvl>
  </w:abstractNum>
  <w:abstractNum w:abstractNumId="105">
    <w:nsid w:val="1FBFE8E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2019-12-29T12:47:49Z</dcterms:created>
  <dcterms:modified xsi:type="dcterms:W3CDTF">2019-12-29T12:47:49Z</dcterms:modified>
</cp:coreProperties>
</file>