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80" w:right="1860" w:hanging="3945"/>
        <w:spacing w:after="0" w:line="461" w:lineRule="auto"/>
        <w:tabs>
          <w:tab w:leader="none" w:pos="3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20"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9" w:right="259" w:bottom="1440" w:gutter="0" w:footer="0" w:header="0"/>
        </w:sectPr>
      </w:pPr>
    </w:p>
    <w:p>
      <w:pPr>
        <w:spacing w:after="0" w:line="127" w:lineRule="exact"/>
        <w:rPr>
          <w:sz w:val="24"/>
          <w:szCs w:val="24"/>
          <w:color w:val="auto"/>
        </w:rPr>
      </w:pPr>
    </w:p>
    <w:p>
      <w:pPr>
        <w:ind w:left="40"/>
        <w:spacing w:after="0"/>
        <w:tabs>
          <w:tab w:leader="none" w:pos="27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p>
    <w:p>
      <w:pPr>
        <w:spacing w:after="0" w:line="117" w:lineRule="exact"/>
        <w:rPr>
          <w:sz w:val="24"/>
          <w:szCs w:val="24"/>
          <w:color w:val="auto"/>
        </w:rPr>
      </w:pPr>
    </w:p>
    <w:p>
      <w:pPr>
        <w:ind w:left="306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ind w:left="40"/>
        <w:spacing w:after="0"/>
        <w:tabs>
          <w:tab w:leader="none" w:pos="2700" w:val="left"/>
          <w:tab w:leader="none" w:pos="3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Arial" w:cs="Arial" w:eastAsia="Arial" w:hAnsi="Arial"/>
          <w:sz w:val="14"/>
          <w:szCs w:val="14"/>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198" w:lineRule="exact"/>
        <w:rPr>
          <w:sz w:val="24"/>
          <w:szCs w:val="24"/>
          <w:color w:val="auto"/>
        </w:rPr>
      </w:pPr>
    </w:p>
    <w:p>
      <w:pPr>
        <w:sectPr>
          <w:pgSz w:w="11900" w:h="16838" w:orient="portrait"/>
          <w:cols w:equalWidth="0" w:num="2">
            <w:col w:w="7500" w:space="720"/>
            <w:col w:w="3180"/>
          </w:cols>
          <w:pgMar w:left="240" w:top="229" w:right="259" w:bottom="1440" w:gutter="0" w:footer="0" w:header="0"/>
          <w:type w:val="continuous"/>
        </w:sectPr>
      </w:pPr>
    </w:p>
    <w:p>
      <w:pPr>
        <w:ind w:right="60"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80" w:right="1279"/>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As of July 31, 2018, there were 169,136,958 shares of the registrant’s common stock outstanding.</w:t>
      </w:r>
    </w:p>
    <w:p>
      <w:pPr>
        <w:sectPr>
          <w:pgSz w:w="11900" w:h="16838" w:orient="portrait"/>
          <w:cols w:equalWidth="0" w:num="1">
            <w:col w:w="10219"/>
          </w:cols>
          <w:pgMar w:left="240" w:top="121"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2018</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1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2018 and December 31, 2017</w:t>
              </w:r>
            </w:hyperlink>
          </w:p>
        </w:tc>
        <w:tc>
          <w:tcPr>
            <w:tcW w:w="364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2018 and 2017</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0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Six Months Ended June 30, 2018 and 2017</w:t>
              </w:r>
            </w:hyperlink>
          </w:p>
        </w:tc>
        <w:tc>
          <w:tcPr>
            <w:tcW w:w="7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3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2018 and 2017</w:t>
              </w:r>
            </w:hyperlink>
          </w:p>
        </w:tc>
        <w:tc>
          <w:tcPr>
            <w:tcW w:w="24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54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4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Exhibits</w:t>
              </w:r>
            </w:hyperlink>
          </w:p>
        </w:tc>
        <w:tc>
          <w:tcPr>
            <w:tcW w:w="3740" w:type="dxa"/>
            <w:vAlign w:val="bottom"/>
            <w:gridSpan w:val="9"/>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4"/>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Exhibit Index</w:t>
              </w:r>
            </w:hyperlink>
          </w:p>
        </w:tc>
        <w:tc>
          <w:tcPr>
            <w:tcW w:w="880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Signatures</w:t>
              </w:r>
            </w:hyperlink>
          </w:p>
        </w:tc>
        <w:tc>
          <w:tcPr>
            <w:tcW w:w="220" w:type="dxa"/>
            <w:vAlign w:val="bottom"/>
            <w:gridSpan w:val="2"/>
          </w:tcPr>
          <w:p>
            <w:pPr>
              <w:spacing w:after="0"/>
              <w:rPr>
                <w:sz w:val="21"/>
                <w:szCs w:val="21"/>
                <w:color w:val="auto"/>
              </w:rPr>
            </w:pPr>
          </w:p>
        </w:tc>
        <w:tc>
          <w:tcPr>
            <w:tcW w:w="880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440.3</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1,716.8</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245.4</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2,257.9</w:t>
            </w:r>
          </w:p>
        </w:tc>
      </w:tr>
      <w:tr>
        <w:trPr>
          <w:trHeight w:val="176"/>
        </w:trPr>
        <w:tc>
          <w:tcPr>
            <w:tcW w:w="820" w:type="dxa"/>
            <w:vAlign w:val="bottom"/>
            <w:shd w:val="clear" w:color="auto" w:fill="CCEEFF"/>
          </w:tcPr>
          <w:p>
            <w:pPr>
              <w:spacing w:after="0"/>
              <w:rPr>
                <w:sz w:val="15"/>
                <w:szCs w:val="15"/>
                <w:color w:val="auto"/>
              </w:rPr>
            </w:pPr>
          </w:p>
        </w:tc>
        <w:tc>
          <w:tcPr>
            <w:tcW w:w="7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793.8</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542.5</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gridSpan w:val="2"/>
          </w:tcPr>
          <w:p>
            <w:pPr>
              <w:ind w:left="500"/>
              <w:spacing w:after="0"/>
              <w:rPr>
                <w:sz w:val="20"/>
                <w:szCs w:val="20"/>
                <w:color w:val="auto"/>
              </w:rPr>
            </w:pPr>
            <w:r>
              <w:rPr>
                <w:rFonts w:ascii="Arial" w:cs="Arial" w:eastAsia="Arial" w:hAnsi="Arial"/>
                <w:sz w:val="18"/>
                <w:szCs w:val="18"/>
                <w:color w:val="auto"/>
                <w:w w:val="89"/>
              </w:rPr>
              <w:t>Common stock, $0.001 par value—300 shares authorized; 169.0 and 167.9 shares issued and outstanding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June 30, 2018 and December 31, 2017, respectively</w:t>
            </w: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589.4</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2,257.9</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9):</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jc w:val="right"/>
              <w:ind w:right="274"/>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9"/>
              </w:rPr>
              <w:t>Tax provision (benefit) related to change in unrealized gains</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(losses) on investments</w:t>
            </w:r>
          </w:p>
        </w:tc>
        <w:tc>
          <w:tcPr>
            <w:tcW w:w="10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49.9</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23.0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33.9</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0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4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68.4</w:t>
            </w:r>
          </w:p>
        </w:tc>
      </w:tr>
      <w:tr>
        <w:trPr>
          <w:trHeight w:val="276"/>
        </w:trPr>
        <w:tc>
          <w:tcPr>
            <w:tcW w:w="84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27.5</w:t>
            </w:r>
          </w:p>
        </w:tc>
      </w:tr>
      <w:tr>
        <w:trPr>
          <w:trHeight w:val="276"/>
        </w:trPr>
        <w:tc>
          <w:tcPr>
            <w:tcW w:w="84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8480" w:type="dxa"/>
            <w:vAlign w:val="bottom"/>
          </w:tcPr>
          <w:p>
            <w:pPr>
              <w:ind w:left="920"/>
              <w:spacing w:after="0"/>
              <w:rPr>
                <w:sz w:val="20"/>
                <w:szCs w:val="20"/>
                <w:color w:val="auto"/>
              </w:rPr>
            </w:pPr>
            <w:r>
              <w:rPr>
                <w:rFonts w:ascii="Arial" w:cs="Arial" w:eastAsia="Arial" w:hAnsi="Arial"/>
                <w:sz w:val="14"/>
                <w:szCs w:val="14"/>
                <w:color w:val="auto"/>
              </w:rPr>
              <w:t>Amortization of investment premiums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84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37.9</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125.4</w:t>
            </w:r>
          </w:p>
        </w:tc>
      </w:tr>
      <w:tr>
        <w:trPr>
          <w:trHeight w:val="270"/>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50"/>
        </w:trPr>
        <w:tc>
          <w:tcPr>
            <w:tcW w:w="84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274.5</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(270.5)</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247.2</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r>
      <w:tr>
        <w:trPr>
          <w:trHeight w:val="264"/>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r>
      <w:tr>
        <w:trPr>
          <w:trHeight w:val="258"/>
        </w:trPr>
        <w:tc>
          <w:tcPr>
            <w:tcW w:w="84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41.8</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264"/>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of debt assumed in connection with business combination</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50"/>
        </w:trPr>
        <w:tc>
          <w:tcPr>
            <w:tcW w:w="84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144.1</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709.0</w:t>
            </w:r>
          </w:p>
        </w:tc>
      </w:tr>
      <w:tr>
        <w:trPr>
          <w:trHeight w:val="283"/>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853.1</w:t>
            </w:r>
          </w:p>
        </w:tc>
      </w:tr>
      <w:tr>
        <w:trPr>
          <w:trHeight w:val="251"/>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97"/>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r>
      <w:tr>
        <w:trPr>
          <w:trHeight w:val="210"/>
        </w:trPr>
        <w:tc>
          <w:tcPr>
            <w:tcW w:w="8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300"/>
          </w:cols>
          <w:pgMar w:left="240" w:top="121" w:right="359" w:bottom="1440" w:gutter="0" w:footer="0" w:header="0"/>
        </w:sect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240" w:top="121" w:right="35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2017, contained in our Annual Report on Form 10-K filed with the SEC on February 26, 2018 (the “Form 10-K”).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2018 are not necessarily indicative of the results for the full year or for any future periods. The condensed consolidated balance sheet as of December 31, 2017 is derived from the audited consolidated financial statements for the year ended December 31, 2017.</w:t>
      </w:r>
    </w:p>
    <w:p>
      <w:pPr>
        <w:spacing w:after="0" w:line="19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six months ended June 30, 2018, except for the accounting policies for revenue recognition, trade receivables and deferred contract costs that were updated as a result of adopting Accounting Standards Update (“ASU”) 2014-09, Revenue from Contracts with Customers (Topic 606) (“Topic 606”). For more information, refer to the “Recently Adopted Accounting Standards” and Note 2.</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January 2016, the Financial Accounting Standard Board (“FASB”) issued ASU 2016-01—Financial Instruments—Overall: Recognition and Measurement of Financial Assets and Financial Liabilities, which requires most equity investments to be measured at fair value, with subsequent changes in fair value recognized in net income. A practicality exception applies to those equity investments that do not have a readily determinable fair value. These investments may be measured at cost, adjusted for changes in observable prices minus impairment. ASU 2016-01 was effective prospectively for us beginning on January 1, 2018 for our equity investments, which were previously accounted for under the cost-method. We adopted ASU 2016-01 on January 1, 2018. There was no material impact on our condensed consolidated financial statements as of the adoption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May 2014, the FASB issued ASU 2014-09—Revenue from Contracts with Customers (Topic 606), which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in exchange for those goods or services. We adopted ASU 2014-09 and its related amendments (collectively known as Topic 606) as of January 1, 2018 using the modified retrospective transition method. The comparative information has not been restated and continues to be reported under the accounting standards in effect for those periods.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recorded a net reduction to our accumulated deficit as of January 1, 2018 of $117.3 million due to the cumulative impact of adopting Topic 606. The primary impact of adopting Topic 606 relates to the deferral of our incremental contract costs, which are comprised of sales commissions. Prior to January 1, 2018, we expensed all sales commissions upfront. Beginning on January 1, 2018, we continue to expense sales commissions related to product sales upfront, but capitalize and then amortize certain sales commissions on service contracts over the applicable amortization period. The capitalized sales commissions for initial service contracts are deferred and then amortized as expense on a straight-line basis over the period of benefit which we have determined to be five years. Sales commissions for renewal contracts are deferred and then amortized on a straight line basis over the contractual period of the underlying contracts. The deferral of sales commissions generated a deferred tax liability of $23.8 million, of which $18.0 million was recorded against deferred tax assets and the remaining $5.8 million was recorded in other long-term liabilities on our consolidated balance sheet. The impact on deferred revenue as of January 1, 2018 was $4.1 million, which primarily relates to certain changes in revenue recognition on software license sales and the acceleration of revenue from U.S.-based channel partners which were previously deferred until the product was sold through. Beginning on January 1, 2018, our sales returns reserve is now included on the balance sheet in accrued liabilities and no longer as a reduction to our accounts receivable. See Note 2 for further details.</w:t>
      </w:r>
    </w:p>
    <w:p>
      <w:pPr>
        <w:spacing w:after="0" w:line="18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cumulative effects of the changes made to our January 1, 2018 consolidated balance sheet for the adoption of Topic 606 were as follows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Balance at</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 due to</w:t>
            </w:r>
          </w:p>
        </w:tc>
        <w:tc>
          <w:tcPr>
            <w:tcW w:w="260" w:type="dxa"/>
            <w:vAlign w:val="bottom"/>
          </w:tcPr>
          <w:p>
            <w:pPr>
              <w:spacing w:after="0"/>
              <w:rPr>
                <w:sz w:val="18"/>
                <w:szCs w:val="18"/>
                <w:color w:val="auto"/>
              </w:rPr>
            </w:pPr>
          </w:p>
        </w:tc>
        <w:tc>
          <w:tcPr>
            <w:tcW w:w="1680" w:type="dxa"/>
            <w:vAlign w:val="bottom"/>
          </w:tcPr>
          <w:p>
            <w:pPr>
              <w:jc w:val="right"/>
              <w:ind w:right="47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Topic 606</w:t>
            </w:r>
          </w:p>
        </w:tc>
        <w:tc>
          <w:tcPr>
            <w:tcW w:w="260" w:type="dxa"/>
            <w:vAlign w:val="bottom"/>
          </w:tcPr>
          <w:p>
            <w:pPr>
              <w:spacing w:after="0"/>
              <w:rPr>
                <w:sz w:val="20"/>
                <w:szCs w:val="20"/>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January 1, 2018</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361.8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128.9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costs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538.1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702"/>
        </w:trPr>
        <w:tc>
          <w:tcPr>
            <w:tcW w:w="56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February 2016, the FASB issued ASU 2016-02—Leases, which requires the recognition of right-of-use assets and lease liabilities on the consolidated balance sheet for substantially all leases. ASU 2016-02 includes a number of optional practical expedients that entities may elect to apply. ASU 2016-02 will also require significant additional disclosures about the amount, timing and uncertainty of cash flows from leases. In July 2018, the FASB issued ASU 2018-10—Codification Improvements to Topic 842, Leases, and ASU 2018-11 Leases (Topic 842) Targeted Improvements, which address questions about how to apply certain aspects of ASC 2016-02. The clarifications address the rate implicit in the lease, impairment of the net investment in the lease, lessee reassessment of lease classification, lessor reassessment of lease term and purchase options and variable payments that depend on an index or rate, and provide an alternative transition approach that allows companies to initially apply the new leases standard by recognizing a cumulative-effect adjustment on adoption date. ASC 2016-02 will be effective for us beginning on January 1, 2019, using a modified retrospective approach. Based on our current lease portfolio, we currently estimate the value of leased assets and liabilities that may be recognized on the consolidated balance sheet to be at least $45.0 million. We are continuing to evaluate the impact of ASU 2016-02 and our estimate is subject to change. We do not believe that ASC 2016-02 will have a material impact on our consolidated statements of operations and cash flows. We expect to expand our disclosures in the notes to consolidated financial statements to include more details on our leases, significant judgments and lease-related amounts recognized in the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ASC 2018-07 expands the scope of Accounting Standards Codification Topic 718, Compensation-Stock Compensation (“ASC 718”) to include share-based payments granted to nonemployees in exchange for goods or services used or consumed in an entity’s own operations and supersedes the guidance in ASC 505-50 by moving it to ASC 718. This amendment is effective for us beginning January 1, 2019. Early adoption is permitted, but no earlier than an entity’s adoption date of ASC 606. We are currently evaluating the impact of this new standards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under Topic 605. The details of significant changes and quantitative impact of the changes are discussed below.</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derive the majority of our revenue from sales of our products, FortiGuard security subscription and FortiCare technical support services, and other services. Beginning in 2018, revenues are recognized when control of these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52" w:lineRule="exact"/>
        <w:rPr>
          <w:sz w:val="20"/>
          <w:szCs w:val="20"/>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23" w:lineRule="exact"/>
        <w:rPr>
          <w:rFonts w:ascii="Arial" w:cs="Arial" w:eastAsia="Arial" w:hAnsi="Arial"/>
          <w:sz w:val="18"/>
          <w:szCs w:val="18"/>
          <w:color w:val="auto"/>
        </w:rPr>
      </w:pPr>
    </w:p>
    <w:p>
      <w:pPr>
        <w:ind w:left="1300" w:right="180" w:hanging="320"/>
        <w:spacing w:after="0" w:line="26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including evaluation of performance obligations as to being distinct goods or services in a contract,</w:t>
      </w:r>
    </w:p>
    <w:p>
      <w:pPr>
        <w:spacing w:after="0" w:line="1"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Product revenue primarily consists of sales of hardware and software licenses of our FortiGate and Fabric products. We derive a substantial majority of product sales from our FortiGate products. Our FortiGate products include a broad set of built-in security and networking features and functionalities including firewall, SD-WAN, data leak prevention, VPN, switch and wireless controller and WAN acceleration, among others.</w:t>
      </w:r>
    </w:p>
    <w:p>
      <w:pPr>
        <w:spacing w:after="0" w:line="16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previously recognized product revenue for sales to distributors that had no general right of return and direct sales to end-customers upon shipment, based on general revenue recognition accounting guidance once all other revenue recognition criteria were met. Certain distributors are granted stock rotation rights, limited rights of return or rebates for sales of our products. The arrangement fee for this group of distributors was not fixed or determinable when products were shipped and revenue was therefore deferred and recognized upon sell-through. For sales that included end-customer acceptance criteria, revenue was recognized upon acceptance. Under Topic 606, we recognize product revenue upon shipment when control of the promised goods is transferred to the customer. We recognize revenue from time-based software licenses upon electronic transfer of the license key to the customer. Previously, time-based software licenses were recognized over the license term.</w:t>
      </w:r>
    </w:p>
    <w:p>
      <w:pPr>
        <w:spacing w:after="0" w:line="178"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We generally provide a 1-year warranty on hardware products and a 90-day warranty on software that provides assurance that our hardware or software products conform to published specifications. Such assurance-type warranties are not deemed to be separate performance obligations from the hardware or software product and costs associated with providing the warranties are accrued in accordance with ASC 460-10.</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Service revenue relates to sales of our FortiGuard security subscription, FortiCare technical support services, and other services. Our FortiGuard security subscription services provide access to our application control, intrusion prevention, anti-botnet and mobile, anti-spam, web filtering, cloud sandbox and virus outbreak protection, industry security, security rating service and threat intelligent service functionality. Our FortiCare support services include rights to unspecified software upgrades, maintenance releases and patches, telephone and internet access to technical support personnel. Our typical subscription and contractual support term is one to three years, and to a lesser extent, five years. Our revenue recognition for service arrangements did not change under Topic 606. We continue to recognize revenue from these services ratably over the contractual service period because of continuous transfer of control to the customer over the maintenance period. Revenue related to subsequent renewals of these services are recognized over the support term of the renewal agreement. We also generate a small portion of our revenue from other services consisting of professional services, training and software-as-a-service (“SaaS”) which is either hosted or cloud-based services.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We evaluated the criteria to be distinct under Topic 606 and concluded that the hardware and software license were distinct and distinct in context of the contract from the security subscription and technical support services, as the customer can benefit from the hardware and license without the services and the services are separately identifiable within the contract. We allocate the transaction price to each performance obligation based on relative standalone selling price. We determine standalone selling price based on the historical pricing and discounting practices for those services when sold separately. We determine standalone selling price for a product or service by considering multiple historical factors including, but not limited to, cost of products, gross margin objectives, pricing practices, geographies and the term of the service contract that fall within a reasonably range as a percentage of list price. Revenue is reported net of sales tax.</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Topic 605, revenue from contracts that contain our products and services are allocated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the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at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sales return reserve was $12.5 million as of June 30, 2018 and is included in current liabilities in our condensed consolidated balance sheet. Under Topic 605, a sales return reserve of $13.6 million was presented as a reduction to accounts receivable as of December 31, 2017.</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generally invoice at the time of our sale for the total price of the products and security and technical support and other services, and the invoice is payable within 30 to 90 days. We also invoice certain software licenses and services on a monthly basis. Amounts billed and due from our customers are classified as receivables on the balance sheet and do not bear interest. We record deferred revenue when cash payments are received or due in advance of our performance.</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three and six months ended June 30, 2018, we recognized $203.3 million and $442.3 million, respectively, in revenue that was included in the deferred revenue balance as of December 31, 2017.</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Shipping and handling fees charged to our customers are recognized as product revenue in the period shipped and the related costs for providing these services are recorded as a cost of sale. Shipping and handling fees recognized as product revenue were not significant during the three and six months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3200" w:type="dxa"/>
            <w:vAlign w:val="bottom"/>
            <w:gridSpan w:val="4"/>
          </w:tcPr>
          <w:p>
            <w:pPr>
              <w:jc w:val="right"/>
              <w:ind w:right="474"/>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Pr>
          <w:p>
            <w:pPr>
              <w:spacing w:after="0"/>
              <w:rPr>
                <w:sz w:val="18"/>
                <w:szCs w:val="18"/>
                <w:color w:val="auto"/>
              </w:rPr>
            </w:pPr>
          </w:p>
        </w:tc>
      </w:tr>
      <w:tr>
        <w:trPr>
          <w:trHeight w:val="33"/>
        </w:trPr>
        <w:tc>
          <w:tcPr>
            <w:tcW w:w="37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w w:val="87"/>
              </w:rPr>
              <w:t>June 30,</w:t>
            </w:r>
          </w:p>
        </w:tc>
      </w:tr>
      <w:tr>
        <w:trPr>
          <w:trHeight w:val="243"/>
        </w:trPr>
        <w:tc>
          <w:tcPr>
            <w:tcW w:w="37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(1)</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w w:val="94"/>
              </w:rPr>
              <w:t>2017</w:t>
            </w:r>
            <w:r>
              <w:rPr>
                <w:rFonts w:ascii="Arial" w:cs="Arial" w:eastAsia="Arial" w:hAnsi="Arial"/>
                <w:sz w:val="21"/>
                <w:szCs w:val="21"/>
                <w:b w:val="1"/>
                <w:bCs w:val="1"/>
                <w:color w:val="auto"/>
                <w:w w:val="94"/>
                <w:vertAlign w:val="superscript"/>
              </w:rPr>
              <w:t>(1)</w:t>
            </w: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Service:</w:t>
            </w: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subscription</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235.5</w:t>
            </w:r>
          </w:p>
        </w:tc>
      </w:tr>
      <w:tr>
        <w:trPr>
          <w:trHeight w:val="243"/>
        </w:trPr>
        <w:tc>
          <w:tcPr>
            <w:tcW w:w="3760" w:type="dxa"/>
            <w:vAlign w:val="bottom"/>
          </w:tcPr>
          <w:p>
            <w:pPr>
              <w:ind w:left="160"/>
              <w:spacing w:after="0"/>
              <w:rPr>
                <w:sz w:val="20"/>
                <w:szCs w:val="20"/>
                <w:color w:val="auto"/>
              </w:rPr>
            </w:pPr>
            <w:r>
              <w:rPr>
                <w:rFonts w:ascii="Arial" w:cs="Arial" w:eastAsia="Arial" w:hAnsi="Arial"/>
                <w:sz w:val="18"/>
                <w:szCs w:val="18"/>
                <w:color w:val="auto"/>
              </w:rPr>
              <w:t>Technical support</w:t>
            </w:r>
          </w:p>
        </w:tc>
        <w:tc>
          <w:tcPr>
            <w:tcW w:w="12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171.2</w:t>
            </w:r>
          </w:p>
        </w:tc>
      </w:tr>
      <w:tr>
        <w:trPr>
          <w:trHeight w:val="27"/>
        </w:trPr>
        <w:tc>
          <w:tcPr>
            <w:tcW w:w="3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Professional services and training</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r>
      <w:tr>
        <w:trPr>
          <w:trHeight w:val="237"/>
        </w:trPr>
        <w:tc>
          <w:tcPr>
            <w:tcW w:w="3760" w:type="dxa"/>
            <w:vAlign w:val="bottom"/>
          </w:tcPr>
          <w:p>
            <w:pPr>
              <w:ind w:left="280"/>
              <w:spacing w:after="0"/>
              <w:rPr>
                <w:sz w:val="20"/>
                <w:szCs w:val="20"/>
                <w:color w:val="auto"/>
              </w:rPr>
            </w:pPr>
            <w:r>
              <w:rPr>
                <w:rFonts w:ascii="Arial" w:cs="Arial" w:eastAsia="Arial" w:hAnsi="Arial"/>
                <w:sz w:val="18"/>
                <w:szCs w:val="18"/>
                <w:color w:val="auto"/>
              </w:rPr>
              <w:t>Total service revenue</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220.8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426.1</w:t>
            </w:r>
          </w:p>
        </w:tc>
      </w:tr>
      <w:tr>
        <w:trPr>
          <w:trHeight w:val="27"/>
        </w:trPr>
        <w:tc>
          <w:tcPr>
            <w:tcW w:w="37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6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704.0</w:t>
            </w:r>
          </w:p>
        </w:tc>
      </w:tr>
    </w:tbl>
    <w:p>
      <w:pPr>
        <w:spacing w:after="0" w:line="2" w:lineRule="exact"/>
        <w:rPr>
          <w:sz w:val="20"/>
          <w:szCs w:val="20"/>
          <w:color w:val="auto"/>
        </w:rPr>
      </w:pPr>
    </w:p>
    <w:p>
      <w:pPr>
        <w:ind w:left="220" w:hanging="178"/>
        <w:spacing w:after="0"/>
        <w:tabs>
          <w:tab w:leader="none" w:pos="22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As noted above, prior period amounts have not been adjusted under the modified retrospective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-145415</wp:posOffset>
            </wp:positionV>
            <wp:extent cx="4845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32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June 30, 2018, we had $1.47 billion in remaining performance obligations, which is substantially comprised of deferred security subscription and technical support services not yet delivered. We expect to recognize revenue on approximately 80% of these remaining performance obligations over the next one to two years, with the remaining balance to be recognized in three to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Trade accounts receivable are recorded at the invoiced amount. Trade accounts receivable is reduced by allowance for doubtful accounts which is determined based on our assessment of the collectability of customer accounts. The allowance for doubtful accounts was $0.7 million and $0.9 million as of June 30, 2018 and December 31, 2017, respectively. As of December 31, 2017, accounts receivable was also reduced by sales return reserve of $13.6 million which we reclassified to accrued liabilities account as of January 1, 2018 in accordance with the adoption of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Contract assets were insignificant as of June 30, 2018 and January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Sales commissions earned by our sales force are considered incremental and recoverable costs of obtaining a contract with a customer. Sales commissions for the sale of products are recognized at the time of sale. Sales commissions for initial service contracts are deferred and then amortized as an expense on a straight-line basis over the period of benefit which we have determined to be five years. We determined the period of benefit taking into consideration our customer contracts, our technology and other factors. Sales commissions for renewal contracts are deferred and then amortized on a straight line basis over the contractual period of the underlying contracts which ranges from one to three years and, to a lesser extent, five years. The amortization of deferred contract costs is included in sales and marketing expense in our condensed consolidated statement of operations. Amortization of deferred contract costs during the three and six months ended June 30, 2018 was $22.4 million and $43.2 million, respectively. No impairment loss was recognized during the three months ended June 30,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elected to use the contract modification practical expedient. This practical expedient allows for all contract modifications before January 1, 2018 to be aggregated and evaluated at adoption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Condensed Consolidated Financial Statements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tables summarize the impact of adopting Topic 606 on our condensed consolidated financial statements as of and for the three and six months ended June 30, 2018 (in millions). These tables do not represent the full condensed consolidated financial statements as they only reflect the accounts impacted by the adoption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Balance Sheet</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 of June 30, 2018</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39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12.5</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Deferred contract costs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160.6</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97"/>
        </w:trPr>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 current</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622.5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 non-current</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97"/>
        </w:trPr>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143.3</w:t>
            </w:r>
          </w:p>
        </w:tc>
      </w:tr>
      <w:tr>
        <w:trPr>
          <w:trHeight w:val="702"/>
        </w:trPr>
        <w:tc>
          <w:tcPr>
            <w:tcW w:w="398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Statement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2"/>
              </w:rPr>
              <w:t>Three Months Ended June 30, 2018</w:t>
            </w:r>
          </w:p>
        </w:tc>
      </w:tr>
      <w:tr>
        <w:trPr>
          <w:trHeight w:val="33"/>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Balances Without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5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Adoption of</w:t>
            </w:r>
          </w:p>
        </w:tc>
        <w:tc>
          <w:tcPr>
            <w:tcW w:w="140" w:type="dxa"/>
            <w:vAlign w:val="bottom"/>
          </w:tcPr>
          <w:p>
            <w:pPr>
              <w:spacing w:after="0"/>
              <w:rPr>
                <w:sz w:val="17"/>
                <w:szCs w:val="17"/>
                <w:color w:val="auto"/>
              </w:rPr>
            </w:pPr>
          </w:p>
        </w:tc>
        <w:tc>
          <w:tcPr>
            <w:tcW w:w="1540" w:type="dxa"/>
            <w:vAlign w:val="bottom"/>
          </w:tcPr>
          <w:p>
            <w:pPr>
              <w:jc w:val="right"/>
              <w:ind w:right="171"/>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Topic 606</w:t>
            </w:r>
          </w:p>
        </w:tc>
        <w:tc>
          <w:tcPr>
            <w:tcW w:w="140" w:type="dxa"/>
            <w:vAlign w:val="bottom"/>
          </w:tcPr>
          <w:p>
            <w:pPr>
              <w:spacing w:after="0"/>
              <w:rPr>
                <w:sz w:val="18"/>
                <w:szCs w:val="18"/>
                <w:color w:val="auto"/>
              </w:rPr>
            </w:pPr>
          </w:p>
        </w:tc>
        <w:tc>
          <w:tcPr>
            <w:tcW w:w="1540" w:type="dxa"/>
            <w:vAlign w:val="bottom"/>
          </w:tcPr>
          <w:p>
            <w:pPr>
              <w:jc w:val="right"/>
              <w:ind w:right="7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2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37"/>
        </w:trPr>
        <w:tc>
          <w:tcPr>
            <w:tcW w:w="59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2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37"/>
        </w:trPr>
        <w:tc>
          <w:tcPr>
            <w:tcW w:w="59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Sales and marketing expenses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13.2</w:t>
            </w: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0.08</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r>
      <w:tr>
        <w:trPr>
          <w:trHeight w:val="27"/>
        </w:trPr>
        <w:tc>
          <w:tcPr>
            <w:tcW w:w="5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125" w:right="4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Six Months Ended June 30, 2018</w:t>
            </w:r>
          </w:p>
        </w:tc>
      </w:tr>
      <w:tr>
        <w:trPr>
          <w:trHeight w:val="33"/>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120" w:type="dxa"/>
            <w:vAlign w:val="bottom"/>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37"/>
        </w:trPr>
        <w:tc>
          <w:tcPr>
            <w:tcW w:w="120" w:type="dxa"/>
            <w:vAlign w:val="bottom"/>
          </w:tcPr>
          <w:p>
            <w:pPr>
              <w:spacing w:after="0"/>
              <w:rPr>
                <w:sz w:val="20"/>
                <w:szCs w:val="20"/>
                <w:color w:val="auto"/>
              </w:rPr>
            </w:pPr>
          </w:p>
        </w:tc>
        <w:tc>
          <w:tcPr>
            <w:tcW w:w="5940" w:type="dxa"/>
            <w:vAlign w:val="bottom"/>
          </w:tcPr>
          <w:p>
            <w:pPr>
              <w:ind w:left="90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828.7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37"/>
        </w:trPr>
        <w:tc>
          <w:tcPr>
            <w:tcW w:w="120" w:type="dxa"/>
            <w:vAlign w:val="bottom"/>
          </w:tcPr>
          <w:p>
            <w:pPr>
              <w:spacing w:after="0"/>
              <w:rPr>
                <w:sz w:val="20"/>
                <w:szCs w:val="20"/>
                <w:color w:val="auto"/>
              </w:rPr>
            </w:pPr>
          </w:p>
        </w:tc>
        <w:tc>
          <w:tcPr>
            <w:tcW w:w="5940" w:type="dxa"/>
            <w:vAlign w:val="bottom"/>
          </w:tcPr>
          <w:p>
            <w:pPr>
              <w:ind w:left="90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619.7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Sales and marketing expenses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120" w:type="dxa"/>
            <w:vAlign w:val="bottom"/>
          </w:tcPr>
          <w:p>
            <w:pPr>
              <w:spacing w:after="0"/>
              <w:rPr>
                <w:sz w:val="24"/>
                <w:szCs w:val="24"/>
                <w:color w:val="auto"/>
              </w:rPr>
            </w:pPr>
          </w:p>
        </w:tc>
        <w:tc>
          <w:tcPr>
            <w:tcW w:w="5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33.8</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120" w:type="dxa"/>
            <w:vAlign w:val="bottom"/>
          </w:tcPr>
          <w:p>
            <w:pPr>
              <w:spacing w:after="0"/>
              <w:rPr>
                <w:sz w:val="24"/>
                <w:szCs w:val="24"/>
                <w:color w:val="auto"/>
              </w:rPr>
            </w:pPr>
          </w:p>
        </w:tc>
        <w:tc>
          <w:tcPr>
            <w:tcW w:w="5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33.8</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97"/>
        </w:trPr>
        <w:tc>
          <w:tcPr>
            <w:tcW w:w="120" w:type="dxa"/>
            <w:vAlign w:val="bottom"/>
          </w:tcPr>
          <w:p>
            <w:pPr>
              <w:spacing w:after="0"/>
              <w:rPr>
                <w:sz w:val="24"/>
                <w:szCs w:val="24"/>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26.0</w:t>
            </w:r>
          </w:p>
        </w:tc>
      </w:tr>
      <w:tr>
        <w:trPr>
          <w:trHeight w:val="237"/>
        </w:trPr>
        <w:tc>
          <w:tcPr>
            <w:tcW w:w="1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0.15</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r>
      <w:tr>
        <w:trPr>
          <w:trHeight w:val="648"/>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Statement of Cash Flows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Six Months Ended June 30, 2018</w:t>
            </w:r>
          </w:p>
        </w:tc>
      </w:tr>
      <w:tr>
        <w:trPr>
          <w:trHeight w:val="33"/>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1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120" w:type="dxa"/>
            <w:vAlign w:val="bottom"/>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Adjustments to reconcile net income to net cash provided by operating</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900"/>
              <w:spacing w:after="0"/>
              <w:rPr>
                <w:sz w:val="20"/>
                <w:szCs w:val="20"/>
                <w:color w:val="auto"/>
              </w:rPr>
            </w:pPr>
            <w:r>
              <w:rPr>
                <w:rFonts w:ascii="Arial" w:cs="Arial" w:eastAsia="Arial" w:hAnsi="Arial"/>
                <w:sz w:val="18"/>
                <w:szCs w:val="18"/>
                <w:color w:val="auto"/>
              </w:rPr>
              <w:t>Amortization of deferred contract costs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940" w:type="dxa"/>
            <w:vAlign w:val="bottom"/>
          </w:tcPr>
          <w:p>
            <w:pPr>
              <w:ind w:left="14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Deferred contract costs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120" w:type="dxa"/>
            <w:vAlign w:val="bottom"/>
          </w:tcPr>
          <w:p>
            <w:pPr>
              <w:spacing w:after="0"/>
              <w:rPr>
                <w:sz w:val="21"/>
                <w:szCs w:val="21"/>
                <w:color w:val="auto"/>
              </w:rPr>
            </w:pPr>
          </w:p>
        </w:tc>
        <w:tc>
          <w:tcPr>
            <w:tcW w:w="5940" w:type="dxa"/>
            <w:vAlign w:val="bottom"/>
          </w:tcPr>
          <w:p>
            <w:pPr>
              <w:ind w:left="14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120" w:type="dxa"/>
            <w:vAlign w:val="bottom"/>
          </w:tcPr>
          <w:p>
            <w:pPr>
              <w:spacing w:after="0"/>
              <w:rPr>
                <w:sz w:val="21"/>
                <w:szCs w:val="21"/>
                <w:color w:val="auto"/>
              </w:rPr>
            </w:pPr>
          </w:p>
        </w:tc>
        <w:tc>
          <w:tcPr>
            <w:tcW w:w="5940" w:type="dxa"/>
            <w:vAlign w:val="bottom"/>
          </w:tcPr>
          <w:p>
            <w:pPr>
              <w:ind w:left="14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1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59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4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800"/>
              <w:spacing w:after="0"/>
              <w:rPr>
                <w:sz w:val="20"/>
                <w:szCs w:val="20"/>
                <w:color w:val="auto"/>
              </w:rPr>
            </w:pPr>
            <w:r>
              <w:rPr>
                <w:rFonts w:ascii="Arial" w:cs="Arial" w:eastAsia="Arial" w:hAnsi="Arial"/>
                <w:sz w:val="16"/>
                <w:szCs w:val="16"/>
                <w:b w:val="1"/>
                <w:bCs w:val="1"/>
                <w:color w:val="auto"/>
              </w:rPr>
              <w:t>June 30, 2018</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336.9</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100.2</w:t>
            </w:r>
          </w:p>
        </w:tc>
      </w:tr>
      <w:tr>
        <w:trPr>
          <w:trHeight w:val="25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23.0</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526.9</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The majority of our certificates of deposit and term deposits are foreign deposits.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46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474"/>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140" w:type="dxa"/>
            <w:vAlign w:val="bottom"/>
            <w:gridSpan w:val="5"/>
          </w:tcPr>
          <w:p>
            <w:pPr>
              <w:jc w:val="right"/>
              <w:ind w:right="334"/>
              <w:spacing w:after="0"/>
              <w:rPr>
                <w:sz w:val="20"/>
                <w:szCs w:val="20"/>
                <w:color w:val="auto"/>
              </w:rPr>
            </w:pPr>
            <w:r>
              <w:rPr>
                <w:rFonts w:ascii="Arial" w:cs="Arial" w:eastAsia="Arial" w:hAnsi="Arial"/>
                <w:sz w:val="16"/>
                <w:szCs w:val="16"/>
                <w:b w:val="1"/>
                <w:bCs w:val="1"/>
                <w:color w:val="auto"/>
              </w:rPr>
              <w:t>12 Months or Greater</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tcPr>
          <w:p>
            <w:pPr>
              <w:jc w:val="right"/>
              <w:ind w:right="254"/>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560" w:type="dxa"/>
            <w:vAlign w:val="bottom"/>
            <w:gridSpan w:val="7"/>
          </w:tcPr>
          <w:p>
            <w:pPr>
              <w:jc w:val="right"/>
              <w:ind w:right="460"/>
              <w:spacing w:after="0"/>
              <w:rPr>
                <w:sz w:val="20"/>
                <w:szCs w:val="20"/>
                <w:color w:val="auto"/>
              </w:rPr>
            </w:pPr>
            <w:r>
              <w:rPr>
                <w:rFonts w:ascii="Arial" w:cs="Arial" w:eastAsia="Arial" w:hAnsi="Arial"/>
                <w:sz w:val="18"/>
                <w:szCs w:val="18"/>
                <w:color w:val="auto"/>
              </w:rPr>
              <w:t>The contractual maturities of our investments were as follows (in millions):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461.6</w:t>
            </w:r>
          </w:p>
        </w:tc>
        <w:tc>
          <w:tcPr>
            <w:tcW w:w="66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98.0</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526.9</w:t>
            </w:r>
          </w:p>
        </w:tc>
        <w:tc>
          <w:tcPr>
            <w:tcW w:w="6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538.3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losses on available-for-sale securities were insignificant in the periods presented and are included in other income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June 30, 2018.</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on model-driven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June 30, 2018 and December 31, 2017 (in millions):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ind w:left="440"/>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341.2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411.1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w w:val="96"/>
              </w:rPr>
              <w:t>U.S. government and agency</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758.8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623.0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675.6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461.6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758.8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2018 and year ended December 31, 2017.</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80" w:type="dxa"/>
            <w:vAlign w:val="bottom"/>
            <w:tcBorders>
              <w:bottom w:val="single" w:sz="8" w:color="CCEEFF"/>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3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64.3</w:t>
            </w:r>
          </w:p>
        </w:tc>
      </w:tr>
      <w:tr>
        <w:trPr>
          <w:trHeight w:val="27"/>
        </w:trPr>
        <w:tc>
          <w:tcPr>
            <w:tcW w:w="7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77.3</w:t>
            </w:r>
          </w:p>
        </w:tc>
      </w:tr>
      <w:tr>
        <w:trPr>
          <w:trHeight w:val="20"/>
        </w:trPr>
        <w:tc>
          <w:tcPr>
            <w:tcW w:w="7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Inventory includes materials at contract manufacturers of $1.9 million and $2.6 million as of June 30, 2018 and December 31,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Inventory also includes finished goods held by distributors where revenue is recognized on a sell-through basis of $0.1 million as of December 31, 2017.</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340.6</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300" w:type="dxa"/>
            <w:vAlign w:val="bottom"/>
            <w:tcBorders>
              <w:top w:val="single" w:sz="8" w:color="auto"/>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245.4</w:t>
            </w:r>
          </w:p>
        </w:tc>
      </w:tr>
      <w:tr>
        <w:trPr>
          <w:trHeight w:val="20"/>
        </w:trPr>
        <w:tc>
          <w:tcPr>
            <w:tcW w:w="7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Depreciation expense was $11.8 million during the three months ended June 30, 2018 and June 30, 2017. Depreciation expense was $23.1 million and $23.0 million during the six months ended June 30, 2018 and June 30, 2017, respectively.</w:t>
      </w:r>
    </w:p>
    <w:p>
      <w:pPr>
        <w:spacing w:after="0" w:line="16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Our investments in the equity securities of privately held companies totaled $12.1 million as of June 30, 2018 and December 31, 2017. These investments, which were previously accounted for at cost, are now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 As of June 30, 2018, no events have occurred that would adversely affect the carrying value of these investments.</w:t>
      </w:r>
    </w:p>
    <w:p>
      <w:pPr>
        <w:spacing w:after="0" w:line="19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2018, we determined that we had a variable interest in these privately held companies. However, we determined that we were not the primary beneficiary as we did not have the power to direct their activities that most significantly affect their economic performance. The VIEs are not required to be consolidated in our condensed consolidated financial statements.</w:t>
      </w:r>
    </w:p>
    <w:p>
      <w:pPr>
        <w:spacing w:after="0" w:line="17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June 4, 2018, we acquired all outstanding shares of Bradford Networks, Inc. (“Bradford”), a leading provider of network security products and services. We believe that this acquisition will extend the Fortinet Security Fabric to include network access control and provide for the assessment and response related to devices accessing the network, including Internet of Things devices.</w:t>
      </w:r>
    </w:p>
    <w:p>
      <w:pPr>
        <w:spacing w:after="0" w:line="18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Under the business combination method of accounting, the total preliminary purchase price was allocated to Bradford’s net tangible and intangible assets based upon their estimated fair values as of June 4, 2018. The preliminary purchase price for Bradford was $6.8 million, of which $10.5 million was allocated to goodwill that was non-deductible for tax purposes, $8.8 million was allocated to identifiable intangible assets offset by $12.5 million of net liabilities assumed. The fair values assigned to assets acquired and liabilities assumed are based on management’s best estimates and assumptions as of the reporting date and are considered preliminary pending finalization of our valuation analysis.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June 30, 2018, no fair value was assigned to the contingent consideration based on the estimated probability of attainment of the target.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 forma information has not been presented for these acquisitions as the impact to our Condensed Consolidated Financial Statements was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0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value of goodwill were (in millions):</w:t>
      </w:r>
    </w:p>
    <w:p>
      <w:pPr>
        <w:spacing w:after="0" w:line="185"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21233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Balance—December 31, 2017</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 due to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Balance—June 30, 2018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impairments to goodwill during the three and six months ended June 30, 2018.</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70"/>
        </w:trPr>
        <w:tc>
          <w:tcPr>
            <w:tcW w:w="8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7"/>
        </w:trPr>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25.1</w:t>
            </w:r>
          </w:p>
        </w:tc>
      </w:tr>
      <w:tr>
        <w:trPr>
          <w:trHeight w:val="27"/>
        </w:trPr>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8740" w:space="720"/>
            <w:col w:w="19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June 30, 2018 and December 31, 2017 (in millions, except years):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0"/>
              </w:rPr>
              <w:t>June 30,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0"/>
              </w:rPr>
              <w:t>December 31, 2017</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in-process research and development intangible asset of $1.6 million was completed in the first quarter of 2018. Upon completion, the cost was transferred to developed technology and is amortized over the estimated useful life of four years.</w:t>
      </w:r>
    </w:p>
    <w:p>
      <w:pPr>
        <w:spacing w:after="0" w:line="1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was $1.8 million and $2.2 million during the three months ended June 30, 2018 and June 30, 2017, respectively. Amortization expense was $3.6 million and $4.5 million during the six months ended June 30, 2018 and June 30, 2017,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 and thereafter</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the Employee Stock Purchase Plan (the “ESPP”). Dilutive shares of common stock are determined by applying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11"/>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9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260" w:type="dxa"/>
            <w:vAlign w:val="bottom"/>
          </w:tcPr>
          <w:p>
            <w:pPr>
              <w:ind w:left="920"/>
              <w:spacing w:after="0"/>
              <w:rPr>
                <w:sz w:val="20"/>
                <w:szCs w:val="20"/>
                <w:color w:val="auto"/>
              </w:rPr>
            </w:pPr>
            <w:r>
              <w:rPr>
                <w:rFonts w:ascii="Arial" w:cs="Arial" w:eastAsia="Arial" w:hAnsi="Arial"/>
                <w:sz w:val="18"/>
                <w:szCs w:val="18"/>
                <w:color w:val="auto"/>
              </w:rPr>
              <w:t>ESPP</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Weighted-average shares used to compute diluted net income per share</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700" w:type="dxa"/>
            <w:vAlign w:val="bottom"/>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80" w:type="dxa"/>
            <w:vAlign w:val="bottom"/>
          </w:tcPr>
          <w:p>
            <w:pPr>
              <w:ind w:left="440"/>
              <w:spacing w:after="0"/>
              <w:rPr>
                <w:sz w:val="20"/>
                <w:szCs w:val="20"/>
                <w:color w:val="auto"/>
              </w:rPr>
            </w:pPr>
            <w:r>
              <w:rPr>
                <w:rFonts w:ascii="Arial" w:cs="Arial" w:eastAsia="Arial" w:hAnsi="Arial"/>
                <w:sz w:val="16"/>
                <w:szCs w:val="16"/>
                <w:b w:val="1"/>
                <w:bCs w:val="1"/>
                <w:color w:val="auto"/>
                <w:w w:val="96"/>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240" w:type="dxa"/>
            <w:vAlign w:val="bottom"/>
            <w:gridSpan w:val="2"/>
          </w:tcPr>
          <w:p>
            <w:pPr>
              <w:ind w:left="5740"/>
              <w:spacing w:after="0"/>
              <w:rPr>
                <w:sz w:val="20"/>
                <w:szCs w:val="20"/>
                <w:color w:val="auto"/>
              </w:rPr>
            </w:pPr>
            <w:r>
              <w:rPr>
                <w:rFonts w:ascii="Arial" w:cs="Arial" w:eastAsia="Arial" w:hAnsi="Arial"/>
                <w:sz w:val="16"/>
                <w:szCs w:val="16"/>
                <w:b w:val="1"/>
                <w:bCs w:val="1"/>
                <w:color w:val="auto"/>
              </w:rPr>
              <w:t>2018</w:t>
            </w:r>
          </w:p>
        </w:tc>
        <w:tc>
          <w:tcPr>
            <w:tcW w:w="16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0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123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6240" w:type="dxa"/>
            <w:vAlign w:val="bottom"/>
            <w:gridSpan w:val="2"/>
          </w:tcPr>
          <w:p>
            <w:pPr>
              <w:ind w:left="562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June 30, 2018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$4.6 million and $3.9 million during the three months ended June 30, 2018 and June 30, 2017, respectively. Rent expense was $8.7 million and $8.4 million during the six months ended June 30, 2018 and June 30, 2017, respectively. Rent expense is recognized using the straight-line method over the term of the lease.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2018, we had $104.9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June 30, 2018, we had $9.5 million in other contractual commitments having a remaining term in excess of one year that may not be cancelable.</w:t>
      </w:r>
    </w:p>
    <w:p>
      <w:pPr>
        <w:spacing w:after="0" w:line="15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there can be no assurances and the outcome of these matters is currently not determinable.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Contingencies, issued by the FASB, we accrue for contingencies when we believe that a loss is probable and that we can reasonably estimate the amount of any such loss.</w:t>
      </w:r>
    </w:p>
    <w:p>
      <w:pPr>
        <w:spacing w:after="0" w:line="178"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 We are currently in settlement discussions with the United States Attorney’s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172" w:lineRule="exact"/>
        <w:rPr>
          <w:sz w:val="20"/>
          <w:szCs w:val="20"/>
          <w:color w:val="auto"/>
        </w:rPr>
      </w:pPr>
    </w:p>
    <w:p>
      <w:pPr>
        <w:ind w:left="660" w:right="8200" w:hanging="652"/>
        <w:spacing w:after="0" w:line="533" w:lineRule="auto"/>
        <w:tabs>
          <w:tab w:leader="none" w:pos="452"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left="660"/>
        <w:spacing w:after="0"/>
        <w:rPr>
          <w:sz w:val="20"/>
          <w:szCs w:val="20"/>
          <w:color w:val="auto"/>
        </w:rPr>
      </w:pPr>
      <w:r>
        <w:rPr>
          <w:rFonts w:ascii="Arial" w:cs="Arial" w:eastAsia="Arial" w:hAnsi="Arial"/>
          <w:sz w:val="16"/>
          <w:szCs w:val="16"/>
          <w:color w:val="auto"/>
        </w:rPr>
        <w:t>We have stock-based compensation plans pursuant to which we have granted RSUs and stock options. We also have an ESPP for eligible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there were a total of 55.1 million shares of common stock available for grant under our stock-based compensation plans.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2017</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34.79</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50.97</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37.21</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34.21</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2018</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40.90</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As of June 30, 2018, total compensation expense related to unvested RSUs granted to employees and non-employees under the 2009 Plan, but not yet recognized, was $326.2 million. This expense is expected to be amortized on a straight-line basis over a weighted-average vesting period of 2.41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40" w:type="dxa"/>
            <w:vAlign w:val="bottom"/>
            <w:gridSpan w:val="4"/>
          </w:tcPr>
          <w:p>
            <w:pPr>
              <w:jc w:val="right"/>
              <w:ind w:right="356"/>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40" w:type="dxa"/>
            <w:vAlign w:val="bottom"/>
          </w:tcPr>
          <w:p>
            <w:pPr>
              <w:jc w:val="center"/>
              <w:ind w:left="339"/>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36"/>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55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4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558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32.5</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25.9</w:t>
            </w:r>
          </w:p>
        </w:tc>
      </w:tr>
      <w:tr>
        <w:trPr>
          <w:trHeight w:val="702"/>
        </w:trPr>
        <w:tc>
          <w:tcPr>
            <w:tcW w:w="3800" w:type="dxa"/>
            <w:vAlign w:val="bottom"/>
          </w:tcPr>
          <w:p>
            <w:pPr>
              <w:spacing w:after="0"/>
              <w:rPr>
                <w:sz w:val="24"/>
                <w:szCs w:val="24"/>
                <w:color w:val="auto"/>
              </w:rPr>
            </w:pPr>
          </w:p>
        </w:tc>
        <w:tc>
          <w:tcPr>
            <w:tcW w:w="4540" w:type="dxa"/>
            <w:vAlign w:val="bottom"/>
          </w:tcPr>
          <w:p>
            <w:pPr>
              <w:jc w:val="right"/>
              <w:ind w:right="2453"/>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6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85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8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Arial" w:cs="Arial" w:eastAsia="Arial" w:hAnsi="Arial"/>
                <w:sz w:val="16"/>
                <w:szCs w:val="16"/>
                <w:b w:val="1"/>
                <w:bCs w:val="1"/>
                <w:color w:val="auto"/>
              </w:rPr>
              <w:t>June 30,</w:t>
            </w: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640" w:type="dxa"/>
            <w:vAlign w:val="bottom"/>
            <w:gridSpan w:val="2"/>
          </w:tcPr>
          <w:p>
            <w:pPr>
              <w:ind w:left="460"/>
              <w:spacing w:after="0"/>
              <w:rPr>
                <w:sz w:val="20"/>
                <w:szCs w:val="20"/>
                <w:color w:val="auto"/>
              </w:rPr>
            </w:pPr>
            <w:r>
              <w:rPr>
                <w:rFonts w:ascii="Arial" w:cs="Arial" w:eastAsia="Arial" w:hAnsi="Arial"/>
                <w:sz w:val="16"/>
                <w:szCs w:val="16"/>
                <w:b w:val="1"/>
                <w:bCs w:val="1"/>
                <w:color w:val="auto"/>
              </w:rPr>
              <w:t>June 30,</w:t>
            </w:r>
          </w:p>
        </w:tc>
        <w:tc>
          <w:tcPr>
            <w:tcW w:w="154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980" w:type="dxa"/>
            <w:vAlign w:val="bottom"/>
          </w:tcPr>
          <w:p>
            <w:pPr>
              <w:spacing w:after="0"/>
              <w:rPr>
                <w:sz w:val="18"/>
                <w:szCs w:val="18"/>
                <w:color w:val="auto"/>
              </w:rPr>
            </w:pPr>
          </w:p>
        </w:tc>
        <w:tc>
          <w:tcPr>
            <w:tcW w:w="15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5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r>
      <w:tr>
        <w:trPr>
          <w:trHeight w:val="33"/>
        </w:trPr>
        <w:tc>
          <w:tcPr>
            <w:tcW w:w="49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vest—June 30, 2018</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100.1</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exercisable—June 30,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62.4</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aggregate intrinsic value represents the difference between the exercise price of stock options and the quoted market price of our common stock on June 30, 2018, for all in-the-money stock options. As of June 30, 2018, total compensation expense related to unvested stock options granted to employees but not yet recognized was $19.3 million. This expense is expected to be amortized on a straight-line basis over a weighted-average period of 2.8 years.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78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86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the ESPP, we use the Black-Scholes option pricing model that employs the following weighted-average assumptions:</w:t>
      </w:r>
    </w:p>
    <w:p>
      <w:pPr>
        <w:spacing w:after="0" w:line="200" w:lineRule="exact"/>
        <w:rPr>
          <w:sz w:val="20"/>
          <w:szCs w:val="20"/>
          <w:color w:val="auto"/>
        </w:rPr>
      </w:pPr>
    </w:p>
    <w:p>
      <w:pPr>
        <w:spacing w:after="0" w:line="206"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34290</wp:posOffset>
            </wp:positionV>
            <wp:extent cx="2040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060" w:type="dxa"/>
            <w:vAlign w:val="bottom"/>
          </w:tcPr>
          <w:p>
            <w:pPr>
              <w:ind w:left="480"/>
              <w:spacing w:after="0"/>
              <w:rPr>
                <w:sz w:val="20"/>
                <w:szCs w:val="20"/>
                <w:color w:val="auto"/>
              </w:rPr>
            </w:pPr>
            <w:r>
              <w:rPr>
                <w:rFonts w:ascii="Arial" w:cs="Arial" w:eastAsia="Arial" w:hAnsi="Arial"/>
                <w:sz w:val="16"/>
                <w:szCs w:val="16"/>
                <w:b w:val="1"/>
                <w:bCs w:val="1"/>
                <w:color w:val="auto"/>
                <w:w w:val="87"/>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9260" w:type="dxa"/>
            <w:vAlign w:val="bottom"/>
            <w:gridSpan w:val="2"/>
          </w:tcPr>
          <w:p>
            <w:pPr>
              <w:ind w:left="8820"/>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r>
      <w:tr>
        <w:trPr>
          <w:trHeight w:val="33"/>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27.0%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Dividend rate</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millions, except per share amounts):</w:t>
      </w:r>
    </w:p>
    <w:p>
      <w:pPr>
        <w:spacing w:after="0" w:line="383"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7"/>
                <w:szCs w:val="17"/>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27.97</w:t>
            </w:r>
          </w:p>
        </w:tc>
      </w:tr>
      <w:tr>
        <w:trPr>
          <w:trHeight w:val="27"/>
        </w:trPr>
        <w:tc>
          <w:tcPr>
            <w:tcW w:w="8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shares granted or issued under the ESPP during the three month ended June 30, 2018 and June 30, 2017.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60" w:type="dxa"/>
            <w:vAlign w:val="bottom"/>
            <w:gridSpan w:val="4"/>
          </w:tcPr>
          <w:p>
            <w:pPr>
              <w:jc w:val="right"/>
              <w:ind w:right="194"/>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jc w:val="right"/>
              <w:ind w:right="274"/>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23.6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19.7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44.5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38.8</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40.6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35.1</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77.1</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68.4</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60" w:type="dxa"/>
            <w:vAlign w:val="bottom"/>
            <w:gridSpan w:val="4"/>
          </w:tcPr>
          <w:p>
            <w:pPr>
              <w:jc w:val="right"/>
              <w:ind w:right="194"/>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jc w:val="right"/>
              <w:ind w:right="274"/>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59.9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40.6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35.1</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77.1</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68.4</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700" w:type="dxa"/>
            <w:vAlign w:val="bottom"/>
            <w:gridSpan w:val="4"/>
          </w:tcPr>
          <w:p>
            <w:pPr>
              <w:jc w:val="right"/>
              <w:ind w:right="236"/>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jc w:val="right"/>
              <w:ind w:right="276"/>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80" w:type="dxa"/>
            <w:vAlign w:val="bottom"/>
          </w:tcPr>
          <w:p>
            <w:pPr>
              <w:jc w:val="center"/>
              <w:ind w:left="294"/>
              <w:spacing w:after="0"/>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296"/>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34"/>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36"/>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6"/>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12.1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14.4</w:t>
            </w:r>
          </w:p>
        </w:tc>
      </w:tr>
      <w:tr>
        <w:trPr>
          <w:trHeight w:val="27"/>
        </w:trPr>
        <w:tc>
          <w:tcPr>
            <w:tcW w:w="5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2016, our board of directors approved a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to a total of $1.0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During the three months ended June 30, 2018, we repurchased 27,245 shares of common stock under the Repurchase Program in open market transactions at an average price of $56.78 per share, for an aggregate purchase price of $1.5 million. As of June 30, 2018, $325.8 million remained available for future share repurchases under the Repurchase Program. See Note 16—Subsequent Event for additional disclosure related to the Repurchase Program.</w:t>
      </w:r>
    </w:p>
    <w:p>
      <w:pPr>
        <w:spacing w:after="0" w:line="14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effective tax rate was 4% for the three months ended June 30, 2018, compared to an effective tax rate of 30% for the same period last year. Our effective tax rate was a benefit of 3% for the six months ended June 30, 2018, compared to an effective tax rate of 18% for the same period last year, with the primary difference being the change in the federal corporate income tax rate to 21% in 2018 from 35% in the prior year, the release of reserve for uncertain tax positions including interest due to a statute of limitation expiring and the completion of the Internal Revenue Service (“IRS”) audit. The effective tax rates for the periods presented are comprised of U.S. federal and state taxes, withholding taxes and foreign taxes, excess tax benefits from stock-based compensation and release of a reserve for uncertain tax positions. The tax rates for the three months ended June 30, 2018 and June 30, 2017 were impacted by U.S. federal and state taxes, withholding taxes and foreign taxes of $17.2 million and $14.4 million, respectively, which were offset by a tax provision benefit of $4.9 million and $4.1 million, respectively, for stock-based compensation. The tax rate for the three months ended June 30, 2018 was also impacted by release of a reserve for uncertain tax positions including interest of $10.1 million. The tax rate for the six months ended June 30, 2018 and June 30, 2017 were impacted by withholding taxes and foreign taxes of $25.7 million and $17.3 million, respectively, which were offset by a tax benefit of $10.5 million and $9.6 million, respectively, for stock-based compensation. The tax rate for the six months ended June 30, 2018 was also impacted by release of reserve for uncertain tax positions including interest of $18.0 million. Our effective tax rates fluctuate based on the amount of pre-tax income or loss. The impact of discrete items, such as excess tax benefits from stock-based compensation, on our effective tax rate is greater when our pre-tax income is lower.</w:t>
      </w:r>
    </w:p>
    <w:p>
      <w:pPr>
        <w:spacing w:after="0" w:line="17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As of June 30, 2018 and December 31, 2017, unrecognized tax benefits were $61.2 million and $72.5 million, respectively. The amount of $59.8 million in unrecognized tax benefits, if recognized, would favorably affect our effective tax rate. It is our policy to include accrued interest and penalties related to uncertain tax benefits in income tax expense. As of June 30, 2018 and December 31, 2017, accrued interest and penalties were $11.1 million and $13.5 million, respectively. It is reasonably possible that our gross unrecognized tax benefits will decrease by up to $7.9 million in the next 12 months, primarily due to the lapse of the statute of limitations. These adjustments, if recognized, would positively impact our effective tax rate, and would be recognized as additional tax benefits.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file income tax returns in the U.S. federal jurisdiction and in various U.S. state and foreign jurisdictions. Generally, we are no longer subject to U.S. state and non-U.S. income tax examinations by tax authorities for tax years prior to 2008. We are no longer subject to examination by U.S federal income tax authorities for tax years prior to 2015. We have closed the Internal Revenue Service audit for tax years 2012, 2013 and 2014. In March 2018, we received a refund of $6.8 million for a carry-back claim approved in this audit. The tax authorities in France are examining the intercompany relationship between Fortinet, Inc., Fortinet France and Fortinet Singapore. In May 2017, we received a notice from the French tax authorities that an audit was officially opened for tax years from 2007 to 2015. In April 2018, the tax authorities in Israel initiated a tax audit for tax years from 2008 to 2014.</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On July 24, 2018, the U.S. Court of Appeals for the Ninth Circuit overturned the U.S. Tax Court’s unanimous 2015 decision in </w:t>
      </w:r>
      <w:r>
        <w:rPr>
          <w:rFonts w:ascii="Arial" w:cs="Arial" w:eastAsia="Arial" w:hAnsi="Arial"/>
          <w:sz w:val="18"/>
          <w:szCs w:val="18"/>
          <w:i w:val="1"/>
          <w:iCs w:val="1"/>
          <w:color w:val="auto"/>
        </w:rPr>
        <w:t>Altera v.</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Commissioner</w:t>
      </w:r>
      <w:r>
        <w:rPr>
          <w:rFonts w:ascii="Arial" w:cs="Arial" w:eastAsia="Arial" w:hAnsi="Arial"/>
          <w:sz w:val="18"/>
          <w:szCs w:val="18"/>
          <w:color w:val="auto"/>
        </w:rPr>
        <w:t>, holding that the IRS did not violate the rulemaking procedures required by the Administrative Procedures Act. In Altera, the taxpayer</w:t>
      </w:r>
      <w:r>
        <w:rPr>
          <w:rFonts w:ascii="Arial" w:cs="Arial" w:eastAsia="Arial" w:hAnsi="Arial"/>
          <w:sz w:val="18"/>
          <w:szCs w:val="18"/>
          <w:i w:val="1"/>
          <w:iCs w:val="1"/>
          <w:color w:val="auto"/>
        </w:rPr>
        <w:t xml:space="preserve"> </w:t>
      </w:r>
      <w:r>
        <w:rPr>
          <w:rFonts w:ascii="Arial" w:cs="Arial" w:eastAsia="Arial" w:hAnsi="Arial"/>
          <w:sz w:val="18"/>
          <w:szCs w:val="18"/>
          <w:color w:val="auto"/>
        </w:rPr>
        <w:t>challenged IRS regulations that required participants in qualified cost sharing arrangements to share stock-based compensation costs. The Tax Court had invalidated those regulations, in part because the Treasury Department failed to adequately consider significant taxpayer comments when adopting them. The Ninth Court decision reverses the Tax Court’s decision on this issue, holding that the Treasury Department’s rule was not arbitrary and capricious because the Treasury Department provided a sufficient basis for its decision making. We are in the process of evaluating the impact of this court decision which occurred subsequent to the quarter end.</w:t>
      </w:r>
    </w:p>
    <w:p>
      <w:pPr>
        <w:spacing w:after="0" w:line="18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June 30, 2018 and June 30, 2017 were $1.5 million and $1.3 million, respectively. Our matching contributions to our 401(k) Plan and the RRSP for the six months ended June 30, 2018 and June 30, 2017 were $3.0 million and $2.6 million, respectively.</w:t>
      </w:r>
    </w:p>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0"/>
                <w:szCs w:val="20"/>
                <w:color w:val="auto"/>
              </w:rPr>
            </w:pPr>
          </w:p>
        </w:tc>
        <w:tc>
          <w:tcPr>
            <w:tcW w:w="278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5"/>
                <w:szCs w:val="15"/>
                <w:color w:val="auto"/>
              </w:rPr>
            </w:pPr>
          </w:p>
        </w:tc>
        <w:tc>
          <w:tcPr>
            <w:tcW w:w="122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12"/>
              <w:spacing w:after="0" w:line="176" w:lineRule="exact"/>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5"/>
                <w:szCs w:val="15"/>
                <w:color w:val="auto"/>
              </w:rPr>
            </w:pPr>
          </w:p>
        </w:tc>
        <w:tc>
          <w:tcPr>
            <w:tcW w:w="12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278.5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242.4</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Latin America (“LATAM”)</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307.1</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Europe, Middle East and Africa (“EMEA”)</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308.9</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255.8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166.3</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w:t>
            </w:r>
          </w:p>
        </w:tc>
      </w:tr>
      <w:tr>
        <w:trPr>
          <w:trHeight w:val="257"/>
        </w:trPr>
        <w:tc>
          <w:tcPr>
            <w:tcW w:w="40" w:type="dxa"/>
            <w:vAlign w:val="bottom"/>
          </w:tcPr>
          <w:p>
            <w:pPr>
              <w:spacing w:after="0"/>
              <w:rPr>
                <w:sz w:val="22"/>
                <w:szCs w:val="22"/>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840.3</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704.0</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34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610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3"/>
          </w:tcPr>
          <w:p>
            <w:pPr>
              <w:ind w:left="240"/>
              <w:spacing w:after="0"/>
              <w:rPr>
                <w:sz w:val="20"/>
                <w:szCs w:val="20"/>
                <w:color w:val="auto"/>
              </w:rPr>
            </w:pPr>
            <w:r>
              <w:rPr>
                <w:rFonts w:ascii="Arial" w:cs="Arial" w:eastAsia="Arial" w:hAnsi="Arial"/>
                <w:sz w:val="18"/>
                <w:szCs w:val="18"/>
                <w:color w:val="auto"/>
              </w:rPr>
              <w:t>LATAM</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610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10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8080" w:type="dxa"/>
            <w:vAlign w:val="bottom"/>
            <w:gridSpan w:val="7"/>
          </w:tcPr>
          <w:p>
            <w:pPr>
              <w:ind w:left="620"/>
              <w:spacing w:after="0"/>
              <w:rPr>
                <w:sz w:val="20"/>
                <w:szCs w:val="20"/>
                <w:color w:val="auto"/>
              </w:rPr>
            </w:pPr>
            <w:r>
              <w:rPr>
                <w:rFonts w:ascii="Arial" w:cs="Arial" w:eastAsia="Arial" w:hAnsi="Arial"/>
                <w:sz w:val="18"/>
                <w:szCs w:val="18"/>
                <w:color w:val="auto"/>
                <w:w w:val="94"/>
              </w:rPr>
              <w:t>The following customers, each of which is a distributor, accounted for 10% or more of our revenue: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4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6"/>
          </w:tcPr>
          <w:p>
            <w:pPr>
              <w:jc w:val="right"/>
              <w:ind w:right="77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99"/>
              <w:spacing w:after="0"/>
              <w:rPr>
                <w:sz w:val="20"/>
                <w:szCs w:val="20"/>
                <w:color w:val="auto"/>
              </w:rPr>
            </w:pPr>
            <w:r>
              <w:rPr>
                <w:rFonts w:ascii="Arial" w:cs="Arial" w:eastAsia="Arial" w:hAnsi="Arial"/>
                <w:sz w:val="16"/>
                <w:szCs w:val="16"/>
                <w:b w:val="1"/>
                <w:bCs w:val="1"/>
                <w:color w:val="auto"/>
                <w:w w:val="87"/>
              </w:rPr>
              <w:t>June 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48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gridSpan w:val="3"/>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(1)</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100" w:type="dxa"/>
            <w:vAlign w:val="bottom"/>
            <w:gridSpan w:val="4"/>
          </w:tcPr>
          <w:p>
            <w:pPr>
              <w:ind w:left="40"/>
              <w:spacing w:after="0"/>
              <w:rPr>
                <w:sz w:val="20"/>
                <w:szCs w:val="20"/>
                <w:color w:val="auto"/>
              </w:rPr>
            </w:pPr>
            <w:r>
              <w:rPr>
                <w:rFonts w:ascii="Arial" w:cs="Arial" w:eastAsia="Arial" w:hAnsi="Arial"/>
                <w:sz w:val="18"/>
                <w:szCs w:val="18"/>
                <w:color w:val="auto"/>
              </w:rPr>
              <w:t>Ingram Micro</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Fine Tec Computers</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100" w:type="dxa"/>
            <w:vAlign w:val="bottom"/>
            <w:gridSpan w:val="4"/>
          </w:tcPr>
          <w:p>
            <w:pPr>
              <w:ind w:left="40"/>
              <w:spacing w:after="0"/>
              <w:rPr>
                <w:sz w:val="20"/>
                <w:szCs w:val="20"/>
                <w:color w:val="auto"/>
              </w:rPr>
            </w:pPr>
            <w:r>
              <w:rPr>
                <w:rFonts w:ascii="Arial" w:cs="Arial" w:eastAsia="Arial" w:hAnsi="Arial"/>
                <w:sz w:val="18"/>
                <w:szCs w:val="18"/>
                <w:color w:val="auto"/>
              </w:rPr>
              <w:t>* Represents less than 10%</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right="180" w:hanging="5"/>
        <w:spacing w:after="0" w:line="227" w:lineRule="auto"/>
        <w:tabs>
          <w:tab w:leader="none" w:pos="232"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Due to the acquisition by Exclusive Networks Group of the U.S. division of Fine Tec Computers (“Fine Tec U.S.”) in July 2017, Fine Tec U.S.’s revenue and accounts receivable have been combined with Exclusive Networks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360" w:type="dxa"/>
            <w:vAlign w:val="bottom"/>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9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6"/>
              <w:spacing w:after="0"/>
              <w:rPr>
                <w:sz w:val="20"/>
                <w:szCs w:val="20"/>
                <w:color w:val="auto"/>
              </w:rPr>
            </w:pPr>
            <w:r>
              <w:rPr>
                <w:rFonts w:ascii="Arial" w:cs="Arial" w:eastAsia="Arial" w:hAnsi="Arial"/>
                <w:sz w:val="16"/>
                <w:szCs w:val="16"/>
                <w:b w:val="1"/>
                <w:bCs w:val="1"/>
                <w:color w:val="auto"/>
              </w:rPr>
              <w:t>2017</w:t>
            </w:r>
          </w:p>
        </w:tc>
      </w:tr>
      <w:tr>
        <w:trPr>
          <w:trHeight w:val="33"/>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millions):</w:t>
      </w:r>
    </w:p>
    <w:p>
      <w:pPr>
        <w:spacing w:after="0" w:line="38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Tax provision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unrealized gains or losses on investments are recorded in other income (expense)—net and in benefit from income taxes, respectively.</w:t>
      </w:r>
    </w:p>
    <w:p>
      <w:pPr>
        <w:spacing w:after="0" w:line="16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In July 2018, our board of directors approved a $500.0 million increase in the authorized stock repurchase under the Repurchase Program and extended the term of the Repurchase Program to December 31, 2019, bringing the aggregate amount authorized to be repurchased to $1.5 billion of our outstanding common stock through December 31, 2019.</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125" w:right="3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79"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6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Tax Cuts and Jobs Act of 2017 (the “2017 Tax Act”);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right="5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repatriation of cash, cash equivalents and investments held by our international subsidiaries and the sufficiency of our existing cash, cash equivalents and investments to meet our cash needs for at least the next 12 months;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revenue recognition and accounting for leases.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Fortinet is a global leader in cybersecurity solutions to a wide variety of businesses, such as enterprises, data centers and distributed offices. Our cybersecurity solutions are designed to provide broad, integrated and automated protection against dynamic and sophisticated security threats, while simplifying the information technology and security infrastructure of our end-customers.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four focus areas for our business.</w:t>
      </w:r>
    </w:p>
    <w:p>
      <w:pPr>
        <w:spacing w:after="0" w:line="221" w:lineRule="exact"/>
        <w:rPr>
          <w:sz w:val="20"/>
          <w:szCs w:val="20"/>
          <w:color w:val="auto"/>
        </w:rPr>
      </w:pPr>
    </w:p>
    <w:p>
      <w:pPr>
        <w:ind w:left="660" w:right="40" w:hanging="328"/>
        <w:spacing w:after="0" w:line="256"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Network Security </w:t>
      </w:r>
      <w:r>
        <w:rPr>
          <w:rFonts w:ascii="Arial" w:cs="Arial" w:eastAsia="Arial" w:hAnsi="Arial"/>
          <w:sz w:val="18"/>
          <w:szCs w:val="18"/>
          <w:color w:val="auto"/>
        </w:rPr>
        <w:t>- We derive a majority of product sales from our FortiGate network security appliances. Our FortiGate network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appliances include a broad set of built-in security and networking features and functionalities including firewall, SD-WAN, data leak prevention, VPN, switch and wireless controller, and WAN acceleration, among others. Our network security appliances include our FortiOS operating system, which provides the foundation for FortiGate security functions and FortiSPU, which is designed to enhance the security processing capabilities. Our customers may also purchase FortiGuard subscription services to access threat intelligence updates. We provide standard technical support across all our products through our FortiCare support services.</w:t>
      </w:r>
    </w:p>
    <w:p>
      <w:pPr>
        <w:spacing w:after="0" w:line="187" w:lineRule="exact"/>
        <w:rPr>
          <w:rFonts w:ascii="Arial" w:cs="Arial" w:eastAsia="Arial" w:hAnsi="Arial"/>
          <w:sz w:val="18"/>
          <w:szCs w:val="18"/>
          <w:b w:val="1"/>
          <w:bCs w:val="1"/>
          <w:color w:val="auto"/>
        </w:rPr>
      </w:pPr>
    </w:p>
    <w:p>
      <w:pPr>
        <w:ind w:left="660" w:right="40" w:hanging="328"/>
        <w:spacing w:after="0" w:line="28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Fortinet Security Fabric </w:t>
      </w:r>
      <w:r>
        <w:rPr>
          <w:rFonts w:ascii="Arial" w:cs="Arial" w:eastAsia="Arial" w:hAnsi="Arial"/>
          <w:sz w:val="17"/>
          <w:szCs w:val="17"/>
          <w:color w:val="auto"/>
        </w:rPr>
        <w:t>- The Fortinet Security Fabric, which is one of the fastest growing areas of our business, provides enterprise organizations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 unified security across the entire digital attack surface, including network core, endpoints, applications, data centers, access and private and public cloud. It enables disparate security devices to work together as an integrated and collaborative whole.</w:t>
      </w:r>
    </w:p>
    <w:p>
      <w:pPr>
        <w:spacing w:after="0" w:line="158" w:lineRule="exact"/>
        <w:rPr>
          <w:rFonts w:ascii="Arial" w:cs="Arial" w:eastAsia="Arial" w:hAnsi="Arial"/>
          <w:sz w:val="17"/>
          <w:szCs w:val="17"/>
          <w:color w:val="auto"/>
        </w:rPr>
      </w:pPr>
    </w:p>
    <w:p>
      <w:pPr>
        <w:ind w:left="660" w:right="40" w:hanging="328"/>
        <w:spacing w:after="0" w:line="27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Cloud Security </w:t>
      </w:r>
      <w:r>
        <w:rPr>
          <w:rFonts w:ascii="Arial" w:cs="Arial" w:eastAsia="Arial" w:hAnsi="Arial"/>
          <w:sz w:val="17"/>
          <w:szCs w:val="17"/>
          <w:color w:val="auto"/>
        </w:rPr>
        <w:t>- We help customers secure their cloud environments in part by offering security through our virtual firewall software in public</w:t>
      </w:r>
      <w:r>
        <w:rPr>
          <w:rFonts w:ascii="Arial" w:cs="Arial" w:eastAsia="Arial" w:hAnsi="Arial"/>
          <w:sz w:val="17"/>
          <w:szCs w:val="17"/>
          <w:b w:val="1"/>
          <w:bCs w:val="1"/>
          <w:color w:val="auto"/>
        </w:rPr>
        <w:t xml:space="preserve"> </w:t>
      </w:r>
      <w:r>
        <w:rPr>
          <w:rFonts w:ascii="Arial" w:cs="Arial" w:eastAsia="Arial" w:hAnsi="Arial"/>
          <w:sz w:val="17"/>
          <w:szCs w:val="17"/>
          <w:color w:val="auto"/>
        </w:rPr>
        <w:t>cloud environments. In addition, our FortiCASB extends the core capabilities of our security fabric architecture to provide businesses the same level of cybersecurity and threat intelligence in cloud environments as they receive on their physical networks. We experienced significant billings growth in on-demand cloud consumption and bring-your-own-license (“BYOL”), although not yet significant when compared to the rest of our business. The Fortinet cloud security is available across all major cloud providers, including Microsoft Azure, Amazon Web Services, Google Cloud, Oracle Cloud and IBM Cloud. We believe this area provides opportunity for growth.</w:t>
      </w:r>
    </w:p>
    <w:p>
      <w:pPr>
        <w:spacing w:after="0" w:line="173"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Internet of Things and Operational Technology (“OT”) </w:t>
      </w:r>
      <w:r>
        <w:rPr>
          <w:rFonts w:ascii="Arial" w:cs="Arial" w:eastAsia="Arial" w:hAnsi="Arial"/>
          <w:sz w:val="18"/>
          <w:szCs w:val="18"/>
          <w:color w:val="auto"/>
        </w:rPr>
        <w:t>- IoT and OT are new opportunities for us to grow our business. IoT and OT have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an environment where data move freely between devices across locations, network environments, remote offices, mobile workers and public cloud environments, making the data difficult to consistently track and secure. We are increasing our focus on OT to help protect the physical processes and things used in critical infrastructures, industrial and building automation.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20" w:hanging="328"/>
        <w:spacing w:after="0" w:line="27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recorded total revenue of $441.3 million and $840.3 million in the three and six months ended June 30, 2018, an increase of 21% and 19%, respectively, compared to $363.5 million and $704.0 million in the same periods last year. Product revenue was $166.3 million and $309.1 million in the three and six months ended June 30, 2018, an increase of 17% and 11%, respectively, compared to $142.7 million and $277.9 million in the same periods last year. Service revenue was $275.0 million and $531.2 million, respectively, in the three and six months ended June 30, 2018, an increase of 25% for both periods, compared to $220.8 million and $426.1 million in the same period last year.</w:t>
      </w:r>
    </w:p>
    <w:p>
      <w:pPr>
        <w:spacing w:after="0" w:line="17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generated operating income of $50.7 million and $83.1 million in the three and six months ended June 30, 2018, an increase of 78% and 145%, respectively, compared to $28.5 million and $33.9 million in the same periods last year.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cash equivalents and investments were $1.50 billion as of June 30, 2018, an increase of $149.7 million, or 11%, from December 31, 2017.</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revenue was $1.47 billion as of June 30, 2018, an increase of $134.5 million, or 10%, from December 31, 2017.</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$282.0 million in the six months ended June 30, 2018, an increase of $7.5 million, or 3%, compared to the same periods last year.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six months ended June 30, 2018, we repurchased 2.5 million shares of common stock under the Repurchase Program for an aggregate purchase price of $117.1 million.</w:t>
      </w:r>
    </w:p>
    <w:p>
      <w:pPr>
        <w:spacing w:after="0" w:line="170"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During the three and six months ended June 30, 2018, our revenue growth was driven by both product and service revenue. Product revenue grew 17% and 11% in the three and six months ended June 30, 2018, respectively. On a geographic basis, revenue continues to be diversified globally, which remains a key strength of our business. FortiGate unit shipments increased year-over-year. Sales of non-FortiGate products, such as the Fortinet Security Fabric and cloud products, also grew significantly. Service revenue growth of 25% in the three and six months ended June 30, 2018 was driven by the strength of our FortiCare technical support growing 29% and 32%, respectively, and FortiGuard security subscription revenue growing 21% and 20%, respectively.</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percentage of our FortiGate-related billings from entry-level products increased from 32% in the three months ended June 30, 2017 to 34% in the three months ended June 30, 2018. The percentage of our FortiGate-related billings from mid-range products increased from 29% in the three months ended June 30, 2017 to 31% in the three months ended June 30, 2018. The percentage of our FortiGate-related billings from high-end products decreased to 35% in the three months ended June 30, 2018 from 39% in the same period last year. We continue to see our enterprise customers purchasing a fairly balanced mix of products across these product groups.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three and six months ended June 30, 2018, operating expenses as a percentage of revenue decreased by 3 percentage points and 4 percentage points, respectively, compared to the same period last year. The decrease was primarily driven by a reduction in sales and marketing expenses as a percentage of revenue, as a result of the adoption of Topic 606 for deferred contract costs, which reduced our commissions expense in absolute dollars and as a percentage of total revenue. Our sales and marketing expenses included a benefit of $11.8 million and $23.5 million in the three and six months ended June 30, 2018, respectively, from the adoption of Topic 606 related to deferred contract costs. Under Topic 606, we capitalized certain commissions on service contracts and amortize the amount over a certain period. Prior to the adoption of Topic 606, we expensed the commission related to these service contracts upfront. Excluding this benefit, sales and marketing expense as a percentage of revenue would have increased 1 percentage point in the three months ended June 30, 2018 and would have been comparable in the six months ended June 30, 2018. Refer to Note 1 and Note 2 in our notes to the condensed consolidated financial statement for more information. Headcount increased by 4% to 5,462 employees and contractors as of June 30, 2018, up from 5,275 as of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sales strategy is based on a distribution model whereby we primarily sell our hardware products, software and services directly to distributors which sell to resellers and service providers, which, in turn, sell to our end-customers. In certain cases, we sell directly to large service providers and major systems integrators. We also offer our products across all major cloud providers, and have recognized on demand revenue and BYOL revenue from Microsoft Azure, Amazon Web Services, Oracle Cloud, Google Cloud and IBM Cloud. In a BYOL arrangement, a customer purchases a perpetual license from us and deploys the software in a cloud provider’s environment. While the revenue from such sales are still relatively insignificant, they have increased significantly in recent periods on a percentage basis.</w:t>
      </w:r>
    </w:p>
    <w:p>
      <w:pPr>
        <w:spacing w:after="0" w:line="193"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payable within 30 to 90 days. We also invoice certain licenses and services on a monthly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Security Processing Unit (“SPU”) hardware architecture is an important part of our approach to network security. The SPU includes three lines of proprietary ASICs, content processor, network processor and the system on a chip. The ASICs are designed for highly efficient execution of computationally intensive tasks, including policy enforcement, threat detection and encryption. As such, ASIC-based solutions can run many security applications simultaneously without a significant reduction in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 (in millions):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June 30, 2017</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1,161.5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1,464.9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58.4</w:t>
            </w:r>
          </w:p>
        </w:tc>
      </w:tr>
    </w:tbl>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and free cash flow to be recognized in future periods. Deferred revenue was $1.47 billion as of June 30, 2018, an increase of $134.5 million, or 10%, from December 31, 2017.</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generally accepted accounting principles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(“GAAP”) plus the change in deferred revenue from the beginning to the end of the period and adjustments to the deferred revenue balance due to adoption of the new revenue recognition standard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$513.4 million for the three months ended June 30, 2018, an increase of 20% compared to $426.9 million in the same period last year.</w:t>
      </w:r>
    </w:p>
    <w:p>
      <w:pPr>
        <w:spacing w:after="0" w:line="18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June 30, 2017</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3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Revenue</w:t>
            </w:r>
          </w:p>
        </w:tc>
        <w:tc>
          <w:tcPr>
            <w:tcW w:w="3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Change in deferred revenue</w:t>
            </w:r>
          </w:p>
        </w:tc>
        <w:tc>
          <w:tcPr>
            <w:tcW w:w="3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7"/>
              </w:rPr>
              <w:t>Less: Deferred revenue balance acquired in business combination</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June 30, 2017</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144.8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58.4</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We adopted Topic 606 on January 1, 2018 using the modified retrospective method. Refer to Note 2 in the notes to our condensed consolidated financial statements included in this Quarterly Report on Form 10-Q for a discussion of the impact. Other than the adoption of Topic 606, there were no material changes to our critical accounting policies and estimates as of and for the three and six months ended June 30, 2018, as compared to the critical accounting policies and estimates described in the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46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and June 30,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3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6"/>
                <w:szCs w:val="16"/>
                <w:b w:val="1"/>
                <w:bCs w:val="1"/>
                <w:color w:val="auto"/>
                <w:w w:val="89"/>
              </w:rPr>
              <w:t>2017</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25</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77.8</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21%</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420" w:type="dxa"/>
            <w:vAlign w:val="bottom"/>
          </w:tcPr>
          <w:p>
            <w:pPr>
              <w:ind w:left="1060"/>
              <w:spacing w:after="0"/>
              <w:rPr>
                <w:sz w:val="20"/>
                <w:szCs w:val="20"/>
                <w:color w:val="auto"/>
              </w:rPr>
            </w:pPr>
            <w:r>
              <w:rPr>
                <w:rFonts w:ascii="Arial" w:cs="Arial" w:eastAsia="Arial" w:hAnsi="Arial"/>
                <w:sz w:val="18"/>
                <w:szCs w:val="18"/>
                <w:color w:val="auto"/>
              </w:rPr>
              <w:t>20</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21%</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52" w:lineRule="auto"/>
        <w:tabs>
          <w:tab w:leader="none" w:pos="192"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Revenue during the three months ended June 30, 2018 under Topic 606 (As Reported) and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20"/>
              <w:spacing w:after="0"/>
              <w:rPr>
                <w:sz w:val="20"/>
                <w:szCs w:val="20"/>
                <w:color w:val="auto"/>
              </w:rPr>
            </w:pPr>
            <w:r>
              <w:rPr>
                <w:rFonts w:ascii="Arial" w:cs="Arial" w:eastAsia="Arial" w:hAnsi="Arial"/>
                <w:sz w:val="18"/>
                <w:szCs w:val="18"/>
                <w:color w:val="auto"/>
              </w:rPr>
              <w:t>Product</w:t>
            </w:r>
          </w:p>
        </w:tc>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1440" w:type="dxa"/>
            <w:vAlign w:val="bottom"/>
            <w:tcBorders>
              <w:top w:val="single" w:sz="8" w:color="auto"/>
              <w:bottom w:val="single" w:sz="8" w:color="auto"/>
            </w:tcBorders>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441.3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Americas</w:t>
            </w:r>
          </w:p>
        </w:tc>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189.3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APAC</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40" w:type="dxa"/>
            <w:vAlign w:val="bottom"/>
            <w:tcBorders>
              <w:bottom w:val="single" w:sz="8" w:color="auto"/>
            </w:tcBorders>
            <w:shd w:val="clear" w:color="auto" w:fill="CCEEFF"/>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441.3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Total revenue increased by $77.8 million, or 21%, during the three months ended June 30, 2018 compared to the same period last year. We continued to experience diversification of revenue globally. Revenue from all our regions grew, with the EMEA contributing the largest portion of our revenue growth both on an absolute dollar and on a percentage basis. Product revenue increased by $23.6 million, or 17%, during the three months ended June 30, 2018 compared to the same period last year. Product revenue during the three months ended June 30, 2018 included a $4.2 million benefit from the adoption of Topic 606, which primarily relates to the change in accounting treatment under Topic 606 for some of our software products where revenue from these arrangements can now be recognized immediately instead of ratably over the contracted service term. FortiGate unit shipments increased year-over-year. Sales of non-FortiGate products also increased significantly. Fortinet Security Fabric and cloud products were the fastest growing products compared to the remainder of our business. Service revenue increased by $54.2 million, or 25%, during the three months ended June 30, 2018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220" w:type="dxa"/>
            <w:vAlign w:val="bottom"/>
            <w:gridSpan w:val="4"/>
          </w:tcPr>
          <w:p>
            <w:pPr>
              <w:jc w:val="right"/>
              <w:ind w:right="475"/>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43"/>
        </w:trPr>
        <w:tc>
          <w:tcPr>
            <w:tcW w:w="36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(in millions, except percentages)</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1240" w:type="dxa"/>
            <w:vAlign w:val="bottom"/>
          </w:tcPr>
          <w:p>
            <w:pPr>
              <w:jc w:val="right"/>
              <w:ind w:right="10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8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280" w:type="dxa"/>
            <w:vAlign w:val="bottom"/>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22%</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1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12</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124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113.1</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17.4</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18%</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93"/>
              </w:rPr>
              <w:t>57.4%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96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93"/>
              </w:rPr>
              <w:t>73.7%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300" w:firstLine="8"/>
        <w:spacing w:after="0" w:line="252" w:lineRule="auto"/>
        <w:tabs>
          <w:tab w:leader="none" w:pos="192"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Cost of revenue and gross margin during the three months ended June 30, 2018 under Topic 606 (As Reported) and 605 (Balances Without Adoption of Topic 606) were as follows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Balances Without Adoption</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79"/>
              </w:rPr>
              <w:t>of</w:t>
            </w:r>
          </w:p>
        </w:tc>
        <w:tc>
          <w:tcPr>
            <w:tcW w:w="22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As Reported</w:t>
            </w:r>
          </w:p>
        </w:tc>
        <w:tc>
          <w:tcPr>
            <w:tcW w:w="40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Topic 606</w:t>
            </w:r>
          </w:p>
        </w:tc>
        <w:tc>
          <w:tcPr>
            <w:tcW w:w="22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Increase (Decrease)</w:t>
            </w:r>
          </w:p>
        </w:tc>
      </w:tr>
      <w:tr>
        <w:trPr>
          <w:trHeight w:val="33"/>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97"/>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r>
      <w:tr>
        <w:trPr>
          <w:trHeight w:val="23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Total gross margin increased by 0.7 percentage points during the three months ended June 30, 2018 compared to the same period last year, driven by higher margin on service revenue. Service gross margin increased by 1.5 percentage points during the three months ended June 30, 2018 compared to the same period last year, due to the strength of our FortiCare technical support and FortiGuard security subscription revenue growing 29% and 21%, respectively, during the three months ended June 30, 2018 compared to the same period last year, which outpaced the increase in the related personnel costs and headcount growth, resulting in a higher margin. Cost of service revenue was comprised primarily of personnel costs. Product gross margin decreased by 1.8 percentage point during the three months ended June 30, 2018 compared to the same period last year, primarily due to a shift in product mix, product transition and contract term. The decrease was partially offset by increased revenue in higher margin software licenses. Total cost of product revenue was comprised primarily of direct and indirect cost of products sold, inventory reserves and other charges.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3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8"/>
                <w:szCs w:val="18"/>
                <w:color w:val="auto"/>
                <w:w w:val="94"/>
              </w:rPr>
              <w:t>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14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252" w:lineRule="auto"/>
        <w:tabs>
          <w:tab w:leader="none" w:pos="192"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Operating expenses during the three months ended June 30, 2018 under Topic 606 (As Reported) and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3"/>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3"/>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277.5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Research and development expense increased by $10.0 million, or 20%, during the three months ended June 30, 2018 compared to the same period last year, primarily due to an increase of $6.9 million in personnel-related costs as a result of increased headcount to support the development of new products and continued enhancements of our existing products. In addition, product development expenses, such as third-party testing, prototypes and supplies, increased by $2.5 million and depreciation and other occupancy-related costs increased by $0.7 million. We intend to continue to invest in our research and development organization, and expect research and development expense to increase in absolute dollars during the remainder of 2018.</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and marketing expense increased by $26.5 million, or 16%, during the three months ended June 30, 2018 compared to the same period last year, primarily due to an increase of $18.3 million in personnel-related costs as sales and marketing headcount increased in order to drive market share gains globally. These increases in personnel costs included a benefit of $11.8 million from the adoption of the new accounting standard related to deferred contract costs. Under this new standard, we capitalized certain commissions on service contracts and amortize the amount over a certain period. Prior to the adoption of this new standard, we expensed the commission related to these service contracts. Our sales and marketing expense would have increased by $38.3 million or 23% under the prior accounting standard. Refer to Note 2 in our notes to the condensed consolidated financial statement for more information. Marketing-related expense increased by $2.2 million. In addition, travel and entertainment expense increased by $2.1 million and depreciation expense and other occupancy-related expense increased by $2.0 million. As a percentage of total revenue, sales and marketing expense decreased primarily due to the benefit from the new accounting standard on deferred contract costs. Excluding this benefit, sales and marketing expense as a percentage of revenue would have been 47% of total revenue. We intend to continue to make investments in our sales resources and infrastructure and marketing strategy, which are critical to support growth, and expect sales and marketing expense to increase in absolute dollars during the remainder of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General and administrative expense increased by $1.6 million, or 7%, during the three months ended June 30, 2018 compared to the same period last year. Personnel costs increased by $2.7 million as we continued to increase headcount in order to support our expanding business. The increase in expense was partially offset by a decrease in depreciation and other occupancy-related costs of $1.9 million and decrease in professional fees of $0.5 million. We expect general and administrative expense to increase in absolute dollars during the remainder of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generated operating income of $50.7 million during the three months ended June 30, 2018, an increase of $22.2 million, or 78%, compared to $28.5 million in the same period last year. The improvement in operating income was primarily due to the benefit from the adoption of the new accounting standard. As a percentage of total revenue, sales and marketing expenses decreased to 44% in the three months ended June 30, 2018 from 46% in the same period last year. Excluding the benefit from the adoption of Topic 606, sales and marketing expense as a percentage of revenue would have been 47% of total revenue. The adoption of this new standard resulted in an improvement of 3.8 percentage points in our operating margin. In addition, the improvement in gross margin as well as the decrease in general and administrative expenses as a percentage of total revenue contributed to the improvement in operating margin.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720" w:type="dxa"/>
            <w:vAlign w:val="bottom"/>
            <w:gridSpan w:val="4"/>
          </w:tcPr>
          <w:p>
            <w:pPr>
              <w:jc w:val="right"/>
              <w:ind w:right="101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720" w:type="dxa"/>
            <w:vAlign w:val="bottom"/>
          </w:tcPr>
          <w:p>
            <w:pPr>
              <w:spacing w:after="0"/>
              <w:rPr>
                <w:sz w:val="18"/>
                <w:szCs w:val="18"/>
                <w:color w:val="auto"/>
              </w:rPr>
            </w:pPr>
          </w:p>
        </w:tc>
        <w:tc>
          <w:tcPr>
            <w:tcW w:w="1300" w:type="dxa"/>
            <w:vAlign w:val="bottom"/>
          </w:tcPr>
          <w:p>
            <w:pPr>
              <w:jc w:val="center"/>
              <w:ind w:left="397"/>
              <w:spacing w:after="0"/>
              <w:rPr>
                <w:sz w:val="20"/>
                <w:szCs w:val="20"/>
                <w:color w:val="auto"/>
              </w:rPr>
            </w:pPr>
            <w:r>
              <w:rPr>
                <w:rFonts w:ascii="Arial" w:cs="Arial" w:eastAsia="Arial" w:hAnsi="Arial"/>
                <w:sz w:val="16"/>
                <w:szCs w:val="16"/>
                <w:b w:val="1"/>
                <w:bCs w:val="1"/>
                <w:color w:val="auto"/>
                <w:w w:val="90"/>
              </w:rPr>
              <w:t>June 30,</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1300" w:type="dxa"/>
            <w:vAlign w:val="bottom"/>
          </w:tcPr>
          <w:p>
            <w:pPr>
              <w:jc w:val="right"/>
              <w:ind w:right="157"/>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655"/>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00" w:type="dxa"/>
            <w:vAlign w:val="bottom"/>
            <w:tcBorders>
              <w:bottom w:val="single" w:sz="8" w:color="CCEEFF"/>
            </w:tcBorders>
            <w:shd w:val="clear" w:color="auto" w:fill="CCEEFF"/>
          </w:tcPr>
          <w:p>
            <w:pPr>
              <w:jc w:val="right"/>
              <w:ind w:right="109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3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1"/>
                <w:szCs w:val="21"/>
                <w:color w:val="auto"/>
              </w:rPr>
            </w:pPr>
          </w:p>
        </w:tc>
        <w:tc>
          <w:tcPr>
            <w:tcW w:w="1780" w:type="dxa"/>
            <w:vAlign w:val="bottom"/>
          </w:tcPr>
          <w:p>
            <w:pPr>
              <w:jc w:val="right"/>
              <w:ind w:right="293"/>
              <w:spacing w:after="0"/>
              <w:rPr>
                <w:sz w:val="20"/>
                <w:szCs w:val="20"/>
                <w:color w:val="auto"/>
              </w:rPr>
            </w:pPr>
            <w:r>
              <w:rPr>
                <w:rFonts w:ascii="Arial" w:cs="Arial" w:eastAsia="Arial" w:hAnsi="Arial"/>
                <w:sz w:val="18"/>
                <w:szCs w:val="18"/>
                <w:color w:val="auto"/>
              </w:rPr>
              <w:t>(6.2)</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(517)</w:t>
            </w:r>
          </w:p>
        </w:tc>
      </w:tr>
    </w:tbl>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Interest income increased during the three months ended June 30, 2018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The change in other income (expense)—net during the three months ended June 30, 2018 compared to the same period last year was primarily due to higher foreign currency exchange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800" w:type="dxa"/>
            <w:vAlign w:val="bottom"/>
            <w:gridSpan w:val="4"/>
          </w:tcPr>
          <w:p>
            <w:pPr>
              <w:jc w:val="right"/>
              <w:ind w:right="10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1320" w:type="dxa"/>
            <w:vAlign w:val="bottom"/>
          </w:tcPr>
          <w:p>
            <w:pPr>
              <w:jc w:val="center"/>
              <w:ind w:left="437"/>
              <w:spacing w:after="0"/>
              <w:rPr>
                <w:sz w:val="20"/>
                <w:szCs w:val="20"/>
                <w:color w:val="auto"/>
              </w:rPr>
            </w:pPr>
            <w:r>
              <w:rPr>
                <w:rFonts w:ascii="Arial" w:cs="Arial" w:eastAsia="Arial" w:hAnsi="Arial"/>
                <w:sz w:val="16"/>
                <w:szCs w:val="16"/>
                <w:b w:val="1"/>
                <w:bCs w:val="1"/>
                <w:color w:val="auto"/>
                <w:w w:val="87"/>
              </w:rPr>
              <w:t>June 30,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57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3600" w:type="dxa"/>
            <w:vAlign w:val="bottom"/>
          </w:tcPr>
          <w:p>
            <w:pPr>
              <w:spacing w:after="0"/>
              <w:rPr>
                <w:sz w:val="21"/>
                <w:szCs w:val="21"/>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gridSpan w:val="3"/>
          </w:tcPr>
          <w:p>
            <w:pPr>
              <w:jc w:val="right"/>
              <w:ind w:right="1033"/>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(7.7)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(26)%</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40" w:firstLine="8"/>
        <w:spacing w:after="0" w:line="252" w:lineRule="auto"/>
        <w:tabs>
          <w:tab w:leader="none" w:pos="192"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Provision for (benefit from) income taxes during the three months ended June 30, 2018 under Topic 606 (As Reported) and 605 (Balances Without Adoption of Topic 606) were as follows (in millions,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Balances Without</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Adoption of</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As Reported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Topic 606</w:t>
            </w:r>
          </w:p>
        </w:tc>
        <w:tc>
          <w:tcPr>
            <w:tcW w:w="180" w:type="dxa"/>
            <w:vAlign w:val="bottom"/>
          </w:tcPr>
          <w:p>
            <w:pPr>
              <w:spacing w:after="0"/>
              <w:rPr>
                <w:sz w:val="20"/>
                <w:szCs w:val="20"/>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Increase (Decrease)</w:t>
            </w:r>
          </w:p>
        </w:tc>
      </w:tr>
      <w:tr>
        <w:trPr>
          <w:trHeight w:val="27"/>
        </w:trPr>
        <w:tc>
          <w:tcPr>
            <w:tcW w:w="5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5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702"/>
        </w:trPr>
        <w:tc>
          <w:tcPr>
            <w:tcW w:w="5200" w:type="dxa"/>
            <w:vAlign w:val="bottom"/>
          </w:tcPr>
          <w:p>
            <w:pPr>
              <w:spacing w:after="0"/>
              <w:rPr>
                <w:sz w:val="24"/>
                <w:szCs w:val="24"/>
                <w:color w:val="auto"/>
              </w:rPr>
            </w:pPr>
          </w:p>
        </w:tc>
        <w:tc>
          <w:tcPr>
            <w:tcW w:w="1520" w:type="dxa"/>
            <w:vAlign w:val="bottom"/>
          </w:tcPr>
          <w:p>
            <w:pPr>
              <w:jc w:val="right"/>
              <w:ind w:right="83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effective tax rate was 4% for the three months ended June 30, 2018 compared to an effective tax rate of 30% for the same period last year, with the primary difference being the change in the federal tax rate to 21% in 2018 from 35% in the prior year, the release of a reserve on uncertain tax positions including interest due to a statute of limitation expiring and the completion of an IRS audit. The effective tax rate for the periods presented are comprised of U.S. federal and state taxes, withholding taxes, and foreign taxes of $17.2 million, which were offset by a tax provision benefit of $4.9 million for stock-based compensation. The tax rate for the three months ended June 30, 2018 was also impacted by release of a reserve on uncertain tax positions including interest of $10.1 million. The tax rate for the three months ended June 30, 2017 was comprised of U.S. federal and state taxes, withholding taxes and foreign taxes of $14.4 million which were offset by a tax provision benefit of $4.1 million for stock-based compensation.</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2017, the U.S. federal government enacted the 2017 Tax Act. Effective January 1, 2018, the 2017 Tax Act reduced the federal corporate income tax rate from 35% to 21%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SEC staff has issued Staff Accounting Bulletin No. 118 (</w:t>
      </w:r>
      <w:r>
        <w:rPr>
          <w:rFonts w:ascii="Arial" w:cs="Arial" w:eastAsia="Arial" w:hAnsi="Arial"/>
          <w:sz w:val="16"/>
          <w:szCs w:val="16"/>
          <w:i w:val="1"/>
          <w:iCs w:val="1"/>
          <w:color w:val="auto"/>
        </w:rPr>
        <w:t>“</w:t>
      </w:r>
      <w:r>
        <w:rPr>
          <w:rFonts w:ascii="Arial" w:cs="Arial" w:eastAsia="Arial" w:hAnsi="Arial"/>
          <w:sz w:val="16"/>
          <w:szCs w:val="16"/>
          <w:color w:val="auto"/>
        </w:rPr>
        <w:t>SAB 118”), which provides guidance on accounting for the tax effects of the 2017 Tax Act. SAB 118 provides a measurement period that should not extend beyond one year from the 2017 Tax Act enactment date for companies to complete the accounting under ASC 740. In accordance with SAB 118, a company must reflect the income tax effects of those aspects of the 2017 Tax Act for which the accounting under ASC 740 is complete. To the extent that a company’s accounting for certain income tax effects of the 2017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2017 Tax Act. At this time, our income tax reporting for these effects is provisional using reasonable estimates.</w:t>
      </w:r>
    </w:p>
    <w:p>
      <w:pPr>
        <w:spacing w:after="0" w:line="16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2017 Tax Act creates a new requirement that global intangible low-taxed income (“GILTI”) earned by controlled foreign corporations (“CFCs”) be included currently in the gross income of the CFCs’ U.S. shareholder. Because of the complexity of the new GILTI tax rules, we are continuing to evaluate this provision of the 2017 Tax Act and the application of ASC 740. Under GAAP, we are allowed to make an accounting policy choice of either (1) treating taxes due on U.S. inclusions in taxable income related to GILTI as a current-period expense when incurred (the “period cost method”) or (2) factoring such amounts into a company’s measurement of its deferred taxes. Our selection of an accounting policy for the first quarter of 2018 with respect to the GILTI tax rules was to treat GILTI tax as a current-period expense under the period cost method.</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IRS issued Notice 2018-26 on April 2, 2018, which included allowing a deduction for foreign taxes during 2017 to be allocated to earning and profits calculated as of November 2, 2017. This deduction resulted in a decrease of our transition tax by $3.2 million. We also released unrecognized tax benefits in the first quarter of 2018, which had previously reduced our transition tax. This increased our transition tax by $2.7 million. The net tax provision benefit due to changes in the transition tax calculation was $0.5 million in the first quarter of 2018.</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It is our policy is to include accrued interest and penalties related to uncertain tax benefits in income tax expense. As of June 30, 2018 and December 31, 2017, accrued interest and penalties were $11.1 million and $13.5 million, respectively. It is reasonably possible that our gross unrecognized tax benefits will decrease by up to $7.9 million in the next 12 months, primarily due to the lapse of the statute of limitations and audit settlement. These adjustments, if recognized, would positively impact our effective tax rate, and would be recognized as additional tax benefits.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On July 24, 2018, the U.S. Court of Appeals for the Ninth Circuit overturned the U.S. Tax Court’s unanimous 2015 decision in </w:t>
      </w:r>
      <w:r>
        <w:rPr>
          <w:rFonts w:ascii="Arial" w:cs="Arial" w:eastAsia="Arial" w:hAnsi="Arial"/>
          <w:sz w:val="18"/>
          <w:szCs w:val="18"/>
          <w:i w:val="1"/>
          <w:iCs w:val="1"/>
          <w:color w:val="auto"/>
        </w:rPr>
        <w:t>Altera v.</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Commissioner</w:t>
      </w:r>
      <w:r>
        <w:rPr>
          <w:rFonts w:ascii="Arial" w:cs="Arial" w:eastAsia="Arial" w:hAnsi="Arial"/>
          <w:sz w:val="18"/>
          <w:szCs w:val="18"/>
          <w:color w:val="auto"/>
        </w:rPr>
        <w:t>, holding that the IRS did not violate the rulemaking procedures required by the Administrative Procedures Act. In Altera, the taxpayer</w:t>
      </w:r>
      <w:r>
        <w:rPr>
          <w:rFonts w:ascii="Arial" w:cs="Arial" w:eastAsia="Arial" w:hAnsi="Arial"/>
          <w:sz w:val="18"/>
          <w:szCs w:val="18"/>
          <w:i w:val="1"/>
          <w:iCs w:val="1"/>
          <w:color w:val="auto"/>
        </w:rPr>
        <w:t xml:space="preserve"> </w:t>
      </w:r>
      <w:r>
        <w:rPr>
          <w:rFonts w:ascii="Arial" w:cs="Arial" w:eastAsia="Arial" w:hAnsi="Arial"/>
          <w:sz w:val="18"/>
          <w:szCs w:val="18"/>
          <w:color w:val="auto"/>
        </w:rPr>
        <w:t>challenged IRS regulations that required participants in qualified cost sharing arrangements to share stock-based compensation costs. The Tax Court had invalidated those regulations, in part because the Treasury Department failed to adequately consider significant taxpayer comments when adopting them. The Ninth Court decision reverses the Tax Court’s decision on this issue, holding that the Treasury Department’s rule was not arbitrary and capricious because the Treasury Department provided a sufficient basis for its decision making. We are in the process of evaluating the impact of this court decision which occurred subsequent to the quarter end.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and June 30,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6"/>
          </w:tcPr>
          <w:p>
            <w:pPr>
              <w:ind w:left="42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3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6"/>
                <w:szCs w:val="16"/>
                <w:b w:val="1"/>
                <w:bCs w:val="1"/>
                <w:color w:val="auto"/>
                <w:w w:val="89"/>
              </w:rPr>
              <w:t>2017</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25</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136.3</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19%</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420" w:type="dxa"/>
            <w:vAlign w:val="bottom"/>
          </w:tcPr>
          <w:p>
            <w:pPr>
              <w:ind w:left="1060"/>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19%</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
        <w:spacing w:after="0" w:line="252" w:lineRule="auto"/>
        <w:tabs>
          <w:tab w:leader="none" w:pos="192"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Revenue during the six months ended June 30, 2018 under Topic 606 (As Reported) and Topic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20"/>
              <w:spacing w:after="0"/>
              <w:rPr>
                <w:sz w:val="20"/>
                <w:szCs w:val="20"/>
                <w:color w:val="auto"/>
              </w:rPr>
            </w:pPr>
            <w:r>
              <w:rPr>
                <w:rFonts w:ascii="Arial" w:cs="Arial" w:eastAsia="Arial" w:hAnsi="Arial"/>
                <w:sz w:val="18"/>
                <w:szCs w:val="18"/>
                <w:color w:val="auto"/>
              </w:rPr>
              <w:t>Product</w:t>
            </w:r>
          </w:p>
        </w:tc>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309.1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9.9</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1440" w:type="dxa"/>
            <w:vAlign w:val="bottom"/>
            <w:tcBorders>
              <w:top w:val="single" w:sz="8" w:color="auto"/>
              <w:bottom w:val="single" w:sz="8" w:color="auto"/>
            </w:tcBorders>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840.3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828.7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Americas</w:t>
            </w:r>
          </w:p>
        </w:tc>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365.1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APAC</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40" w:type="dxa"/>
            <w:vAlign w:val="bottom"/>
            <w:tcBorders>
              <w:bottom w:val="single" w:sz="8" w:color="auto"/>
            </w:tcBorders>
            <w:shd w:val="clear" w:color="auto" w:fill="CCEEFF"/>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840.3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Total revenue increased by $136.3 million, or 19%, during the six months ended June 30, 2018 compared to the same period last year. We continued to experience diversification of revenue globally. Revenue from all our regions grew, with EMEA contributing the largest portion of our revenue growth on a percentage basis. Product revenue increased by $31.2 million, or 11%, during the six months ended June 30, 2018 compared to the same period last year.</w:t>
      </w:r>
    </w:p>
    <w:p>
      <w:pPr>
        <w:ind w:right="60"/>
        <w:spacing w:after="0" w:line="252" w:lineRule="auto"/>
        <w:rPr>
          <w:sz w:val="20"/>
          <w:szCs w:val="20"/>
          <w:color w:val="auto"/>
        </w:rPr>
      </w:pPr>
      <w:r>
        <w:rPr>
          <w:rFonts w:ascii="Arial" w:cs="Arial" w:eastAsia="Arial" w:hAnsi="Arial"/>
          <w:sz w:val="18"/>
          <w:szCs w:val="18"/>
          <w:color w:val="auto"/>
        </w:rPr>
        <w:t>Sales of non-FortiGate products, such as the Fortinet Security Fabric and cloud products, were the fastest growing products compared to the remainder of our business. FortiGate unit shipments, including Fortinet Security Fabric, increased year-over-year. Product revenue in the six months ended June 30, 2018 included a $9.9 million benefit from the adoption of Topic 606, which primarily related to sell-through of our U.S. channel inventory and the change in accounting treatment under Topic 606 for some of our software products where revenue from these arrangements can now be recognized immediately instead of ratably over the contracted service term. Service revenue increased by $105.1 million, or 25%, during the six months ended June 30, 2018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3"/>
          </w:tcPr>
          <w:p>
            <w:pPr>
              <w:jc w:val="right"/>
              <w:ind w:right="535"/>
              <w:spacing w:after="0"/>
              <w:rPr>
                <w:sz w:val="20"/>
                <w:szCs w:val="20"/>
                <w:color w:val="auto"/>
              </w:rPr>
            </w:pPr>
            <w:r>
              <w:rPr>
                <w:rFonts w:ascii="Arial" w:cs="Arial" w:eastAsia="Arial" w:hAnsi="Arial"/>
                <w:sz w:val="16"/>
                <w:szCs w:val="16"/>
                <w:b w:val="1"/>
                <w:bCs w:val="1"/>
                <w:color w:val="auto"/>
                <w:w w:val="93"/>
              </w:rPr>
              <w:t>Six Months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43"/>
        </w:trPr>
        <w:tc>
          <w:tcPr>
            <w:tcW w:w="36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(in millions, except percentages)</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1240" w:type="dxa"/>
            <w:vAlign w:val="bottom"/>
          </w:tcPr>
          <w:p>
            <w:pPr>
              <w:jc w:val="right"/>
              <w:ind w:right="10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w w:val="88"/>
              </w:rPr>
              <w:t>132.1</w:t>
            </w:r>
          </w:p>
        </w:tc>
        <w:tc>
          <w:tcPr>
            <w:tcW w:w="100" w:type="dxa"/>
            <w:vAlign w:val="bottom"/>
          </w:tcPr>
          <w:p>
            <w:pPr>
              <w:spacing w:after="0"/>
              <w:rPr>
                <w:sz w:val="21"/>
                <w:szCs w:val="21"/>
                <w:color w:val="auto"/>
              </w:rPr>
            </w:pP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116.1</w:t>
            </w:r>
          </w:p>
        </w:tc>
        <w:tc>
          <w:tcPr>
            <w:tcW w:w="120" w:type="dxa"/>
            <w:vAlign w:val="bottom"/>
          </w:tcPr>
          <w:p>
            <w:pPr>
              <w:spacing w:after="0"/>
              <w:rPr>
                <w:sz w:val="21"/>
                <w:szCs w:val="21"/>
                <w:color w:val="auto"/>
              </w:rPr>
            </w:pPr>
          </w:p>
        </w:tc>
        <w:tc>
          <w:tcPr>
            <w:tcW w:w="1280" w:type="dxa"/>
            <w:vAlign w:val="bottom"/>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16.0</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14%</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1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12</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124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88"/>
              </w:rPr>
              <w:t>210.3</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1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186.2</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24.1</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13%</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196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460" w:firstLine="8"/>
        <w:spacing w:after="0" w:line="252" w:lineRule="auto"/>
        <w:tabs>
          <w:tab w:leader="none" w:pos="192"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Cost of revenue and gross margin during the six months ended June 30, 2018 under Topic 606 (As Reported) and 605 (Balances Without Adoption of Topic 606) were as follows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Balances Without Adoption</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79"/>
              </w:rPr>
              <w:t>of</w:t>
            </w:r>
          </w:p>
        </w:tc>
        <w:tc>
          <w:tcPr>
            <w:tcW w:w="22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As Reported</w:t>
            </w:r>
          </w:p>
        </w:tc>
        <w:tc>
          <w:tcPr>
            <w:tcW w:w="40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Topic 606</w:t>
            </w:r>
          </w:p>
        </w:tc>
        <w:tc>
          <w:tcPr>
            <w:tcW w:w="22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Increase (Decrease)</w:t>
            </w:r>
          </w:p>
        </w:tc>
      </w:tr>
      <w:tr>
        <w:trPr>
          <w:trHeight w:val="33"/>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97"/>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w:t>
            </w:r>
          </w:p>
        </w:tc>
      </w:tr>
      <w:tr>
        <w:trPr>
          <w:trHeight w:val="23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Total gross margin increased by 1.4 percentage points during the six months ended June 30, 2018 compared to the same period last year, driven by higher margin on service revenue. Service gross margin increased by 1.8 percentage points during the six months ended June 30, 2018 compared to the same period last year, due to the strength of our FortiCare technical support and FortiGuard security subscription revenue growing 32% and 20%, respectively, during the six months ended June 30, 2018 compared to the same period last year, which outpaced the increase in the related personnel costs and headcount growth, resulting in a higher margin. Cost of service revenue was comprised primarily of personnel costs. Product gross margin decreased by 0.9 percentage point during the six months ended June 30, 2018 compared to the same period last year, primarily due to increase in product mix, product transition and contract term. The decrease was partially offset by increased revenue in higher-margin software licenses. Total cost of product revenue was comprised primarily of direct and indirect cost of products sold, inventory reserves and other charges.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ind w:left="42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23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4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8"/>
                <w:szCs w:val="18"/>
                <w:color w:val="auto"/>
                <w:w w:val="94"/>
              </w:rPr>
              <w:t>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w:t>
            </w: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252" w:lineRule="auto"/>
        <w:tabs>
          <w:tab w:leader="none" w:pos="192"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Operating expenses during the six months ended June 30, 2018 under Topic 606 (As Reported) and Topic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3"/>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3"/>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546.9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Research and development expense increased by $17.9 million, or 17%, during the six months ended June 30, 2018 compared to the same period last year, primarily due to an increase of $14.0 million in personnel-related costs as a result of increased headcount to support the development of new products and continued enhancements of our existing products. In addition, product development expenses, such as third-party testing, prototypes and supplies, increased by $2.6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depreciation and other occupancy-related costs increased by $1.6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Sales and marketing expense increased by $41.4 million, or 12%, during the six months ended June 30, 2018 compared to the same period last year, primarily due to an increase of $30.3 million in personnel-related costs as sales and marketing headcount increased in order to drive market share gains globally. These increases in personnel costs included a benefit of $23.5 million from the adoption of the new accounting standard related to deferred contract costs. Under this new standard, we capitalized certain commissions on service contracts and amortize the amount over a certain period. Prior to the adoption of this new standard, we expensed the commission related to these service contracts. Our sales and marketing expense would have increased by $64.9 million, or 19%, under the prior accounting standard. Refer to Note 2 in our notes to the condensed consolidated financial statement for more information. Travel and entertainment expense increased by $4.3 million. In addition, depreciation expense and other occupancy-related expense increased by $3.3 million and marketing-related expense increased by $3.1 million. As a percentage of total revenue, sales and marketing expense decreased primarily due to the benefit from the new accounting standard on deferred contract costs. Excluding this benefit, sales and marketing expense as a percentage of revenue would have been 48% of total revenue.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 and administrative expense increased by $4.0 million, or 9%, during the six months ended June 30, 2018 compared to the same period last year. Personnel costs increased by $6.2 million as we continued to increase headcount in order to support our expanding business. In addition, expense related to supplies and software licenses increased by $2.2 million. The increase in expense was partially offset by a decrease in depreciation and other occupancy-related costs of $3.4 million and a decrease in litigation settlement costs of $1.7 million.</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generated operating income of $83.1 million during the six months ended June 30, 2018, an increase of $49.2 million, or 145%, compared to $33.9 million in the same period last year. The improvement in operating income generated was primarily due to the benefit from the adoption of the new accounting standard. As a percentage of total revenue, sales and marketing expenses decreased to 45% in the six months ended June 30, 2018 from 48% in the same period last year. Excluding the benefit from the adoption of Topic 606, sales and marketing expense as a percentage of revenue would have been 48% of total revenue. The adoption of this new standard resulted in an improvement of 4.0 percentage points in our operating margin.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20" w:type="dxa"/>
            <w:vAlign w:val="bottom"/>
            <w:gridSpan w:val="3"/>
          </w:tcPr>
          <w:p>
            <w:pPr>
              <w:jc w:val="right"/>
              <w:ind w:right="1115"/>
              <w:spacing w:after="0"/>
              <w:rPr>
                <w:sz w:val="20"/>
                <w:szCs w:val="20"/>
                <w:color w:val="auto"/>
              </w:rPr>
            </w:pPr>
            <w:r>
              <w:rPr>
                <w:rFonts w:ascii="Arial" w:cs="Arial" w:eastAsia="Arial" w:hAnsi="Arial"/>
                <w:sz w:val="16"/>
                <w:szCs w:val="16"/>
                <w:b w:val="1"/>
                <w:bCs w:val="1"/>
                <w:color w:val="auto"/>
                <w:w w:val="93"/>
              </w:rPr>
              <w:t>Six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720" w:type="dxa"/>
            <w:vAlign w:val="bottom"/>
          </w:tcPr>
          <w:p>
            <w:pPr>
              <w:spacing w:after="0"/>
              <w:rPr>
                <w:sz w:val="18"/>
                <w:szCs w:val="18"/>
                <w:color w:val="auto"/>
              </w:rPr>
            </w:pPr>
          </w:p>
        </w:tc>
        <w:tc>
          <w:tcPr>
            <w:tcW w:w="1200" w:type="dxa"/>
            <w:vAlign w:val="bottom"/>
          </w:tcPr>
          <w:p>
            <w:pPr>
              <w:jc w:val="center"/>
              <w:ind w:left="496"/>
              <w:spacing w:after="0"/>
              <w:rPr>
                <w:sz w:val="20"/>
                <w:szCs w:val="20"/>
                <w:color w:val="auto"/>
              </w:rPr>
            </w:pPr>
            <w:r>
              <w:rPr>
                <w:rFonts w:ascii="Arial" w:cs="Arial" w:eastAsia="Arial" w:hAnsi="Arial"/>
                <w:sz w:val="16"/>
                <w:szCs w:val="16"/>
                <w:b w:val="1"/>
                <w:bCs w:val="1"/>
                <w:color w:val="auto"/>
                <w:w w:val="90"/>
              </w:rPr>
              <w:t>June 30,</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655"/>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4.7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20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1"/>
                <w:szCs w:val="21"/>
                <w:color w:val="auto"/>
              </w:rPr>
            </w:pPr>
          </w:p>
        </w:tc>
        <w:tc>
          <w:tcPr>
            <w:tcW w:w="1780" w:type="dxa"/>
            <w:vAlign w:val="bottom"/>
          </w:tcPr>
          <w:p>
            <w:pPr>
              <w:jc w:val="right"/>
              <w:ind w:right="293"/>
              <w:spacing w:after="0"/>
              <w:rPr>
                <w:sz w:val="20"/>
                <w:szCs w:val="20"/>
                <w:color w:val="auto"/>
              </w:rPr>
            </w:pPr>
            <w:r>
              <w:rPr>
                <w:rFonts w:ascii="Arial" w:cs="Arial" w:eastAsia="Arial" w:hAnsi="Arial"/>
                <w:sz w:val="18"/>
                <w:szCs w:val="18"/>
                <w:color w:val="auto"/>
              </w:rPr>
              <w:t>(6.7)</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(447)</w:t>
            </w:r>
          </w:p>
        </w:tc>
      </w:tr>
    </w:tbl>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Interest income increased during the six months ended June 30, 2018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The change in other income (expense)—net during the six months ended June 30, 2018 compared to the same period last year was primarily due to higher foreign currency exchange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Six Months Ended</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260" w:type="dxa"/>
            <w:vAlign w:val="bottom"/>
          </w:tcPr>
          <w:p>
            <w:pPr>
              <w:jc w:val="center"/>
              <w:ind w:left="536"/>
              <w:spacing w:after="0"/>
              <w:rPr>
                <w:sz w:val="20"/>
                <w:szCs w:val="20"/>
                <w:color w:val="auto"/>
              </w:rPr>
            </w:pPr>
            <w:r>
              <w:rPr>
                <w:rFonts w:ascii="Arial" w:cs="Arial" w:eastAsia="Arial" w:hAnsi="Arial"/>
                <w:sz w:val="16"/>
                <w:szCs w:val="16"/>
                <w:b w:val="1"/>
                <w:bCs w:val="1"/>
                <w:color w:val="auto"/>
                <w:w w:val="87"/>
              </w:rPr>
              <w:t>June 30,</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ind w:right="575"/>
              <w:spacing w:after="0"/>
              <w:rPr>
                <w:sz w:val="20"/>
                <w:szCs w:val="20"/>
                <w:color w:val="auto"/>
              </w:rPr>
            </w:pPr>
            <w:r>
              <w:rPr>
                <w:rFonts w:ascii="Arial" w:cs="Arial" w:eastAsia="Arial" w:hAnsi="Arial"/>
                <w:sz w:val="16"/>
                <w:szCs w:val="16"/>
                <w:b w:val="1"/>
                <w:bCs w:val="1"/>
                <w:color w:val="auto"/>
                <w:w w:val="90"/>
              </w:rPr>
              <w:t>June 30,</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358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6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gridSpan w:val="3"/>
          </w:tcPr>
          <w:p>
            <w:pPr>
              <w:jc w:val="right"/>
              <w:ind w:right="1033"/>
              <w:spacing w:after="0"/>
              <w:rPr>
                <w:sz w:val="20"/>
                <w:szCs w:val="20"/>
                <w:color w:val="auto"/>
              </w:rPr>
            </w:pPr>
            <w:r>
              <w:rPr>
                <w:rFonts w:ascii="Arial" w:cs="Arial" w:eastAsia="Arial" w:hAnsi="Arial"/>
                <w:sz w:val="16"/>
                <w:szCs w:val="16"/>
                <w:b w:val="1"/>
                <w:bCs w:val="1"/>
                <w:color w:val="auto"/>
                <w:w w:val="98"/>
              </w:rPr>
              <w:t>(in millions,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7.3</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1"/>
                <w:szCs w:val="21"/>
                <w:color w:val="auto"/>
              </w:rPr>
            </w:pPr>
          </w:p>
        </w:tc>
        <w:tc>
          <w:tcPr>
            <w:tcW w:w="1820" w:type="dxa"/>
            <w:vAlign w:val="bottom"/>
          </w:tcPr>
          <w:p>
            <w:pPr>
              <w:jc w:val="right"/>
              <w:ind w:right="273"/>
              <w:spacing w:after="0"/>
              <w:rPr>
                <w:sz w:val="20"/>
                <w:szCs w:val="20"/>
                <w:color w:val="auto"/>
              </w:rPr>
            </w:pPr>
            <w:r>
              <w:rPr>
                <w:rFonts w:ascii="Arial" w:cs="Arial" w:eastAsia="Arial" w:hAnsi="Arial"/>
                <w:sz w:val="18"/>
                <w:szCs w:val="18"/>
                <w:color w:val="auto"/>
              </w:rPr>
              <w:t>(21)%</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80" w:firstLine="8"/>
        <w:spacing w:after="0" w:line="252" w:lineRule="auto"/>
        <w:tabs>
          <w:tab w:leader="none" w:pos="192"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Provision for (benefit from) income taxes during the six months ended June 30, 2018 under Topic 606 (As Reported) and 605 (Balances Without Adoption of Topic 606) were as follows (in millions,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Balances Without</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Adoption of</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As Reported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Topic 606</w:t>
            </w:r>
          </w:p>
        </w:tc>
        <w:tc>
          <w:tcPr>
            <w:tcW w:w="180" w:type="dxa"/>
            <w:vAlign w:val="bottom"/>
          </w:tcPr>
          <w:p>
            <w:pPr>
              <w:spacing w:after="0"/>
              <w:rPr>
                <w:sz w:val="20"/>
                <w:szCs w:val="20"/>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Increase (Decrease)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6"/>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5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effective tax rate was a benefit of 3% for the six months ended June 30, 2018 compared to an effective tax rate of 18% for the same period last year, with the primary difference being the change in the federal corporate income tax rate to 21% in 2018 from 35% in the prior year and release of reserve for uncertain tax positions, including interest due to a statute of limitation expiring and the IRS audit finalization. The effective tax rate for the periods presented are comprised of U.S. federal and state taxes, withholding taxes and foreign taxes of $25.7 million, which were offset by a tax benefit of $10.5 million for stock-based compensation. The tax rate for the six month ended June 30, 2018 was also impacted by release of reserve for uncertain tax positions including interest of $18.0 million. The tax rate for the six months ended June 30, 2017 was comprised of U.S. federal and state taxes, withholding taxes and foreign taxes of $17.3 million which were offset by a tax provision benefit of $9.6 million for stock-based compensation.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left="934"/>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center"/>
              <w:ind w:right="1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538.3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1,349.3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689.6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center"/>
              <w:ind w:right="1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Liquidity and capital resources may be impacted by our operating activities, as well as by our stock repurchases, real estate and other capital expenditures, proceeds associated with stock option exercises and issuances of common stock under the ESPP, payment of taxes in connection with the net settlement of equity awards and business acquisitions. In recent years, we have received significant capital resources as a result of increases in our deferred revenue and the proceeds from exercise of stock options and purchases under the ESPP. Additional increases in deferred revenue may depend on a number of factors including our billing growth rate, service contract renewal rates and length of initial and renewals service contracts. We expect proceeds from the issuance of stock options in future years to be impacted by the increased mix of restricted stock units granted versus stock options and also to vary based on our share price. As of June 30, 2018, $325.8 million remained available for future share repurchase under the Repurchase Program.</w:t>
      </w:r>
    </w:p>
    <w:p>
      <w:pPr>
        <w:spacing w:after="0" w:line="16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Construction on the new headquarters building is expected to start in the fourth quarter of 2018 and related spend will continue in 2019 and until project completion. We estimate 2018 spending for this project to be approximately $10.0 million to $20.0 million.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June 30, 2018, our cash, cash equivalents and investments of $1.50 billion were invested primarily in corporate debt securities, certificates of deposit and term deposits, money market funds, commercial paper and U.S. government and agency securities. It is our investment policy to invest excess cash in a manner that preserves capital, provides liquidity and maximizes return without significantly increasing risk. We do not enter into investments for trading or speculative purposes.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As of June 30, 2018, $915.7 million of our cash and investments were held by our international subsidiaries. Under the 2017 Tax Act signed into law in December 2017,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were previously deemed indefinitely reinvested. We expect to be able to repatriate an additional $150 million over the remainder of 2018. For those investments from which we were able to make a reasonable estimate of the tax effects of such repatriation, we have recorded a provisional estimate for withholding and state taxes. Most of our off-shore cash is located in Singapore. Corporate law in Singapore only allows dividends to be paid to the extent we have retained earnings in Singapore. In Singapore, our retained earnings are lower than our current cash balance. 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in connection with the adoption of Topic 606, depreciation of property and equipment, amortization of intangible assets and amortization of investment premiums.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operating activities during the six months ended June 30, 2018 provided $282.0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27% as of June 30, 2018 compared to the same period last year to $1.47 billion.</w:t>
      </w:r>
    </w:p>
    <w:p>
      <w:pPr>
        <w:spacing w:after="0" w:line="17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operating activities during the six months ended June 30, 2017 provided $274.5 million in cash as a result of the continued growth of our business and our ability to successfully manage our working capital. The increase in sales of our FortiGuard security subscription and FortiCare technical supports to new and existing customers was reflected in the increase in our deferred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purchases of property and equipment and payments made in connection with a business combination. Historically, in making a lease versus purchase decision related to our larger facilities, we have considered various factors including financial metrics and the impact on our employees. In certain cases, we have elected to purchase the facility if we believe that purchasing rather than leasing is more in line with our long-term strategy. We expect to make similar decisions in the future.</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six months ended June 30, 2018, cash used for investing activities was primarily due to the $23.2 million we spent on capital expenditures and $6.0 million used for the acquisition of Bradford, net of cash acquired. This was partially offset by an increase in cash of $10.7 million due to maturities and sales of our investments, net of purchases.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six months ended June 30, 2017, cash used in investing activities was primarily due to the $99.9 million we spent on capital expenditures, including the purchase of $84.8 million in real estate in Burnaby, Canada. Cash outflows due to purchases of investments, net of sales and maturities, were $13.3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proceeds from the issuance of common stock under our equity incentive plan and the ESPP, taxes paid related to net share settlement of equity awards and payments of debt assumed in a business combination.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months ended June 30, 2018, cash used for financing activities was $102.4 million, primarily due to $117.1 million used to repurchase our common stock and $9.5 million of payments of the debt assumed in business combination. This was partially offset by $24.2 million of proceeds from the issuance of common stock, net of tax withholding.</w:t>
      </w:r>
    </w:p>
    <w:p>
      <w:pPr>
        <w:spacing w:after="0" w:line="18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During the six months ended June 30, 2017, cash used in financing activities was $17.2 million, primarily due to $33.1 million used to repurchase our common stock. This was partially offset by $15.9 million of proceeds from the issuance of common stock, net of tax withholding.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six months ended June 30, 2018 to the contractual obligations and commitments disclosed in Management’s Discussion and Analysis of Financial Condition and Results of Operations, set forth in Part II, Item 7, of the Form 10-K. See Note 10 to the notes to the condensed consolidated financial statements included in Part I, Item 1 of this Quarterly Report on Form 10-Q for additional information regarding contractual obligations and commitments.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of June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2018 compared to the disclosures in Part II, Item 7A of the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June 30, 2018.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2018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January 2018, we implemented certain internal controls over financial reporting in connection with our adoption of ASC Topic 606, Revenue from Contracts with Customers. There were no other changes in our internal control over financial reporting (as defined in Rules 13a-15(f) or 15d-15(f) under the Exchange Act) during the six months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 We are currently in settlement discussions with the United States Attorney’s Office.</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subscriptions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16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retain, sales personnel;</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in addition to small- and medium-sized business and service providers, and to selling our broad security product and services portfolio;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2" w:right="29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24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w:t>
      </w:r>
    </w:p>
    <w:p>
      <w:pPr>
        <w:spacing w:after="0" w:line="225"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cloud-based platforms on the timing of our revenue recognition, billings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122" w:right="31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14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6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2" w:right="27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to a lesser extent,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100" w:hanging="644"/>
        <w:spacing w:after="0" w:line="31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costs of complying with, and the risks and costs of non-compliance with, U.S. or other foreign laws and regulations for foreign operations, including the U.S. Foreign Corrupt Practices Act, the United Kingdom Bribery Act 2010, the General Data Protection Regulation (which became effective in May 2018), import and export control laws, tariffs and retaliatory measures, trade barriers and economic sanctions;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2" w:right="27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8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Such sales are often for a longer contract term and may be at higher discount levels. We also have experienced uneven traction selling to certain government organizations and service providers,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73" w:lineRule="exact"/>
        <w:rPr>
          <w:sz w:val="20"/>
          <w:szCs w:val="20"/>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700" w:hanging="644"/>
        <w:spacing w:after="0" w:line="308"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continued changes in buying behavior by larger customers within this industry could negatively impact our business. Large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and free cash flow. Mismanagement of our inventory, whether due to imprecise forecasting, employee errors or malfeasance, inaccurate information or otherwise, may adversely affect our results of operations.</w:t>
      </w:r>
    </w:p>
    <w:p>
      <w:pPr>
        <w:spacing w:after="0" w:line="1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In February 2018, we underwent a transition in senior management as Drew Del Matto resigned as our Chief Financial Officer and Keith Jensen was appointed as our Interim Chief Financial Officer. Mr. Jensen was appointed as our Chief Financial Officer effective May 2018. The loss of the services or the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or they shift focus to other vendors and/or our competitors,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8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Networks Group (“Exclusive”), which distributes our solutions to a large group of resellers and end-customers, acquired Fine Tec U.S. Since the acquisition of Fine Tec U.S., Exclusive’s business with us has increased and may continue to increase in the future. The two channel partners together accounted for 32% of our total net accounts receivable as of June 30, 2018. During the three months ended June 30, 2018, Exclusive and Ingram Micro, Inc. (“Ingram Micro”), which distributed our solutions to a large group of resellers and end-customers, accounted for 29% and 10% of our total revenue, respectively. During the six months ended June 30, 2018, Exclusive accounted for 29% of our total revenue. During the three months ended June 30, 2017, Exclusive, Fine Tec Computers, and Ingram Micro accounted for 20%, 12%, and 10% of our total revenue, respectively. During the six months ended June 30, 2017, Exclusive and Fine Tec Computers accounted for 20% and 12% of our total revenue, respectively.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We are also susceptible to errors, defects or vulnerabilities that may arise at different stages in our supply chain and which are out of our control.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and subscriptions,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6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holdings, or are unable to improve our systems, processes and controls, our operating results will be negatively affected.</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7"/>
          <w:szCs w:val="17"/>
          <w:color w:val="auto"/>
        </w:rPr>
        <w:t>We rely heavily on information technology and accounting systems to help manage critical functions such as order processing,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our business continuity and disaster recovery plans and processes,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We purchased office buildings in Ottawa and Burnaby, Canada in 2017, and we have purchased various small buildings adjacent to our Sunnyvale headquarters as we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ERP and CRM systems.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maintenance of our ERP and CRM systems has required, and will continue to require, the investment of significant financial and human resources. In addition, we may choose to upgrade or expand the functionality of our ERP and CRM systems, leading to additional costs. We may also discover deficiencies in our design or maintenance of the ERP or CRM systems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recently implemented new systems to comply with the new revenue recognition standard and may further expand the scope of our ERP and CRM systems. Our operating results may be adversely affected if these upgrades or expansions are delayed or if the systems do not function as intended or are not sufficient to meet our revenue recognition accounting requirements.</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Additionally, in connection with adopting and implementing the new revenue accounting standard, management will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as we work toward implementing the new standard.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Micro-Star International Co., Ltd., Wistron Corporation, Senao Networks, Inc., IBASE Technology, Inc. and a number of manufacturers located in Taiwan and other countries outside the United States.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proprietary SPU, which is the key to the performance of our appliances, is built by contract manufacturers including Faraday, MegaChips Corporation and Renesas.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9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provided guidance with respect to a portion of the conflict minerals filing requirements that somewhat reduced the reporting required,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OCZ,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22" w:right="29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example, with respect to data privacy and protection, the General Data Protection Regulation (the “GDPR”), which became effective in May 2018 and superseded current EU data protection regulations. The GDPR imposes stringent data handling requirements on companies that receive or process personal data of residents of the EU, and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Additionally, other legal regimes throughout the world governed data handling, protection, and privacy. For example, in June 2018 California passed the California Consumer Privacy Act (the “CCPA”), which provides new data privacy rights for consumers and new operational requirements for companies, effective in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 See Part II, Item 1 of this Quarterly Report on Form 10-Q for more information on our legal proceedings. 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March 2018, the current administration imposed a 25% tariff on steel imports and a 10% tariff on aluminum imports and announced additional tariffs on goods imported from China specifically, as well as certain other countries. Other tariffs have since been imposed by the United States and more tariffs, including on electronic products, have been announced and could be effected in the coming months. Other countries have in turn imposed retaliatory tariffs on goods exported from the United States and both the United States and foreign countries have threatened to alter or leave current trade agreements. We do not expect these tariffs to have a significant effect on our raw material costs. However, if retaliatory trade measures taken by China or other countries in response to the tariffs cause the cost of our products to increase or disrupt our operations, we may be required to raise our prices, which may result in the loss of customers and harm to our reputation and operating performance.</w:t>
      </w:r>
    </w:p>
    <w:p>
      <w:pPr>
        <w:spacing w:after="0" w:line="19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the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If our internal enterprise IT networks, on which we conduct internal business and interface externally, or our operational networks, through which we connect to customer systems and provide services, are compromised, public perception of our products and services will be harmed, we may become subject to liability, and our business, operating results and stock price may be adversely impacted.</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2" w:right="27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363"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tax laws and regulations.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Our failure to meet these commitments could adversely impact our provision for income taxes.</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Tax authorities in France are currently examining the inter-company relationship between Fortinet, Inc., Fortinet France and Fortinet Singapore. In May 2017, we received a notice from the French tax authorities that an audit was officially opened for tax years from 2007 to 2015. We regularly assess the likelihood of adverse outcomes resulting from such examinations to determine the adequacy of our provision for income taxes.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2017, the U.S. federal government enacted the Tax Cuts and Jobs Act (the “2017 Tax Act”). The 2017 Tax Act significantly changed the existing U.S. corporate income tax laws by, among other things, lowering the corporate tax rate, implementing a territorial tax system and imposing a one-time deemed repatriation tax on cumulative undistributed foreign earnings, for which we have not previously recognized U.S. income taxes. Given the timing, scope and magnitude of the changes enacted by the 2017 Tax Act, along with ongoing implementation efforts, guidance and other developments from U.S. regulatory and standard-setting bodies, the completion of the accounting for certain tax items included in Note 11 to the consolidated financial statements that have been reported as provisional, or where no estimate of the impact was provided as a result of us not having the necessary information, may be subject to material change. Any significant changes to our future effective tax rate, including final resolution of provisional amounts relating to effects of the 2017 Tax Act, may result in a material adverse effect on our business, financial condition, results of operations or cash flows. We will continue to monitor and assess the impact of the 2017 Tax Act and the ongoing guidance and accounting interpretations issued in response to the 2017 Tax Act.</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assets by evaluating both positive and negative evidence that may exist.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Organisation for Economic Co-operation and Development (the “OECD”) has been working on a Base Erosion and Profit Sharing Project, commonly known as BEPS. As part of this project, the OECD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2"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intellectual property, such as patents. For any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negatively impact our ability to provide products and services, such as FortiCare support and FortiGuard subscription services and could otherwise negatively impact our business.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2" w:right="25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Check Point, Cisco, F5 Networks, FireEye, Forcepoint, Imperva, Juniper, McAfee, Palo Alto Networks, Proofpoint, SonicWALL, Sophos, Symantec and Trend Micro.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2" w:right="25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several ongoing patent lawsuits, several non-practicing entity patent holding companies have sent us demand letters proposing that we license certain of their patents, and organizations have sent letters demanding that we provide indemnification for patent claims. One such patent lawsuit by a telecommunications company was filed in federal court in Delaware in July 2018.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2017, our internal controls over financial reporting were effective, we cannot predict the outcome of our testing in 2018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or new accounting pronouncements, such as changes to standards related to revenue recognition, equity investment valuation (which became effective for us beginning on January 1, 2018) and accounting for leases (which will become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have adopted the new revenue recognition standard as of January 1, 2018. Refer to Note 1 and Note 2 in the notes to our condensed consolidated financial statements included in this Quarterly Report on Form 10-Q for additional information on the new standard and its potential impact on us.</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new revenue standard is principles based and interpretation of those principles may vary from company to company based on their unique circumstances. Management will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the new equity investment valuation standard, which requires most equity investments to be measured at fair value (with subsequent changes in fair value recognized in net income),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six months ended June 30, 2018, the closing price of our common stock ranged from $43.83 to $66.17 per share.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our board of directors approved the increase in the aggregate authorized repurchase amount under the Repurchase Program by $500.0 million, bringing the total authorization to $1.5 billion. Share repurchases under the Repurchase Program could affect the price of our common stock, increase stock price volatility and diminish our cash reserves. In addition, an announcement of the reduction, suspension or termination of our share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2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June 30, 2018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Number of Shares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Purchased</w:t>
            </w:r>
          </w:p>
        </w:tc>
        <w:tc>
          <w:tcPr>
            <w:tcW w:w="120" w:type="dxa"/>
            <w:vAlign w:val="bottom"/>
            <w:vMerge w:val="restart"/>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 2018</w:t>
            </w:r>
          </w:p>
        </w:tc>
        <w:tc>
          <w:tcPr>
            <w:tcW w:w="2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May 1 - May 31, 2018</w:t>
            </w:r>
          </w:p>
        </w:tc>
        <w:tc>
          <w:tcPr>
            <w:tcW w:w="2060" w:type="dxa"/>
            <w:vAlign w:val="bottom"/>
          </w:tcPr>
          <w:p>
            <w:pPr>
              <w:jc w:val="right"/>
              <w:ind w:right="37"/>
              <w:spacing w:after="0"/>
              <w:rPr>
                <w:sz w:val="20"/>
                <w:szCs w:val="20"/>
                <w:color w:val="auto"/>
              </w:rPr>
            </w:pPr>
            <w:r>
              <w:rPr>
                <w:rFonts w:ascii="Arial" w:cs="Arial" w:eastAsia="Arial" w:hAnsi="Arial"/>
                <w:sz w:val="18"/>
                <w:szCs w:val="18"/>
                <w:color w:val="auto"/>
              </w:rPr>
              <w:t>27,245</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27,245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 2018</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240" w:type="dxa"/>
            <w:vAlign w:val="bottom"/>
            <w:gridSpan w:val="2"/>
          </w:tcPr>
          <w:p>
            <w:pPr>
              <w:spacing w:after="0"/>
              <w:rPr>
                <w:rFonts w:ascii="Arial" w:cs="Arial" w:eastAsia="Arial" w:hAnsi="Arial"/>
                <w:sz w:val="14"/>
                <w:szCs w:val="14"/>
                <w:color w:val="0000FF"/>
                <w:w w:val="80"/>
              </w:rPr>
            </w:pPr>
            <w:hyperlink r:id="rId17">
              <w:r>
                <w:rPr>
                  <w:rFonts w:ascii="Arial" w:cs="Arial" w:eastAsia="Arial" w:hAnsi="Arial"/>
                  <w:sz w:val="14"/>
                  <w:szCs w:val="14"/>
                  <w:color w:val="0000FF"/>
                  <w:w w:val="80"/>
                </w:rPr>
                <w:t>3.</w:t>
              </w:r>
              <w:r>
                <w:rPr>
                  <w:rFonts w:ascii="Arial" w:cs="Arial" w:eastAsia="Arial" w:hAnsi="Arial"/>
                  <w:sz w:val="14"/>
                  <w:szCs w:val="14"/>
                  <w:u w:val="single" w:color="auto"/>
                  <w:color w:val="0000FF"/>
                  <w:w w:val="80"/>
                </w:rPr>
                <w:t>1</w:t>
              </w:r>
            </w:hyperlink>
            <w:r>
              <w:rPr>
                <w:rFonts w:ascii="Arial" w:cs="Arial" w:eastAsia="Arial" w:hAnsi="Arial"/>
                <w:sz w:val="14"/>
                <w:szCs w:val="14"/>
                <w:color w:val="000000"/>
                <w:w w:val="80"/>
              </w:rPr>
              <w:t>*</w:t>
            </w:r>
          </w:p>
        </w:tc>
        <w:tc>
          <w:tcPr>
            <w:tcW w:w="5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4"/>
                <w:szCs w:val="14"/>
                <w:color w:val="auto"/>
              </w:rPr>
              <w:t>Amended and Restated Certificate of Incorporation</w:t>
            </w:r>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240" w:type="dxa"/>
            <w:vAlign w:val="bottom"/>
            <w:gridSpan w:val="2"/>
          </w:tcPr>
          <w:p>
            <w:pPr>
              <w:spacing w:after="0"/>
              <w:rPr>
                <w:rFonts w:ascii="Arial" w:cs="Arial" w:eastAsia="Arial" w:hAnsi="Arial"/>
                <w:sz w:val="14"/>
                <w:szCs w:val="14"/>
                <w:color w:val="0000FF"/>
                <w:w w:val="80"/>
              </w:rPr>
            </w:pPr>
            <w:hyperlink r:id="rId18">
              <w:r>
                <w:rPr>
                  <w:rFonts w:ascii="Arial" w:cs="Arial" w:eastAsia="Arial" w:hAnsi="Arial"/>
                  <w:sz w:val="14"/>
                  <w:szCs w:val="14"/>
                  <w:color w:val="0000FF"/>
                  <w:w w:val="80"/>
                </w:rPr>
                <w:t>3.</w:t>
              </w:r>
              <w:r>
                <w:rPr>
                  <w:rFonts w:ascii="Arial" w:cs="Arial" w:eastAsia="Arial" w:hAnsi="Arial"/>
                  <w:sz w:val="14"/>
                  <w:szCs w:val="14"/>
                  <w:u w:val="single" w:color="auto"/>
                  <w:color w:val="0000FF"/>
                  <w:w w:val="80"/>
                </w:rPr>
                <w:t>2</w:t>
              </w:r>
            </w:hyperlink>
            <w:r>
              <w:rPr>
                <w:rFonts w:ascii="Arial" w:cs="Arial" w:eastAsia="Arial" w:hAnsi="Arial"/>
                <w:sz w:val="14"/>
                <w:szCs w:val="14"/>
                <w:color w:val="000000"/>
                <w:w w:val="80"/>
              </w:rPr>
              <w:t>*</w:t>
            </w:r>
          </w:p>
        </w:tc>
        <w:tc>
          <w:tcPr>
            <w:tcW w:w="5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4"/>
                <w:szCs w:val="14"/>
                <w:color w:val="auto"/>
              </w:rPr>
              <w:t>Amended and Restated Bylaws</w:t>
            </w:r>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3"/>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3"/>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400"/>
        </w:trPr>
        <w:tc>
          <w:tcPr>
            <w:tcW w:w="760" w:type="dxa"/>
            <w:vAlign w:val="bottom"/>
            <w:gridSpan w:val="3"/>
          </w:tcPr>
          <w:p>
            <w:pPr>
              <w:spacing w:after="0"/>
              <w:rPr>
                <w:sz w:val="20"/>
                <w:szCs w:val="20"/>
                <w:color w:val="auto"/>
              </w:rPr>
            </w:pPr>
            <w:r>
              <w:rPr>
                <w:rFonts w:ascii="Arial" w:cs="Arial" w:eastAsia="Arial" w:hAnsi="Arial"/>
                <w:sz w:val="14"/>
                <w:szCs w:val="14"/>
                <w:color w:val="auto"/>
              </w:rPr>
              <w:t>101.SCH*</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760" w:type="dxa"/>
            <w:vAlign w:val="bottom"/>
            <w:gridSpan w:val="3"/>
          </w:tcPr>
          <w:p>
            <w:pPr>
              <w:spacing w:after="0"/>
              <w:rPr>
                <w:sz w:val="20"/>
                <w:szCs w:val="20"/>
                <w:color w:val="auto"/>
              </w:rPr>
            </w:pPr>
            <w:r>
              <w:rPr>
                <w:rFonts w:ascii="Arial" w:cs="Arial" w:eastAsia="Arial" w:hAnsi="Arial"/>
                <w:sz w:val="14"/>
                <w:szCs w:val="14"/>
                <w:color w:val="auto"/>
              </w:rPr>
              <w:t>101.CAL*</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760" w:type="dxa"/>
            <w:vAlign w:val="bottom"/>
            <w:gridSpan w:val="3"/>
          </w:tcPr>
          <w:p>
            <w:pPr>
              <w:spacing w:after="0"/>
              <w:rPr>
                <w:sz w:val="20"/>
                <w:szCs w:val="20"/>
                <w:color w:val="auto"/>
              </w:rPr>
            </w:pPr>
            <w:r>
              <w:rPr>
                <w:rFonts w:ascii="Arial" w:cs="Arial" w:eastAsia="Arial" w:hAnsi="Arial"/>
                <w:sz w:val="14"/>
                <w:szCs w:val="14"/>
                <w:color w:val="auto"/>
              </w:rPr>
              <w:t>101.PRE*</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760" w:type="dxa"/>
            <w:vAlign w:val="bottom"/>
            <w:gridSpan w:val="3"/>
          </w:tcPr>
          <w:p>
            <w:pPr>
              <w:spacing w:after="0"/>
              <w:rPr>
                <w:sz w:val="20"/>
                <w:szCs w:val="20"/>
                <w:color w:val="auto"/>
              </w:rPr>
            </w:pPr>
            <w:r>
              <w:rPr>
                <w:rFonts w:ascii="Arial" w:cs="Arial" w:eastAsia="Arial" w:hAnsi="Arial"/>
                <w:sz w:val="14"/>
                <w:szCs w:val="14"/>
                <w:color w:val="auto"/>
              </w:rPr>
              <w:t>101.DEF*</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760" w:type="dxa"/>
            <w:vAlign w:val="bottom"/>
            <w:gridSpan w:val="3"/>
          </w:tcPr>
          <w:p>
            <w:pPr>
              <w:spacing w:after="0"/>
              <w:rPr>
                <w:sz w:val="20"/>
                <w:szCs w:val="20"/>
                <w:color w:val="auto"/>
              </w:rPr>
            </w:pPr>
            <w:r>
              <w:rPr>
                <w:rFonts w:ascii="Arial" w:cs="Arial" w:eastAsia="Arial" w:hAnsi="Arial"/>
                <w:sz w:val="14"/>
                <w:szCs w:val="14"/>
                <w:color w:val="auto"/>
              </w:rPr>
              <w:t>101.LAB*</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760" w:type="dxa"/>
            <w:vAlign w:val="bottom"/>
            <w:gridSpan w:val="3"/>
          </w:tcPr>
          <w:p>
            <w:pPr>
              <w:spacing w:after="0"/>
              <w:rPr>
                <w:sz w:val="20"/>
                <w:szCs w:val="20"/>
                <w:color w:val="auto"/>
              </w:rPr>
            </w:pPr>
            <w:r>
              <w:rPr>
                <w:rFonts w:ascii="Arial" w:cs="Arial" w:eastAsia="Arial" w:hAnsi="Arial"/>
                <w:sz w:val="14"/>
                <w:szCs w:val="14"/>
                <w:color w:val="auto"/>
              </w:rPr>
              <w:t>101.INS*</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Instance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8"/>
          <w:szCs w:val="18"/>
          <w:color w:val="auto"/>
        </w:rPr>
      </w:pPr>
      <w:r>
        <w:rPr>
          <w:rFonts w:ascii="Arial" w:cs="Arial" w:eastAsia="Arial" w:hAnsi="Arial"/>
          <w:sz w:val="14"/>
          <w:szCs w:val="14"/>
          <w:color w:val="auto"/>
        </w:rPr>
        <w:t>Filed herewith.</w:t>
      </w:r>
    </w:p>
    <w:p>
      <w:pPr>
        <w:sectPr>
          <w:pgSz w:w="11900" w:h="16838" w:orient="portrait"/>
          <w:cols w:equalWidth="0" w:num="1">
            <w:col w:w="11420"/>
          </w:cols>
          <w:pgMar w:left="240" w:top="121" w:right="23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109"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121" w:right="4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2018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6, 2018</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June 30, 2018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6, 2018</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1"/>
    </w:lvl>
  </w:abstractNum>
  <w:abstractNum w:abstractNumId="15">
    <w:nsid w:val="3006C83E"/>
    <w:multiLevelType w:val="hybridMultilevel"/>
    <w:lvl w:ilvl="0">
      <w:lvlJc w:val="left"/>
      <w:lvlText w:val="%1."/>
      <w:numFmt w:val="decimal"/>
      <w:start w:val="12"/>
    </w:lvl>
  </w:abstractNum>
  <w:abstractNum w:abstractNumId="16">
    <w:nsid w:val="614FD4A1"/>
    <w:multiLevelType w:val="hybridMultilevel"/>
    <w:lvl w:ilvl="0">
      <w:lvlJc w:val="left"/>
      <w:lvlText w:val="%1."/>
      <w:numFmt w:val="decimal"/>
      <w:start w:val="13"/>
    </w:lvl>
  </w:abstractNum>
  <w:abstractNum w:abstractNumId="17">
    <w:nsid w:val="419AC241"/>
    <w:multiLevelType w:val="hybridMultilevel"/>
    <w:lvl w:ilvl="0">
      <w:lvlJc w:val="left"/>
      <w:lvlText w:val="%1."/>
      <w:numFmt w:val="decimal"/>
      <w:start w:val="14"/>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5"/>
    </w:lvl>
  </w:abstractNum>
  <w:abstractNum w:abstractNumId="20">
    <w:nsid w:val="5072367"/>
    <w:multiLevelType w:val="hybridMultilevel"/>
    <w:lvl w:ilvl="0">
      <w:lvlJc w:val="left"/>
      <w:lvlText w:val="%1."/>
      <w:numFmt w:val="decimal"/>
      <w:start w:val="16"/>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7" Type="http://schemas.openxmlformats.org/officeDocument/2006/relationships/hyperlink" Target="http://www.sec.gov/Archives/edgar/data/1262039/000126203918000023/exhibit31-amendedandrestat.htm" TargetMode="External"/><Relationship Id="rId18" Type="http://schemas.openxmlformats.org/officeDocument/2006/relationships/hyperlink" Target="http://www.sec.gov/Archives/edgar/data/1262039/000126203918000023/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2019-12-28T20:14:00Z</dcterms:created>
  <dcterms:modified xsi:type="dcterms:W3CDTF">2019-12-28T20:14:00Z</dcterms:modified>
</cp:coreProperties>
</file>