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660" w:right="1680" w:hanging="3634"/>
        <w:spacing w:after="0" w:line="393" w:lineRule="auto"/>
        <w:tabs>
          <w:tab w:leader="none" w:pos="409"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20"/>
          </w:cols>
          <w:pgMar w:left="320" w:top="225" w:right="35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20"/>
          </w:cols>
          <w:pgMar w:left="320" w:top="225" w:right="359" w:bottom="1440" w:gutter="0" w:footer="0" w:header="0"/>
          <w:type w:val="continuous"/>
        </w:sectPr>
      </w:pPr>
    </w:p>
    <w:p>
      <w:pPr>
        <w:spacing w:after="0" w:line="128" w:lineRule="exact"/>
        <w:rPr>
          <w:sz w:val="24"/>
          <w:szCs w:val="24"/>
          <w:color w:val="auto"/>
        </w:rPr>
      </w:pPr>
    </w:p>
    <w:p>
      <w:pPr>
        <w:ind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60"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20"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firstLine="283"/>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12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November 4, 2025, there were 743,648,102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6240" w:type="dxa"/>
            <w:vAlign w:val="bottom"/>
            <w:gridSpan w:val="8"/>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4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506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5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60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18"/>
                <w:szCs w:val="18"/>
                <w:color w:val="auto"/>
              </w:rPr>
            </w:pPr>
          </w:p>
        </w:tc>
        <w:tc>
          <w:tcPr>
            <w:tcW w:w="834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r>
      <w:tr>
        <w:trPr>
          <w:trHeight w:val="1729"/>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52"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tariffs, trade policies or other trade disruptions, changing interest rates, changes in government spending or regulation or reduced information technology (“IT”) spending, including firewall spending, may adversely impact our business.</w:t>
      </w:r>
    </w:p>
    <w:p>
      <w:pPr>
        <w:spacing w:after="0" w:line="21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17"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were in some instances required to and may in the future be required to accept or pay for components and finished goods regardless of our level of sales in a particular period, which may negatively or unpredictably impact our operating results and financial condition.</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or may not continue to grow, and our operating margins may decline.</w:t>
      </w:r>
    </w:p>
    <w:p>
      <w:pPr>
        <w:spacing w:after="0" w:line="23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improvements, leasing activity, and ongoing maintenance and management of office buildings, warehouses, data centers and points of presence (“PoPs”), as well as data center operations, expansions or enhancements, could involve significant risks to our business.</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retention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75" w:lineRule="exact"/>
        <w:rPr>
          <w:rFonts w:ascii="Times New Roman" w:cs="Times New Roman" w:eastAsia="Times New Roman" w:hAnsi="Times New Roman"/>
          <w:sz w:val="18"/>
          <w:szCs w:val="18"/>
          <w:color w:val="auto"/>
        </w:rPr>
      </w:pPr>
    </w:p>
    <w:p>
      <w:pPr>
        <w:ind w:left="660" w:right="6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or changes in shipping terms could cause our billings and revenue to fall below expected levels.</w:t>
      </w:r>
    </w:p>
    <w:p>
      <w:pPr>
        <w:spacing w:after="0" w:line="17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and other security subscriptions and FortiCare technical support services, and revenue from these services may decline or fluctuate in manners that could adversely impact our results of operations.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38" w:lineRule="exact"/>
        <w:rPr>
          <w:rFonts w:ascii="Times New Roman" w:cs="Times New Roman" w:eastAsia="Times New Roman" w:hAnsi="Times New Roman"/>
          <w:sz w:val="18"/>
          <w:szCs w:val="18"/>
          <w:color w:val="auto"/>
        </w:rPr>
      </w:pPr>
    </w:p>
    <w:p>
      <w:pPr>
        <w:ind w:left="660" w:right="20" w:hanging="328"/>
        <w:spacing w:after="0" w:line="24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 Our Product Security Incident Response Team publicly posts on our FortiGuard Labs website known product vulnerabilities, including critical vulnerabilities, and methods for customers to mitigate the risk of vulnerabilities. However, there can be no assurance that such posts will be sufficiently timely, accurate or complete or that those customers will see such posts or take steps to mitigate the risk of vulnerabilities, and certain customers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4" w:name="page5"/>
    <w:bookmarkEnd w:id="4"/>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enterprise IT networks, our operational networks, our research and development networks, our back-end labs and cloud stacks hosted in our data centers or PoPs,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spacing w:after="0" w:line="204"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38" w:lineRule="exact"/>
        <w:rPr>
          <w:rFonts w:ascii="Times New Roman" w:cs="Times New Roman" w:eastAsia="Times New Roman" w:hAnsi="Times New Roman"/>
          <w:sz w:val="18"/>
          <w:szCs w:val="18"/>
          <w:color w:val="auto"/>
        </w:rPr>
      </w:pPr>
    </w:p>
    <w:p>
      <w:pPr>
        <w:ind w:left="328"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9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52" w:lineRule="exact"/>
        <w:rPr>
          <w:rFonts w:ascii="Times New Roman" w:cs="Times New Roman" w:eastAsia="Times New Roman" w:hAnsi="Times New Roman"/>
          <w:sz w:val="18"/>
          <w:szCs w:val="18"/>
          <w:color w:val="auto"/>
        </w:rPr>
      </w:pPr>
    </w:p>
    <w:p>
      <w:pPr>
        <w:ind w:left="328" w:right="200" w:hanging="328"/>
        <w:spacing w:after="0" w:line="296"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our revenue is generated by sales to government organizations and other customers, which are subject to a number of regulatory requirements, their own supply chain constraints and contractual requirements, challenges and risks, including impacts from political dynamics.</w:t>
      </w:r>
    </w:p>
    <w:p>
      <w:pPr>
        <w:spacing w:after="0" w:line="165" w:lineRule="exact"/>
        <w:rPr>
          <w:rFonts w:ascii="Times New Roman" w:cs="Times New Roman" w:eastAsia="Times New Roman" w:hAnsi="Times New Roman"/>
          <w:sz w:val="17"/>
          <w:szCs w:val="17"/>
          <w:color w:val="auto"/>
        </w:rPr>
      </w:pPr>
    </w:p>
    <w:p>
      <w:pPr>
        <w:ind w:left="328" w:right="1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and finished goods from third-party manufacturers based on our forecasts of future demand and targeted inventory levels, which exposes us to the risk of product shortages, tariffs, may result in lost sales, higher expenses and inventory excesses which may lead to inventory charges and costs related to future purchase commitments, possibly requiring us to sell our products at discounts or offer various other incentives.</w:t>
      </w:r>
    </w:p>
    <w:p>
      <w:pPr>
        <w:spacing w:after="0" w:line="217" w:lineRule="exact"/>
        <w:rPr>
          <w:rFonts w:ascii="Times New Roman" w:cs="Times New Roman" w:eastAsia="Times New Roman" w:hAnsi="Times New Roman"/>
          <w:sz w:val="18"/>
          <w:szCs w:val="18"/>
          <w:color w:val="auto"/>
        </w:rPr>
      </w:pPr>
    </w:p>
    <w:p>
      <w:pPr>
        <w:ind w:left="328" w:right="22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cost increases, and changes in the geopolitical environment.</w:t>
      </w:r>
    </w:p>
    <w:p>
      <w:pPr>
        <w:spacing w:after="0" w:line="189" w:lineRule="exact"/>
        <w:rPr>
          <w:rFonts w:ascii="Times New Roman" w:cs="Times New Roman" w:eastAsia="Times New Roman" w:hAnsi="Times New Roman"/>
          <w:sz w:val="18"/>
          <w:szCs w:val="18"/>
          <w:color w:val="auto"/>
        </w:rPr>
      </w:pPr>
    </w:p>
    <w:p>
      <w:pPr>
        <w:ind w:left="328" w:right="280"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96"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activists’ and regulators’ expectations of our investments and performance relating to operational sustainability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52"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89"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can weaken and harm our financial position.</w:t>
      </w:r>
    </w:p>
    <w:p>
      <w:pPr>
        <w:spacing w:after="0" w:line="238"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Weakening product demand caused by political instability, changes in trade agreements, wars and foreign conflicts, such as the war in Ukraine or tensions between China and Taiwan, could adversely affect our business and financial performance.</w:t>
      </w:r>
    </w:p>
    <w:p>
      <w:pPr>
        <w:spacing w:after="0" w:line="200" w:lineRule="exact"/>
        <w:rPr>
          <w:sz w:val="20"/>
          <w:szCs w:val="20"/>
          <w:color w:val="auto"/>
        </w:rPr>
      </w:pPr>
    </w:p>
    <w:p>
      <w:pPr>
        <w:spacing w:after="0" w:line="28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89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4,060.7</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8,269.3</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742.9 and 767.0 shares issued and outstanding</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September 30, 2025 and December 31, 2024, respectively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INCOME—NET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GAIN (LOSS)</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EQUITY METHOD INVESTMENTS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(Note 8):</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76"/>
        </w:trPr>
        <w:tc>
          <w:tcPr>
            <w:tcW w:w="49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tax benefit related to items of other comprehensive</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11"/>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8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0" w:type="dxa"/>
            <w:vAlign w:val="bottom"/>
          </w:tcPr>
          <w:p>
            <w:pPr>
              <w:spacing w:after="0"/>
              <w:rPr>
                <w:sz w:val="1"/>
                <w:szCs w:val="1"/>
                <w:color w:val="auto"/>
              </w:rPr>
            </w:pPr>
          </w:p>
        </w:tc>
      </w:tr>
      <w:tr>
        <w:trPr>
          <w:trHeight w:val="184"/>
        </w:trPr>
        <w:tc>
          <w:tcPr>
            <w:tcW w:w="49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on net stock repurchases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11"/>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8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vMerge w:val="continue"/>
          </w:tcPr>
          <w:p>
            <w:pPr>
              <w:spacing w:after="0"/>
              <w:rPr>
                <w:sz w:val="14"/>
                <w:szCs w:val="14"/>
                <w:color w:val="auto"/>
              </w:rPr>
            </w:pP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184"/>
        </w:trPr>
        <w:tc>
          <w:tcPr>
            <w:tcW w:w="49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r>
              <w:rPr>
                <w:rFonts w:ascii="Times New Roman" w:cs="Times New Roman" w:eastAsia="Times New Roman" w:hAnsi="Times New Roman"/>
                <w:sz w:val="18"/>
                <w:szCs w:val="18"/>
                <w:u w:val="single" w:color="auto"/>
                <w:color w:val="auto"/>
              </w:rPr>
              <w:t>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11"/>
          </w:tcPr>
          <w:p>
            <w:pPr>
              <w:ind w:left="6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on net stock repurchases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50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1"/>
          </w:tcPr>
          <w:p>
            <w:pPr>
              <w:ind w:left="6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175"/>
        </w:trPr>
        <w:tc>
          <w:tcPr>
            <w:tcW w:w="50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124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discounts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1,780.5</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Sales of investments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marketable equity securities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(647.5)</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1,091.4</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and equipment from inventory to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2024, contained in our Annual Report on Form 10-K filed with the SEC on February 21, 2025. In the opinion of management, all adjustments, which include normal recurring adjustments, considered necessary for a fair presentation, have been included. The results of operations for the three and nine months ended September 30, 2025 are not necessarily indicative of the results to be expected for the full year or for any future periods. The condensed consolidated balance sheet as of December 31, 2024 is derived from the audited consolidated financial statements for the year ended December 31, 2024.</w:t>
      </w:r>
    </w:p>
    <w:p>
      <w:pPr>
        <w:spacing w:after="0" w:line="206"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Amounts previously reported as gain on bargain purchase are included in other income—net in prior periods to conform with current period presentation in our condensed consolidated statements of income. Amounts previously reported as loss from equity method investments and gain on bargain purchase are included in other in prior periods to conform with current period presentation in section of net cash provided by operating activities in our condensed consolidated statements of cash flows.</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8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89" w:lineRule="exact"/>
        <w:rPr>
          <w:sz w:val="20"/>
          <w:szCs w:val="20"/>
          <w:color w:val="auto"/>
        </w:rPr>
      </w:pPr>
    </w:p>
    <w:p>
      <w:pPr>
        <w:ind w:right="80" w:firstLine="648"/>
        <w:spacing w:after="0" w:line="296" w:lineRule="auto"/>
        <w:rPr>
          <w:sz w:val="20"/>
          <w:szCs w:val="20"/>
          <w:color w:val="auto"/>
        </w:rPr>
      </w:pPr>
      <w:r>
        <w:rPr>
          <w:rFonts w:ascii="Times New Roman" w:cs="Times New Roman" w:eastAsia="Times New Roman" w:hAnsi="Times New Roman"/>
          <w:sz w:val="17"/>
          <w:szCs w:val="17"/>
          <w:color w:val="auto"/>
        </w:rPr>
        <w:t>There have been no material changes to our significant accounting policies as of and for the nine months ended September 30, 2025, as compared to the significant accounting policies described in our Annual Report on Form 10-K for the fiscal year ended December 31, 2024 filed with the SEC.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our annual period beginning fiscal year 2025, with early adoption permitted, and should be applied prospectively. We are currently evaluating the ASU to determine its impact on our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w:t>
      </w:r>
    </w:p>
    <w:p>
      <w:pPr>
        <w:spacing w:after="0" w:line="24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enhances the disclosures required for expense disaggregation in our annual and interim consolidated financial statements. The amendments are effective for our annual reporting period beginning fiscal year 2027, with early adoption permitted, and can be applied prospectively or retrospectively. We are currently evaluating the ASU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41" w:lineRule="exact"/>
        <w:rPr>
          <w:sz w:val="20"/>
          <w:szCs w:val="20"/>
          <w:color w:val="auto"/>
        </w:rPr>
      </w:pPr>
    </w:p>
    <w:p>
      <w:pPr>
        <w:ind w:right="280" w:firstLine="648"/>
        <w:spacing w:after="0" w:line="241" w:lineRule="auto"/>
        <w:rPr>
          <w:sz w:val="20"/>
          <w:szCs w:val="20"/>
          <w:color w:val="auto"/>
        </w:rPr>
      </w:pPr>
      <w:r>
        <w:rPr>
          <w:rFonts w:ascii="Times New Roman" w:cs="Times New Roman" w:eastAsia="Times New Roman" w:hAnsi="Times New Roman"/>
          <w:sz w:val="18"/>
          <w:szCs w:val="18"/>
          <w:color w:val="auto"/>
        </w:rPr>
        <w:t>In July 2025, the FASB issued ASU 2025-05—Financial Instruments—Credit Losses (Topic 326): Measurement of Credit Losses for Accounts Receivable and Contract Assets (“ASU 2025-05”), which provides a practical expedient for estimating expected credit losses for current accounts receivable and current contract assets that arise from transactions accounted for under Revenue from Contracts with Customers (Topic 606). The amendments are effective for our annual reporting period beginning with fiscal year 2026 and interim reporting periods within those annual reporting periods on a prospective basis, with early adoption permitted. We are currently evaluating ASU 2025-05 to determine its impact on our consolidated financial statements and related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41"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which amends the cost capitalization criteria for internal-use software development costs by removing all references to prescriptive and sequential software project development stages and providing new guidance on how to evaluate whether the probable-to-complete recognition threshold has been met. The amendments are effective for our annual period beginning fiscal year 2028 and interim reporting periods within those annual reporting periods and can be applied prospectively, retrospectively, or via a modified prospective transition method, with early adoption permitted. We are currently assessing adoption timing and the method of adoption.</w:t>
      </w:r>
    </w:p>
    <w:p>
      <w:pPr>
        <w:spacing w:after="0" w:line="22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r>
      <w:tr>
        <w:trPr>
          <w:trHeight w:val="230"/>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w:t>
            </w:r>
          </w:p>
        </w:tc>
      </w:tr>
      <w:tr>
        <w:trPr>
          <w:trHeight w:val="223"/>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service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recognized $759.2 million and $2.61 billion in revenue that was included in the deferred revenue balance as of December 31, 2024, respectively. During the three and nine months ended September 30, 2024, we recognized $660.3 million and $2.28 billion in revenue that was included in the deferred revenue balance as of December 31,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the aggregate amount of the transaction price allocated to remaining performance obligations was $6.72 billion, which was substantially comprised of deferred security subscription and technical support services revenue as well as unbilled contract revenue from non-cancellable contracts that will be recognized in future periods. We expect to recognize approximately $3.49 billion as revenue over the next 12 months, $2.62 billion in years two and three, and the remainder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of deferred contract costs, primarily consisting of sales commissions earned by our sales force, was $86.0 million and $73.6 million during the three months ended September 30, 2025 and 2024, respectively. Amortization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contract costs was $246.0 million and $218.3 million during the nine months ended September 30, 2025 and 2024, respectively.</w:t>
      </w:r>
    </w:p>
    <w:p>
      <w:pPr>
        <w:spacing w:after="0" w:line="24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short-term and long-term investments comprised of available-for-sale investments and marketable equity securities. The following tables summarize our short-term and long-term investments (in millions):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9"/>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49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33"/>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3"/>
        </w:trPr>
        <w:tc>
          <w:tcPr>
            <w:tcW w:w="49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r>
      <w:tr>
        <w:trPr>
          <w:trHeight w:val="214"/>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672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The contractual maturities of our available-for-sale investments were (in millions):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4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1,029.6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3"/>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1,318.7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39"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The changes in fair value of our marketable equity securities are recorded in other income—net on the condensed consolidated statements of income. We recognized a $14.1 million and $10.7 million gain during the three and nine months ended September 30, 2025, respectively. We recognized a $11.1 million and $11.2 million gain during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our financial assets measured at fair value on a recurring basis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Total short-term investments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nine months ended September 30, 2025 and year ended December 31, 2024.</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excess and obsolete inventory reserve was $141.9 million and $144.8 million as of September 30, 2025 and December 31, 2024, respectively. Inventory write-downs related to excess and obsolete inventory were immaterial during the three and nine months ended September 30, 2025, and were $8.8 million and $37.6 million during the three and nine months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respectively. These were recorded in cost of product revenue on the condensed consolidated statements of income.</w:t>
      </w: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3"/>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r>
      <w:tr>
        <w:trPr>
          <w:trHeight w:val="21"/>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we purchased certain real estate property in Germany totaling $54.5 million, to be used predominantly for data center operations and as office space. The purchase was accounted for under the asset acquisition method, with $16.8 million allocated to land and $37.7 million allocated to buildings and improvements, based on their relative fair values.</w:t>
      </w:r>
    </w:p>
    <w:p>
      <w:pPr>
        <w:spacing w:after="0" w:line="20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During the three months ended June 30, 2025, we purchased certain real estate properties in Canada, the United States and the Netherlands for an aggregate purchase price of $130.5 million, to be used predominantly for data center operations, office space and warehouse operations. The purchases were accounted for under the asset acquisition method, with $43.0 million allocated to land and $87.5 million allocated to buildings and improvements, based on their relative fair values.</w:t>
      </w:r>
    </w:p>
    <w:p>
      <w:pPr>
        <w:spacing w:after="0" w:line="19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2025, we purchased certain real estate properties in Canada and the United Kingdom for an aggregate purchase price of $70.8 million, to be used predominantly for office space. The purchases were accounted for under the asset acquisition method, with $37.5 million allocated to land and $33.3 million allocated to buildings and improvements, based on their relative fair values.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$25.3 million and $24.5 million during the three months ended September 30, 2025 and 2024,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$74.4 million and $76.0 million during the nine months ended September 30, 2025 and 2024, respectively.</w:t>
      </w:r>
    </w:p>
    <w:p>
      <w:pPr>
        <w:spacing w:after="0" w:line="22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Linksys Holdings, Inc.</w:t>
      </w:r>
    </w:p>
    <w:p>
      <w:pPr>
        <w:spacing w:after="0" w:line="25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2021, we invested $160.0 million in cash for shares of the Series A Preferred Stock of Linksys for a 50.8% ownership interest in the outstanding equity of Linksys. On January 31, 2025 (“Linksys Acquisition Date”), we acquired all of the remaining outstanding Series A Preferred Stock of Linksys for $20.8 million in cash and now own 100% of the outstanding equity of Linksys. Our pre-existing equity method investment in Linksys of 50.8% ownership interest was remeasured to the fair value of $21.5 million at the Linksys Acquisition Date, which resulted in a $10.8 million gain recorded in gain (loss) from equity method investments on the condensed consolidated statements of income. Therefore, the aggregate purchase consideration for Linksys’ equity equaling the fair value of the previously owned stock and the purchase price for the remaining stock acquired was $42.3 million.</w:t>
      </w:r>
    </w:p>
    <w:p>
      <w:pPr>
        <w:spacing w:after="0" w:line="207"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Of the aggregate purchase price, $17.5 million was allocated to identifiable intangible assets acquired, and $64.7 million was allocated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 w:right="100"/>
        <w:spacing w:after="0" w:line="245" w:lineRule="auto"/>
        <w:rPr>
          <w:sz w:val="20"/>
          <w:szCs w:val="20"/>
          <w:color w:val="auto"/>
        </w:rPr>
      </w:pPr>
      <w:r>
        <w:rPr>
          <w:rFonts w:ascii="Times New Roman" w:cs="Times New Roman" w:eastAsia="Times New Roman" w:hAnsi="Times New Roman"/>
          <w:sz w:val="18"/>
          <w:szCs w:val="18"/>
          <w:color w:val="auto"/>
        </w:rPr>
        <w:t>to other net assets acquired which predominantly included deferred tax asset of $45.8 million, inventory of $21.4 million, and cash of $8.8 million, offset by $11.3 million of net other assets and liabilities assumed. The excess of the fair values of the net assets acquired over the net purchase consideration was recorded as a gain on bargain purchase of $39.9 million within other income—net on the condensed consolidated statements of income. The gain on bargain purchase occurred primarily due to the recognition of the deferred tax assets. The deferred tax assets were comprised primarily of pre-acquisition federal net operating loss carryforwards with an indefinite carryforward period. In addition, we had previously recorded a deferred tax asset of</w:t>
      </w:r>
    </w:p>
    <w:p>
      <w:pPr>
        <w:spacing w:after="0" w:line="1" w:lineRule="exact"/>
        <w:rPr>
          <w:sz w:val="20"/>
          <w:szCs w:val="20"/>
          <w:color w:val="auto"/>
        </w:rPr>
      </w:pPr>
    </w:p>
    <w:p>
      <w:pPr>
        <w:ind w:left="80" w:right="60"/>
        <w:spacing w:after="0" w:line="243" w:lineRule="auto"/>
        <w:rPr>
          <w:sz w:val="20"/>
          <w:szCs w:val="20"/>
          <w:color w:val="auto"/>
        </w:rPr>
      </w:pPr>
      <w:r>
        <w:rPr>
          <w:rFonts w:ascii="Times New Roman" w:cs="Times New Roman" w:eastAsia="Times New Roman" w:hAnsi="Times New Roman"/>
          <w:sz w:val="18"/>
          <w:szCs w:val="18"/>
          <w:color w:val="auto"/>
        </w:rPr>
        <w:t>$30.6 million for an outside basis difference in our investment in Linksys when it was accounted for under the equity method. As a result of the acquisition of the remaining shares, we now account for our investment in Linksys under the consolidation method, and therefore we have derecognized this deferred tax asset. The charge is included in the provision for income taxes on the condensed consolidated statements of income. Acquisition-related costs related to this acquisition were not material and were recorded as general and administrative expense.</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41" w:lineRule="exact"/>
        <w:rPr>
          <w:sz w:val="20"/>
          <w:szCs w:val="20"/>
          <w:color w:val="auto"/>
        </w:rPr>
      </w:pPr>
    </w:p>
    <w:p>
      <w:pPr>
        <w:ind w:left="80"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we completed other acquisitions for total purchase consideration of $38.3 million in cash. We have accounted for the transactions as business combinations and recorded goodwill of $21.9 million, among which $8.6 million of goodwill is expected to be deductible and $13.3 million of goodwill is not deductible for income tax purposes. Acquisition-related costs were not material and were recorded as general and administrative expense.</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Perception Point Ltd.</w:t>
      </w:r>
    </w:p>
    <w:p>
      <w:pPr>
        <w:spacing w:after="0" w:line="241" w:lineRule="exact"/>
        <w:rPr>
          <w:sz w:val="20"/>
          <w:szCs w:val="20"/>
          <w:color w:val="auto"/>
        </w:rPr>
      </w:pPr>
    </w:p>
    <w:p>
      <w:pPr>
        <w:ind w:left="80" w:firstLine="648"/>
        <w:spacing w:after="0"/>
        <w:rPr>
          <w:sz w:val="20"/>
          <w:szCs w:val="20"/>
          <w:color w:val="auto"/>
        </w:rPr>
      </w:pPr>
      <w:r>
        <w:rPr>
          <w:rFonts w:ascii="Times New Roman" w:cs="Times New Roman" w:eastAsia="Times New Roman" w:hAnsi="Times New Roman"/>
          <w:sz w:val="18"/>
          <w:szCs w:val="18"/>
          <w:color w:val="auto"/>
        </w:rPr>
        <w:t>On December 5, 2024, we acquired certain assets and liabilities of Perception Point Ltd., a business specializing in advanced collaboration and email security paid in cash. This acquisition was accounted for as a business combination using the acquisition method of accounting. Of the $33.7 million purchase price, $24.5 million was allocated to goodwill, $9.5 million was allocated to developed technology intangible asset, $6.5 million was allocated to customer relationships intangible asset, and $6.8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expected to be deductible for tax purposes. Acquisition-related costs were not material and were recorded as general and administrative expense.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Next DLP Holdings Limited</w:t>
      </w:r>
    </w:p>
    <w:p>
      <w:pPr>
        <w:spacing w:after="0" w:line="241" w:lineRule="exact"/>
        <w:rPr>
          <w:sz w:val="20"/>
          <w:szCs w:val="20"/>
          <w:color w:val="auto"/>
        </w:rPr>
      </w:pPr>
    </w:p>
    <w:p>
      <w:pPr>
        <w:jc w:val="both"/>
        <w:ind w:left="80" w:right="60" w:firstLine="648"/>
        <w:spacing w:after="0" w:line="264" w:lineRule="auto"/>
        <w:rPr>
          <w:sz w:val="20"/>
          <w:szCs w:val="20"/>
          <w:color w:val="auto"/>
        </w:rPr>
      </w:pPr>
      <w:r>
        <w:rPr>
          <w:rFonts w:ascii="Times New Roman" w:cs="Times New Roman" w:eastAsia="Times New Roman" w:hAnsi="Times New Roman"/>
          <w:sz w:val="17"/>
          <w:szCs w:val="17"/>
          <w:color w:val="auto"/>
        </w:rPr>
        <w:t>On August 5, 2024 (“Next DLP Acquisition Date”), we acquired Next DLP Holdings Limited (“Next DLP”), a privately held insider risk and data loss prevention (“DLP”) company, for approximately $105.0 million in cash. We acquired Next DLP in an effort to improve our position in the standalone enterprise DLP market and strengthen our leadership in integrated DLP markets within endpoint and unified Secure Access Service Edge (“SASE”).</w:t>
      </w:r>
    </w:p>
    <w:p>
      <w:pPr>
        <w:spacing w:after="0" w:line="192" w:lineRule="exact"/>
        <w:rPr>
          <w:sz w:val="20"/>
          <w:szCs w:val="20"/>
          <w:color w:val="auto"/>
        </w:rPr>
      </w:pPr>
    </w:p>
    <w:p>
      <w:pPr>
        <w:ind w:left="80" w:right="80" w:firstLine="648"/>
        <w:spacing w:after="0" w:line="239"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purchase price was allocated to Next DLP’s identifiable tangible and intangible assets acquired and liabilities assumed based on their estimated fair values using management’s best estimates and assumptions to assign fair value as of the acquisition date. Of the total purchase price, $82.6 million was allocated to goodwill, $13.5 million was allocated to developed technology intangible asset, $10.5 million was allocated to customer relationships intangible asset, offset by $1.6 million of net liabilities assumed, which predominantly included deferred revenue and deferred tax liabilities. Goodwill recorded in connection with this acquisition represents the value we expect to be created through expansion into markets within our existing business, and the anticipated operational synergies, and goodwill is expected to be deductible for U.S. tax purposes. Acquisition-related costs related to this acquisition were not material and were recorded as general and administrative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Lacework Inc.</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On August 1, 2024 (“Lacework Acquisition Date”), we acquired Lacework Inc. (“Lacework”), a privately held data-driven cloud security</w:t>
      </w:r>
    </w:p>
    <w:p>
      <w:pPr>
        <w:spacing w:after="0" w:line="2" w:lineRule="exact"/>
        <w:rPr>
          <w:sz w:val="20"/>
          <w:szCs w:val="20"/>
          <w:color w:val="auto"/>
        </w:rPr>
      </w:pPr>
    </w:p>
    <w:p>
      <w:pPr>
        <w:jc w:val="both"/>
        <w:ind w:left="80" w:right="20"/>
        <w:spacing w:after="0" w:line="239" w:lineRule="auto"/>
        <w:rPr>
          <w:sz w:val="20"/>
          <w:szCs w:val="20"/>
          <w:color w:val="auto"/>
        </w:rPr>
      </w:pPr>
      <w:r>
        <w:rPr>
          <w:rFonts w:ascii="Times New Roman" w:cs="Times New Roman" w:eastAsia="Times New Roman" w:hAnsi="Times New Roman"/>
          <w:sz w:val="18"/>
          <w:szCs w:val="18"/>
          <w:color w:val="auto"/>
        </w:rPr>
        <w:t>company, for $152.3 million in cash. We acquired Lacework with a goal of offering its Cloud-Native Application Protection Platform solution separately as well as integrated with our existing portfolio, forming a comprehensive, artificial intelligence (“AI”)-driven cloud security platform available from a single vendor, which will help customers identify, prioritize, and remediate risks and threats in complex cloud-native infrastructure from code to cloud.</w:t>
      </w:r>
    </w:p>
    <w:p>
      <w:pPr>
        <w:spacing w:after="0" w:line="212" w:lineRule="exact"/>
        <w:rPr>
          <w:sz w:val="20"/>
          <w:szCs w:val="20"/>
          <w:color w:val="auto"/>
        </w:rPr>
      </w:pPr>
    </w:p>
    <w:p>
      <w:pPr>
        <w:ind w:left="80" w:right="160" w:firstLine="648"/>
        <w:spacing w:after="0" w:line="266"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purchase price was allocated to Lacework’s identifiable tangible and intangible assets acquired and liabilities assumed based on</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their estimated fair values using management’s best estimates and assumptions to assign fair value as of the acquisition date. Of the total purchase price, $244.4 million was allocated to deferred tax assets, $61.3 million allocation to identifiable intangible assets, and $6.2 million cash, offset by net other assets and liabilities assumed of $53.3 million, which predominantly included deferred revenue and other current liabilities. The excess of the fair values of the net assets acquired over the net purchase consideration was recorded as a gain on bargain purchase of $106.3 million within other income—net on the condensed consolidated statements of income. The gain on bargain purchase occurred primarily due to the recognition of the deferred tax assets. The deferred tax assets were comprised primarily of pre-acquisition federal net operating loss carryforwards with an indefinite carryforward period. Acquisition-related costs related to this acquisition were not material and were recorded as general and administrative expense.</w:t>
      </w:r>
    </w:p>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Of the total identified intangible assets acquired $39.5 million was developed technology, $10.0 million was backlog, $7.5 million was customer relationships and $4.3 million was trade name.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acquisition-related information</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operating results of the acquired companies are included in our condensed consolidated statements of income from the respective dates of acquisition. Acquisition-related costs related to each acquisition were not material. The operating results of the acquired companies were not material in the years of acquisition. Pro forma information has not been presented, as the impact of these acquisitions, individually and in the aggregate, in each period were not material to our condensed consolidated financial statements.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due to business combinations</w:t>
            </w: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0"/>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to goodwill during the nine months ended September 30, 2025 or during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$13.1 million and $5.3 million during the three months ended September 30, 2025 and 2024, respectively. Amortization expense was $38.1 million and $11.6 million during the nine months ended September 30, 2025 and 2024,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(the remainder of 2025)</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(in millions, except per share amounts):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78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5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PSUs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56"/>
        </w:trPr>
        <w:tc>
          <w:tcPr>
            <w:tcW w:w="5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w:t>
            </w: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24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20" w:type="dxa"/>
            <w:vAlign w:val="bottom"/>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40" w:type="dxa"/>
            <w:vAlign w:val="bottom"/>
          </w:tcPr>
          <w:p>
            <w:pPr>
              <w:spacing w:after="0"/>
              <w:rPr>
                <w:sz w:val="13"/>
                <w:szCs w:val="13"/>
                <w:color w:val="auto"/>
              </w:rPr>
            </w:pPr>
          </w:p>
        </w:tc>
        <w:tc>
          <w:tcPr>
            <w:tcW w:w="1620" w:type="dxa"/>
            <w:vAlign w:val="bottom"/>
            <w:tcBorders>
              <w:top w:val="single" w:sz="8" w:color="auto"/>
            </w:tcBorders>
            <w:gridSpan w:val="2"/>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0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50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tcBorders>
              <w:top w:val="single" w:sz="8" w:color="auto"/>
            </w:tcBorders>
          </w:tcPr>
          <w:p>
            <w:pPr>
              <w:jc w:val="right"/>
              <w:ind w:right="13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The 2026 Senior Notes were recorded as current portion of long-term debt and the 2031 Senior Notes were recorded as long-term debt as of September 30, 2025 and both of the Senior Notes were recorded as long-term debt as of December 31, 2024, net of discount and issuance costs, which are amortized to interest expense over the respective contractual terms of these notes using the effective interest method.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16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18"/>
          <w:szCs w:val="18"/>
          <w:color w:val="auto"/>
        </w:rPr>
        <w:t>As of September 30, 2025 and December 31, 2024, we accrued interest payable of $0.7 million and $4.7 million, respectively, and there are no financial covenants with which we must comply. During the three months ended September 30, 2025 and 2024, we recorded $4.5 million of total interest expense in relation to these Senior Notes in each period. During the nine months ended September 30, 2025 and 2024, we recorded $13.5 million of total interest expense in relation to these Senior Notes in each period. No interest costs were capitalized for the nine months ended September 30, 2025 and 2024, as the costs that qualified for capitalization were not material.</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$939.4 million, including accrued and unpaid interest, as of September 30, 2025. The fair value was determined based on observable market prices of identical instruments in less active markets. The estimated fair values are based on Level 2 inputs.</w:t>
      </w:r>
    </w:p>
    <w:p>
      <w:pPr>
        <w:spacing w:after="0" w:line="199"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September 30, 2025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r>
    </w:tbl>
    <w:p>
      <w:pPr>
        <w:spacing w:after="0" w:line="302" w:lineRule="exact"/>
        <w:rPr>
          <w:sz w:val="20"/>
          <w:szCs w:val="20"/>
          <w:color w:val="auto"/>
        </w:rPr>
      </w:pPr>
    </w:p>
    <w:p>
      <w:pPr>
        <w:ind w:right="40"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0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As of September 30, 2025, we had $732.5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September 30, 2025 and December 31, 2024, the liability for these inventory purchase commitments was $35.2 million and $54.0 million, respectively, and was recorded in accrued liabilities on our condensed consolidated balance sheets. The expense related to such accrued liability for inventory purchase commitments is recorded in cost of product revenue on the condensed consolidated statements of income. The expense related to such accrued liability for inventory purchase commitments was immaterial during the three and nine months ended September 30, 2025, and was a $27.4 million benefit and a $11.2 million cost during the three and nine months ended September 30, 2024, respectively.</w:t>
      </w:r>
    </w:p>
    <w:p>
      <w:pPr>
        <w:spacing w:after="0" w:line="224"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requirements based on our business needs prior to firm orders being placed. As of September 30, 2025, we had $112.7 million in other contractual commitments having a remaining term in excess of one year that are non-cancelable.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we had $92.9 million in contractual commitments related to payments for operating leases.</w:t>
      </w:r>
    </w:p>
    <w:p>
      <w:pPr>
        <w:spacing w:after="0" w:line="23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judgment. If no amount within a range is a better estimate than any other, we accrue the minimum amount. Litigation loss contingency accruals associated with outstanding cases were not material as of September 30, 2025 and December 31, 2024.</w:t>
      </w:r>
    </w:p>
    <w:p>
      <w:pPr>
        <w:spacing w:after="0" w:line="23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On September 22, 2025, a securities class action was filed against us, our chief executive officer, our chief technology officer, our current chief financial officer and our former chief financial officer in the United States District Court, Northern District of California, captioned Oklahoma Firefighters Pension and Retirement System v. Fortinet, Inc., et al., Case No. 5:25-cv-08037. On October 16, 2025, a securities class action was filed against us, our chief executive Officer, our current chief financial officer and our former chief financial officer in the same court, captioned State of Rhode Island Office of the General Treasurer v. Fortinet, Inc., et al., Case No. 3:25-cv-08888. These suits are brought on behalf of an alleged class of stockholders who purchased or acquired shares of our common stock between November 8, 2024 through August 6, 2025. The complaints allege that defendants made false or misleading statements about our business, operations and prospects, including regarding the 2026 firewall refresh cycle, and purport to assert claims under Sections 10(b) and 20(a) of the Exchange Act. The time to respond to the complaints has not yet passed. We believe these cases are without merit and defendants intend to defend the suits vigorously. Based on the preliminary nature of the proceedings in these cases, the outcome of these matters remains uncertain and we cannot estimate the potential impact, if any, on its business or financial statements at this time. Accordingly, no loss accrual was recorded as of September 30, 2025 related to these litigations. On October 8, 2025, Plaintiff Jack Pittrof filed a stockholder derivative complaint against us as a nominal defendant and certain of our current and former directors and officers in the United States District Court for the Northern District of California. The complaint alleges claims based on events similar to those in the securities class action and asserts causes of action against the individual defendants for breach of fiduciary duty, aiding and abetting breach of fiduciary duty, unjust enrichment, waste of corporate assets, and for making false and misleading statements about our business, operations, and prospects in violation of Section 10(b) of the Exchange Act. The time to respond to the complaint has not yet passed.</w:t>
      </w:r>
    </w:p>
    <w:p>
      <w:pPr>
        <w:spacing w:after="0" w:line="198"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alleged breach of warranty and misrepresentation claims, which we denied. After trial, a jury returned a verdict fully in favor of us and against Alorica on October 4, 2024. Alorica has filed a notice of appeal. We believe that the ultimate outcome of this matter will not materially impact our financial position, results of operations or cash flows. However, any further legal proceedings, including Alorica’s appeal, would be subject to inherent uncertainties, and a future unfavorable ruling could occur. No loss accrual had been recorded as of September 30, 2025 or December 31, 2024 related to this litigation.</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—We enter into indemnification provisions in the ordinary course of business with other companies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customers, and vendors, where we agree to indemnify, hold harmless, and reimburse the 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indemnification claims asserted against us and currently there are pending indemnification claims, to date there have been no material awards under such indemnification provisions.</w:t>
      </w:r>
    </w:p>
    <w:p>
      <w:pPr>
        <w:spacing w:after="0" w:line="18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claims or proceedings related to these types of matters that we believe are likely to have a material adverse effect on our financial position.</w:t>
      </w:r>
    </w:p>
    <w:p>
      <w:pPr>
        <w:spacing w:after="0" w:line="200"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PLANS AND SHARE REPURCHASE PROGRAM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stock options and PSUs. As of September 30, 2025, there were a total of 48.8 million shares of common stock available for grant under the Amended Plan.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6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right"/>
              <w:ind w:right="53"/>
              <w:spacing w:after="0" w:line="161" w:lineRule="exact"/>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2025</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September 30, 2025, total compensation expense related to unvested RSUs granted to employees and non-employees under the Amended Plan, but not yet recognized, was $535.6 million, with a weighted-average remaining vesting period of 2.7 years.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ind w:right="200" w:firstLine="648"/>
        <w:spacing w:after="0" w:line="264" w:lineRule="auto"/>
        <w:rPr>
          <w:sz w:val="20"/>
          <w:szCs w:val="20"/>
          <w:color w:val="auto"/>
        </w:rPr>
      </w:pPr>
      <w:r>
        <w:rPr>
          <w:rFonts w:ascii="Times New Roman" w:cs="Times New Roman" w:eastAsia="Times New Roman" w:hAnsi="Times New Roman"/>
          <w:sz w:val="17"/>
          <w:szCs w:val="17"/>
          <w:color w:val="auto"/>
        </w:rPr>
        <w:t>We grant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PSUs for the periods presented below (in millions, except per share amounts):</w:t>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Performance Stock Units Outstanding</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66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right"/>
              <w:ind w:right="53"/>
              <w:spacing w:after="0" w:line="175" w:lineRule="exact"/>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0" w:type="dxa"/>
            <w:vAlign w:val="bottom"/>
          </w:tcPr>
          <w:p>
            <w:pPr>
              <w:spacing w:after="0"/>
              <w:rPr>
                <w:sz w:val="1"/>
                <w:szCs w:val="1"/>
                <w:color w:val="auto"/>
              </w:rPr>
            </w:pPr>
          </w:p>
        </w:tc>
      </w:tr>
      <w:tr>
        <w:trPr>
          <w:trHeight w:val="229"/>
        </w:trPr>
        <w:tc>
          <w:tcPr>
            <w:tcW w:w="8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0" w:type="dxa"/>
            <w:vAlign w:val="bottom"/>
          </w:tcPr>
          <w:p>
            <w:pPr>
              <w:spacing w:after="0"/>
              <w:rPr>
                <w:sz w:val="1"/>
                <w:szCs w:val="1"/>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2025</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total compensation expense related to unvested PSUs that were granted to certain of our executives, but not yet recognized, was $25.6 million. This expense is expected to be amortized on a graded vesting method over a weighted-average vesting period of 2.1 years.</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RSUs and PSUs settle into shares of common stock upon vesting. Upon the vesting of the RSUs and PSUs, we net-settle the RSUs and PSUs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80" w:type="dxa"/>
            <w:vAlign w:val="bottom"/>
            <w:gridSpan w:val="4"/>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400" w:type="dxa"/>
            <w:vAlign w:val="bottom"/>
            <w:gridSpan w:val="4"/>
          </w:tcPr>
          <w:p>
            <w:pPr>
              <w:ind w:left="9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40" w:type="dxa"/>
            <w:vAlign w:val="bottom"/>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560" w:type="dxa"/>
            <w:vAlign w:val="bottom"/>
          </w:tcPr>
          <w:p>
            <w:pPr>
              <w:spacing w:after="0"/>
              <w:rPr>
                <w:sz w:val="13"/>
                <w:szCs w:val="13"/>
                <w:color w:val="auto"/>
              </w:rPr>
            </w:pPr>
          </w:p>
        </w:tc>
        <w:tc>
          <w:tcPr>
            <w:tcW w:w="1700" w:type="dxa"/>
            <w:vAlign w:val="bottom"/>
            <w:tcBorders>
              <w:top w:val="single" w:sz="8" w:color="auto"/>
            </w:tcBorders>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0" w:type="dxa"/>
            <w:vAlign w:val="bottom"/>
            <w:tcBorders>
              <w:top w:val="single" w:sz="8" w:color="auto"/>
            </w:tcBorders>
          </w:tcPr>
          <w:p>
            <w:pPr>
              <w:jc w:val="right"/>
              <w:ind w:right="2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680" w:type="dxa"/>
            <w:vAlign w:val="bottom"/>
            <w:tcBorders>
              <w:top w:val="single" w:sz="8" w:color="auto"/>
            </w:tcBorders>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Borders>
              <w:top w:val="single" w:sz="8" w:color="auto"/>
            </w:tcBorders>
          </w:tcPr>
          <w:p>
            <w:pPr>
              <w:jc w:val="right"/>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5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100" w:type="dxa"/>
            <w:vAlign w:val="bottom"/>
            <w:tcBorders>
              <w:top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8"/>
              </w:rPr>
              <w:t>(1.8)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2025</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vest—September 30, 2025</w:t>
            </w:r>
          </w:p>
        </w:tc>
        <w:tc>
          <w:tcPr>
            <w:tcW w:w="1100" w:type="dxa"/>
            <w:vAlign w:val="bottom"/>
            <w:tcBorders>
              <w:bottom w:val="single" w:sz="8" w:color="auto"/>
            </w:tcBorders>
          </w:tcPr>
          <w:p>
            <w:pPr>
              <w:jc w:val="center"/>
              <w:ind w:left="652"/>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exercisable—September 30, 2025</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at the date of the balance sheet for all in-the-money stock options. Stock compensation expense is recognized on a straight-line basis over the vesting period of each stock option. As of September 30, 2025, total compensation expense related to unvested stock options granted to employees but not yet recognized was $52.3 million, with a weighted-average remaining vesting period of 2.6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1"/>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 liabilities, by award type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7"/>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1"/>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15"/>
        </w:trPr>
        <w:tc>
          <w:tcPr>
            <w:tcW w:w="11240" w:type="dxa"/>
            <w:vAlign w:val="bottom"/>
            <w:gridSpan w:val="15"/>
          </w:tcPr>
          <w:p>
            <w:pPr>
              <w:jc w:val="right"/>
              <w:ind w:right="154"/>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(in</w:t>
            </w: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5"/>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24"/>
                <w:szCs w:val="24"/>
                <w:color w:val="auto"/>
              </w:rPr>
            </w:pPr>
          </w:p>
        </w:tc>
        <w:tc>
          <w:tcPr>
            <w:tcW w:w="2880" w:type="dxa"/>
            <w:vAlign w:val="bottom"/>
            <w:gridSpan w:val="4"/>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In August 2025, our board of directors approved a $1.0 billion increase in the authorized stock repurchase amount under the Repurchase Program and extended the term of the Repurchase Program to February 28, 2027, bringing the aggregate amount authorized for repurchases to $9.25 billion of our outstanding common stock through February 28, 2027.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During the three months ended September 30, 2025, we repurchased 23.3 million shares of our common stock under the Repurchase Program in open-market transactions, at a weighted-average price of $78.32 per share, for an aggregate purchase price of $1.83 billion, which excludes a $17.7 million accrual related to the 1% excise tax imposed by the Inflation Reduction Act of 2022. During the nine months ended September 30, 2025, we repurchased 27.9 million shares of our common stock under the Repurchase Program in open-market transactions, at a weighted-average price of $79.88 per share, for an aggregate purchase price of $2.23 billion, which excludes a $18.5 million accrual related to the 1% excise tax imposed by the Inflation Reduction Act of 2022. As of September 30, 2025, approximately $795.9 million remained available for future share repurchases under the Repurchase Program.</w:t>
      </w:r>
    </w:p>
    <w:p>
      <w:pPr>
        <w:spacing w:after="0" w:line="2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Our effective tax rate was 20% for the three months ended September 30, 2025, compared to an effective tax rate of 13% for the same period last year. Our effective tax rate was 18% for the nine months ended September 30, 2025, compared to an effective tax rate of 14% for the same period last year. The tax rates for the three months ended September 30, 2025 and 2024 were comprised of U.S. federal and state taxes, withholding taxes and foreign taxes that amounted to $141.0 million and $123.6 million, respectively. The tax rate for the three months ended September 30, 2025 included a tax benefit of $11.1 million from the foreign-derived intangible income (“FDII”) deduction, and excess tax benefits from stock-based compensation expense of</w:t>
      </w:r>
    </w:p>
    <w:p>
      <w:pPr>
        <w:spacing w:after="0" w:line="1"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8"/>
          <w:szCs w:val="18"/>
          <w:color w:val="auto"/>
        </w:rPr>
        <w:t>$9.2 million. The tax rate for the three months ended September 30, 2024 was impacted by a tax benefit of $33.1 million from the FDII deduction, and excess tax benefits from stock-based compensation expense of $9.3 million.</w:t>
      </w:r>
    </w:p>
    <w:p>
      <w:pPr>
        <w:spacing w:after="0" w:line="209"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18"/>
          <w:szCs w:val="18"/>
          <w:color w:val="auto"/>
        </w:rPr>
        <w:t>The tax rates for the nine months ended September 30, 2025 and 2024 were composed of U.S. federal and state taxes, withholding taxes and foreign taxes that amounted to $384.2 million and $315.0 million, respectively. The tax rate for the nine months ended September 30, 2025 included a tax provision of $30.6 million related to the derecognition of deferred tax assets from the business combination with Linksys, a tax benefit of $62.0 million from the FDII deduction, and excess tax benefits from stock-based compensation expense of $58.5 million. The tax rate for the nine months ended September 30, 2024 was impacted by a tax benefit of $84.0 million from the FDII deduction, and excess tax benefits from stock-based compensation expense of $33.8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July 4, 2025, H.R. 1, an Act to Provide for Reconciliation Pursuant to Title II of House Concurrent Resolution 14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The income tax effects of the Act have been recognized in our provision for income taxes as of September 30, 2025. As a result of the Act, our cash paid for income taxes in 2025 could reduce by approximately $100 million to $150 million, while our GAAP effective tax rate for 2025 could increase by approximately one percentage point.</w:t>
      </w:r>
    </w:p>
    <w:p>
      <w:pPr>
        <w:spacing w:after="0" w:line="20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As of September 30, 2025 and December 31, 2024, unrecognized tax benefits were $86.6 million and $75.9 million, respectively. If recognized, $70.8 million of the unrecognized tax benefits as of September 30, 2025 would favorably affect our effective tax rate. It is our policy to include accrued interest and penalties related to unrecognized tax benefits in income tax expense. As of September 30, 2025 and December 31, 2024, accrued interest and penalties were $11.6 million and $8.8 million, respectively.</w:t>
      </w:r>
    </w:p>
    <w:p>
      <w:pPr>
        <w:spacing w:after="0" w:line="2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2020 and by U.S. state and foreign tax authorities in our significant jurisdictions for tax years prior to 2016. We currently have ongoing tax audits in the United Kingdom, Canada, Germany and several other foreign jurisdictions. The focus of these audits is the inter-company profit allocation.</w:t>
      </w:r>
    </w:p>
    <w:p>
      <w:pPr>
        <w:spacing w:after="0" w:line="20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Internal Revenue Service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195"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17"/>
          <w:szCs w:val="17"/>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The OECD continues to release additional guidance on these rules. Based on the enacted laws, BEPS Pillar Two has no impact to our effective tax rate or cash flows for the nine months ended September 30, 2025. We will continue to evaluate the impact of these tax law changes on future reporting periods.</w:t>
      </w:r>
    </w:p>
    <w:p>
      <w:pPr>
        <w:spacing w:after="0" w:line="20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September 30, 2025 and 2024 were $5.0 million and $4.6 million, respectively. Our matching contributions to our 401(k) Plan and the RRSP for the nine months ended September 30, 2025 and 2024 were $15.7 million and $15.2 million, respectively.</w:t>
      </w:r>
    </w:p>
    <w:p>
      <w:pPr>
        <w:spacing w:after="0" w:line="21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our reportable segment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Borders>
              <w:bottom w:val="single" w:sz="8" w:color="auto"/>
            </w:tcBorders>
          </w:tcPr>
          <w:p>
            <w:pPr>
              <w:spacing w:after="0"/>
              <w:rPr>
                <w:sz w:val="18"/>
                <w:szCs w:val="18"/>
                <w:color w:val="auto"/>
              </w:rPr>
            </w:pPr>
          </w:p>
        </w:tc>
      </w:tr>
      <w:tr>
        <w:trPr>
          <w:trHeight w:val="398"/>
        </w:trPr>
        <w:tc>
          <w:tcPr>
            <w:tcW w:w="4820" w:type="dxa"/>
            <w:vAlign w:val="bottom"/>
          </w:tcPr>
          <w:p>
            <w:pPr>
              <w:spacing w:after="0"/>
              <w:rPr>
                <w:sz w:val="24"/>
                <w:szCs w:val="24"/>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6"/>
        </w:trPr>
        <w:tc>
          <w:tcPr>
            <w:tcW w:w="4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r>
      <w:tr>
        <w:trPr>
          <w:trHeight w:val="21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4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product revenue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29"/>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Cost of service revenue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30"/>
        </w:trPr>
        <w:tc>
          <w:tcPr>
            <w:tcW w:w="4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r>
      <w:tr>
        <w:trPr>
          <w:trHeight w:val="229"/>
        </w:trPr>
        <w:tc>
          <w:tcPr>
            <w:tcW w:w="482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Other sales and marketing expense </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r>
      <w:tr>
        <w:trPr>
          <w:trHeight w:val="229"/>
        </w:trPr>
        <w:tc>
          <w:tcPr>
            <w:tcW w:w="4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Commission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30"/>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29"/>
        </w:trPr>
        <w:tc>
          <w:tcPr>
            <w:tcW w:w="48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30"/>
        </w:trPr>
        <w:tc>
          <w:tcPr>
            <w:tcW w:w="4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commission expense.</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other segment items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r>
      <w:tr>
        <w:trPr>
          <w:trHeight w:val="398"/>
        </w:trPr>
        <w:tc>
          <w:tcPr>
            <w:tcW w:w="492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46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income—net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4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0"/>
        </w:trPr>
        <w:tc>
          <w:tcPr>
            <w:tcW w:w="4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other segment information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Borders>
              <w:bottom w:val="single" w:sz="8" w:color="auto"/>
            </w:tcBorders>
          </w:tcPr>
          <w:p>
            <w:pPr>
              <w:spacing w:after="0"/>
              <w:rPr>
                <w:sz w:val="18"/>
                <w:szCs w:val="18"/>
                <w:color w:val="auto"/>
              </w:rPr>
            </w:pPr>
          </w:p>
        </w:tc>
      </w:tr>
      <w:tr>
        <w:trPr>
          <w:trHeight w:val="398"/>
        </w:trPr>
        <w:tc>
          <w:tcPr>
            <w:tcW w:w="4900" w:type="dxa"/>
            <w:vAlign w:val="bottom"/>
          </w:tcPr>
          <w:p>
            <w:pPr>
              <w:spacing w:after="0"/>
              <w:rPr>
                <w:sz w:val="24"/>
                <w:szCs w:val="24"/>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4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Significant non-cash items:</w:t>
            </w: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30"/>
        </w:trPr>
        <w:tc>
          <w:tcPr>
            <w:tcW w:w="4900" w:type="dxa"/>
            <w:vAlign w:val="bottom"/>
          </w:tcPr>
          <w:p>
            <w:pPr>
              <w:ind w:left="4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19"/>
                <w:szCs w:val="19"/>
                <w:color w:val="auto"/>
              </w:rPr>
            </w:pPr>
          </w:p>
        </w:tc>
        <w:tc>
          <w:tcPr>
            <w:tcW w:w="7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9"/>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70"/>
        </w:trPr>
        <w:tc>
          <w:tcPr>
            <w:tcW w:w="4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8,852.0</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20"/>
                <w:szCs w:val="20"/>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Pr>
          <w:p>
            <w:pPr>
              <w:spacing w:after="0"/>
              <w:rPr>
                <w:sz w:val="20"/>
                <w:szCs w:val="20"/>
                <w:color w:val="auto"/>
              </w:rPr>
            </w:pPr>
          </w:p>
        </w:tc>
        <w:tc>
          <w:tcPr>
            <w:tcW w:w="7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0"/>
          </w:tcPr>
          <w:p>
            <w:pPr>
              <w:ind w:left="7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3"/>
                <w:szCs w:val="13"/>
                <w:color w:val="auto"/>
              </w:rPr>
            </w:pPr>
          </w:p>
        </w:tc>
        <w:tc>
          <w:tcPr>
            <w:tcW w:w="1320" w:type="dxa"/>
            <w:vAlign w:val="bottom"/>
            <w:gridSpan w:val="5"/>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1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9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47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455.1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1,415.0</w:t>
            </w:r>
          </w:p>
        </w:tc>
        <w:tc>
          <w:tcPr>
            <w:tcW w:w="6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554.1</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1,969.1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2,009.2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284.8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916.3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1,508.1</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4,894.6</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37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13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1,605.2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10"/>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10"/>
          </w:tcPr>
          <w:p>
            <w:pPr>
              <w:ind w:left="6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980" w:type="dxa"/>
            <w:vAlign w:val="bottom"/>
            <w:tcBorders>
              <w:top w:val="single" w:sz="8" w:color="auto"/>
            </w:tcBorders>
            <w:gridSpan w:val="6"/>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tcBorders>
              <w:top w:val="single" w:sz="8" w:color="auto"/>
            </w:tcBorders>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60" w:type="dxa"/>
            <w:vAlign w:val="bottom"/>
            <w:tcBorders>
              <w:top w:val="single" w:sz="8" w:color="auto"/>
            </w:tcBorders>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4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3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tariffs or other trade disruptions, public health issues, wars, natural disasters and economic growth;</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government regulation and other policies;</w:t>
      </w:r>
    </w:p>
    <w:p>
      <w:pPr>
        <w:spacing w:after="0" w:line="252" w:lineRule="exact"/>
        <w:rPr>
          <w:rFonts w:ascii="Times New Roman" w:cs="Times New Roman" w:eastAsia="Times New Roman" w:hAnsi="Times New Roman"/>
          <w:sz w:val="18"/>
          <w:szCs w:val="18"/>
          <w:i w:val="1"/>
          <w:iCs w:val="1"/>
          <w:color w:val="auto"/>
        </w:rPr>
      </w:pPr>
    </w:p>
    <w:p>
      <w:pPr>
        <w:ind w:left="1300" w:right="560" w:hanging="644"/>
        <w:spacing w:after="0" w:line="268"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product and service offerings;</w:t>
      </w:r>
    </w:p>
    <w:p>
      <w:pPr>
        <w:spacing w:after="0" w:line="199"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including those related to cloud-based and AI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current or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right="26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service revenue and inventory related charges;</w:t>
      </w:r>
    </w:p>
    <w:p>
      <w:pPr>
        <w:spacing w:after="0" w:line="158" w:lineRule="exact"/>
        <w:rPr>
          <w:rFonts w:ascii="Times New Roman" w:cs="Times New Roman" w:eastAsia="Times New Roman" w:hAnsi="Times New Roman"/>
          <w:sz w:val="18"/>
          <w:szCs w:val="18"/>
          <w:color w:val="auto"/>
        </w:rPr>
      </w:pPr>
    </w:p>
    <w:p>
      <w:pPr>
        <w:ind w:left="1300" w:right="10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 including sales and marketing expense, research and development expense, general and administrative expense, and expectations regarding these expenses;</w:t>
      </w:r>
    </w:p>
    <w:p>
      <w:pPr>
        <w:sectPr>
          <w:pgSz w:w="11900" w:h="16838" w:orient="portrait"/>
          <w:cols w:equalWidth="0" w:num="1">
            <w:col w:w="11180"/>
          </w:cols>
          <w:pgMar w:left="320" w:top="2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data center footprint and our PoPs deployment;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gross margins and operating expenses for 2025;</w:t>
      </w:r>
    </w:p>
    <w:p>
      <w:pPr>
        <w:spacing w:after="0" w:line="252" w:lineRule="exact"/>
        <w:rPr>
          <w:rFonts w:ascii="Times New Roman" w:cs="Times New Roman" w:eastAsia="Times New Roman" w:hAnsi="Times New Roman"/>
          <w:sz w:val="18"/>
          <w:szCs w:val="18"/>
          <w:i w:val="1"/>
          <w:iCs w:val="1"/>
          <w:color w:val="auto"/>
        </w:rPr>
      </w:pPr>
    </w:p>
    <w:p>
      <w:pPr>
        <w:ind w:left="1300" w:right="8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0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520" w:hanging="644"/>
        <w:spacing w:after="0" w:line="259"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spending related to real estate assets, acquisitions and development, including data centers and points of presence, office building and warehouse investments, as well as other capital expenditures and to the impact on free cash flow and expenses;</w:t>
      </w:r>
    </w:p>
    <w:p>
      <w:pPr>
        <w:spacing w:after="0" w:line="19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2025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expansions, development, improvements, operating, subleasing and other real property holdings activities;</w:t>
      </w:r>
    </w:p>
    <w:p>
      <w:pPr>
        <w:spacing w:after="0" w:line="238"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4"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Fortinet is a leader in cybersecurity, driving the convergence of networking and security. Our mission is to secure people, devices and data everywhere. Our integrated platform, the Fortinet Security Fabric, spans secure networking, unified SASE and AI-driven security operations (“SecOps”). As of September 30, 2025, our end-customers were located in over 100 countries and included enterprises across a wide variety of market verticals, including financial services, retail, healthcare and operational technology (“OT”)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September 30, 2025, we held 1,027 U.S. patents and 1,360 global patents, including 307 AI-related patents. We have been recognized in over 140 enterprise analyst reports demonstrating both our vision and execution across security and networking products.</w:t>
      </w:r>
    </w:p>
    <w:p>
      <w:pPr>
        <w:spacing w:after="0" w:line="20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Our competitive differentiation lies in our core technologies, which together provide performance, security, flexibility and integration across diverse environments.</w:t>
      </w:r>
    </w:p>
    <w:p>
      <w:pPr>
        <w:spacing w:after="0" w:line="185" w:lineRule="exact"/>
        <w:rPr>
          <w:sz w:val="20"/>
          <w:szCs w:val="20"/>
          <w:color w:val="auto"/>
        </w:rPr>
      </w:pPr>
    </w:p>
    <w:p>
      <w:pPr>
        <w:ind w:left="660" w:right="180" w:hanging="328"/>
        <w:spacing w:after="0" w:line="24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FortiOS</w:t>
      </w:r>
      <w:r>
        <w:rPr>
          <w:rFonts w:ascii="Times New Roman" w:cs="Times New Roman" w:eastAsia="Times New Roman" w:hAnsi="Times New Roman"/>
          <w:sz w:val="18"/>
          <w:szCs w:val="18"/>
          <w:color w:val="auto"/>
        </w:rPr>
        <w:t>—FortiOS enables the convergence of security and networking to enforce consistent security policies across form factors and edges.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foundation of the Fortinet Security Fabric, FortiOS empowers organizations to unify management and analytics for comprehensive network visibility and control at scale. To further validate our strategy, FortiOS has been recognized across five Gartner Magic Quadrants, including Firewall, Software-Defined Wide-Area</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Network (“SD-WAN”), Security Service Edge (“SSE”), SASE Platforms and Wired and Wireless Local Area Network (“LAN”).</w:t>
      </w:r>
    </w:p>
    <w:p>
      <w:pPr>
        <w:spacing w:after="0" w:line="235" w:lineRule="exact"/>
        <w:rPr>
          <w:sz w:val="20"/>
          <w:szCs w:val="20"/>
          <w:color w:val="auto"/>
        </w:rPr>
      </w:pPr>
    </w:p>
    <w:p>
      <w:pPr>
        <w:jc w:val="both"/>
        <w:ind w:left="660" w:right="280" w:hanging="328"/>
        <w:spacing w:after="0" w:line="25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FortiASIC</w:t>
      </w:r>
      <w:r>
        <w:rPr>
          <w:rFonts w:ascii="Times New Roman" w:cs="Times New Roman" w:eastAsia="Times New Roman" w:hAnsi="Times New Roman"/>
          <w:sz w:val="18"/>
          <w:szCs w:val="18"/>
          <w:color w:val="auto"/>
        </w:rPr>
        <w:t>—Our Application-Specific Integrated Circuit (“ASIC”)-based SPUs increase the speed, scale, efficiency and value of our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improving user experience, reducing footprint and power requirements. From branch and campus to data center solutions, SPU-powered Fortinet appliances deliver superior Security Compute Ratings versus industry alternatives.</w:t>
      </w:r>
    </w:p>
    <w:p>
      <w:pPr>
        <w:spacing w:after="0" w:line="212" w:lineRule="exact"/>
        <w:rPr>
          <w:rFonts w:ascii="Times New Roman" w:cs="Times New Roman" w:eastAsia="Times New Roman" w:hAnsi="Times New Roman"/>
          <w:sz w:val="18"/>
          <w:szCs w:val="18"/>
          <w:color w:val="auto"/>
        </w:rPr>
      </w:pPr>
    </w:p>
    <w:p>
      <w:pPr>
        <w:ind w:left="660" w:right="40" w:hanging="328"/>
        <w:spacing w:after="0" w:line="25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FortiCloud</w:t>
      </w:r>
      <w:r>
        <w:rPr>
          <w:rFonts w:ascii="Times New Roman" w:cs="Times New Roman" w:eastAsia="Times New Roman" w:hAnsi="Times New Roman"/>
          <w:sz w:val="18"/>
          <w:szCs w:val="18"/>
          <w:color w:val="auto"/>
        </w:rPr>
        <w:t>—Our organically built global cloud infrastructure provides customers with global reach, flexible connectivity, and cost savings.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FortiCloud is our private cloud software as a service (“SaaS”) platform, powered by FortiStack, and leveraging software and hardware to optimize and secure all layers.</w:t>
      </w:r>
    </w:p>
    <w:p>
      <w:pPr>
        <w:spacing w:after="0" w:line="198" w:lineRule="exact"/>
        <w:rPr>
          <w:rFonts w:ascii="Times New Roman" w:cs="Times New Roman" w:eastAsia="Times New Roman" w:hAnsi="Times New Roman"/>
          <w:sz w:val="18"/>
          <w:szCs w:val="18"/>
          <w:color w:val="auto"/>
        </w:rPr>
      </w:pPr>
    </w:p>
    <w:p>
      <w:pPr>
        <w:ind w:left="660" w:right="160" w:hanging="328"/>
        <w:spacing w:after="0" w:line="23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FortiAI</w:t>
      </w:r>
      <w:r>
        <w:rPr>
          <w:rFonts w:ascii="Times New Roman" w:cs="Times New Roman" w:eastAsia="Times New Roman" w:hAnsi="Times New Roman"/>
          <w:sz w:val="18"/>
          <w:szCs w:val="18"/>
          <w:color w:val="auto"/>
        </w:rPr>
        <w:t>—FortiAI includes FortiAI-Protect, which defends against emerging AI-driven threats and ensures secure AI usage; FortiAI-Assist,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generative AI product with agentic AI, automates Security Operations Center (“SOC”) and Network Operations Center (“NOC”) operations; and FortiAI-SecureAI, which safeguards AI infrastructure and prevents data leakage into large language models. FortiAI helps security teams make faster, educated decisions while integrating into products like FortiAnalyzer, FortiManager, FortiSIEM, and FortiSOAR to streamline threat investigation, response, and automation.</w:t>
      </w:r>
    </w:p>
    <w:p>
      <w:pPr>
        <w:spacing w:after="0" w:line="211" w:lineRule="exact"/>
        <w:rPr>
          <w:rFonts w:ascii="Times New Roman" w:cs="Times New Roman" w:eastAsia="Times New Roman" w:hAnsi="Times New Roman"/>
          <w:sz w:val="18"/>
          <w:szCs w:val="18"/>
          <w:color w:val="auto"/>
        </w:rPr>
      </w:pPr>
    </w:p>
    <w:p>
      <w:pPr>
        <w:ind w:left="660" w:right="40" w:hanging="328"/>
        <w:spacing w:after="0" w:line="24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FortiEndpoint</w:t>
      </w:r>
      <w:r>
        <w:rPr>
          <w:rFonts w:ascii="Times New Roman" w:cs="Times New Roman" w:eastAsia="Times New Roman" w:hAnsi="Times New Roman"/>
          <w:sz w:val="18"/>
          <w:szCs w:val="18"/>
          <w:color w:val="auto"/>
        </w:rPr>
        <w:t>—FortiEndpoint converges secure connectivity, endpoint protection and advanced capabilities like endpoint detection and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extended detection and response (“XDR”), into a single agent.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all environments.</w:t>
      </w:r>
    </w:p>
    <w:p>
      <w:pPr>
        <w:spacing w:after="0" w:line="204"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 Security</w:t>
      </w:r>
      <w:r>
        <w:rPr>
          <w:rFonts w:ascii="Times New Roman" w:cs="Times New Roman" w:eastAsia="Times New Roman" w:hAnsi="Times New Roman"/>
          <w:sz w:val="18"/>
          <w:szCs w:val="18"/>
          <w:color w:val="auto"/>
        </w:rPr>
        <w:t>—The Fortinet Security Fabric enables security for converged IT/OT ecosystems. It also provides an OT Security Platform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features and products to extend Security Fabric capabilities to OT networks in many areas, including factories, plants, remote locations and ships. To help alleviate security risks across the organization, we have continued to enhance our OT Security Platform offerings. These innovations range from edge products to NOC and SOC tools and services to provide effective and efficient networking and cybersecurity performance and operation.</w:t>
      </w:r>
    </w:p>
    <w:p>
      <w:pPr>
        <w:spacing w:after="0" w:line="21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These competitive differentiators provide networking and security professionals with a comprehensive cyber security platform comprised of over 50 products across three solution pillars:</w:t>
      </w:r>
    </w:p>
    <w:p>
      <w:pPr>
        <w:spacing w:after="0" w:line="172" w:lineRule="exact"/>
        <w:rPr>
          <w:sz w:val="20"/>
          <w:szCs w:val="20"/>
          <w:color w:val="auto"/>
        </w:rPr>
      </w:pPr>
    </w:p>
    <w:p>
      <w:pPr>
        <w:ind w:left="660" w:right="20" w:hanging="328"/>
        <w:spacing w:after="0" w:line="238" w:lineRule="auto"/>
        <w:tabs>
          <w:tab w:leader="none" w:pos="655" w:val="left"/>
        </w:tabs>
        <w:numPr>
          <w:ilvl w:val="0"/>
          <w:numId w:val="2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SaaS solutions.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data center, hyperscale and distributed firewalls, as well as encrypted applications (secure sockets layer inspection, virtual private network and Internet Protocol Security connectivity). Our ability to converge networking and security also enables the ethernet to become an extension of our customers’ security infrastructure through FortiSwitch and FortiLink. Our wireless LAN solution leverages secure networking to provide secure wireless access for the enterprise LAN edge. FortiExtender secures 5G/LTE and remote ethernet extenders to connect and secure any branch environment. Our Secure Connectivity solution includes FortiSwitch secure ethernet switches, FortiAP wireless local area network access points and FortiExtender 5G connectivity gateways.</w:t>
      </w:r>
    </w:p>
    <w:p>
      <w:pPr>
        <w:spacing w:after="0" w:line="212" w:lineRule="exact"/>
        <w:rPr>
          <w:rFonts w:ascii="Times New Roman" w:cs="Times New Roman" w:eastAsia="Times New Roman" w:hAnsi="Times New Roman"/>
          <w:sz w:val="18"/>
          <w:szCs w:val="18"/>
          <w:color w:val="212529"/>
        </w:rPr>
      </w:pPr>
    </w:p>
    <w:p>
      <w:pPr>
        <w:ind w:left="660" w:right="4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hybrid workforce is now the norm, enabling secure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users with zero trust framework becomes important. The Fortinet Unified SASE solution includes a single-vendor SASE solution that includes firewall, SD-WAN, secure web gateway, cloud access services broker, DLP and zero trust network access (“ZTNA”)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over 170 PoPs to deliver the seamless secure access experience. Given this, we believe we are well positioned to support customers expanding from SD-WAN to a single-vendor SASE platform. Additionally, we offer a full suite of comprehensive, integrated cloud security solutions that enable customers to secure their applications from code to cloud. Our solutions include application security that includes our web application firewalls, cloud network security with virtualized firewalls and cloud-native firewalls, cloud-native application protection and code security. We deliver a holistic approach to cloud security, offering a single unified platform, consolidating protection across multiple disparate tools, including coding, deploying, and running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20"/>
        <w:spacing w:after="0" w:line="242" w:lineRule="auto"/>
        <w:rPr>
          <w:sz w:val="20"/>
          <w:szCs w:val="20"/>
          <w:color w:val="auto"/>
        </w:rPr>
      </w:pPr>
      <w:r>
        <w:rPr>
          <w:rFonts w:ascii="Times New Roman" w:cs="Times New Roman" w:eastAsia="Times New Roman" w:hAnsi="Times New Roman"/>
          <w:sz w:val="18"/>
          <w:szCs w:val="18"/>
          <w:color w:val="auto"/>
        </w:rPr>
        <w:t>applications across hybrid and multi-clouds. Additionally, we also offer flexible consumption licensing programs that enable organizations to dynamically optimize their cloud security needs and investments as well as readily meet their cloud minimum spend commitment obligations with Cloud Service Providers. We continue to develop all the core SASE capabilities in a single operating system, FortiOS, including Next-Gen Firewall, SD-WAN, ZTNA, secure web gateway, cloud access security broker, and DLP. This native integration of our Next-Gen Firewall, SD-WAN, and SASE has become the New-Generation SASE Firewall.</w:t>
      </w:r>
    </w:p>
    <w:p>
      <w:pPr>
        <w:spacing w:after="0" w:line="208" w:lineRule="exact"/>
        <w:rPr>
          <w:sz w:val="20"/>
          <w:szCs w:val="20"/>
          <w:color w:val="auto"/>
        </w:rPr>
      </w:pPr>
    </w:p>
    <w:p>
      <w:pPr>
        <w:ind w:left="660" w:hanging="328"/>
        <w:spacing w:after="0" w:line="23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AI-Driven Security Operations (SecOps)</w:t>
      </w:r>
      <w:r>
        <w:rPr>
          <w:rFonts w:ascii="Times New Roman" w:cs="Times New Roman" w:eastAsia="Times New Roman" w:hAnsi="Times New Roman"/>
          <w:sz w:val="18"/>
          <w:szCs w:val="18"/>
          <w:color w:val="auto"/>
        </w:rPr>
        <w:t>—Our AI-Driven SecOps portfolio provides a comprehensive suite of cybersecurity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identify, protect, detect, respond and recover from threats, all integrated within the Fortinet Security Fabric. At the core is </w:t>
      </w:r>
      <w:r>
        <w:rPr>
          <w:rFonts w:ascii="Times New Roman" w:cs="Times New Roman" w:eastAsia="Times New Roman" w:hAnsi="Times New Roman"/>
          <w:sz w:val="18"/>
          <w:szCs w:val="18"/>
          <w:color w:val="333333"/>
        </w:rPr>
        <w:t>FortiAnalyzer,</w:t>
      </w:r>
      <w:r>
        <w:rPr>
          <w:rFonts w:ascii="Times New Roman" w:cs="Times New Roman" w:eastAsia="Times New Roman" w:hAnsi="Times New Roman"/>
          <w:sz w:val="18"/>
          <w:szCs w:val="18"/>
          <w:color w:val="auto"/>
        </w:rPr>
        <w:t xml:space="preserve"> which serves as the central SOC platform with its unified data lake that provides built-in Security information and event management (“SIEM”), Security, orchestration, automation, and response (“SOAR”), XDR and threat intelligence, enabling centralized visibility, analytics and automation with complete control. FortiSIEM delivers robust security information and event management for more advanced SOC requirements, while FortiSOAR enables automated orchestration and playbook-driven response. This solution set also includes FortiEDR, FortiXDR,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SOC-as-a-Service, Managed detection and response, Security Posture Assessment and Incident Response. Finally, FortiAI generative AI assistance streamlines operations, helping security teams stay ahead of an ever-evolving threat landscape.</w:t>
      </w:r>
    </w:p>
    <w:p>
      <w:pPr>
        <w:spacing w:after="0" w:line="213" w:lineRule="exact"/>
        <w:rPr>
          <w:sz w:val="20"/>
          <w:szCs w:val="20"/>
          <w:color w:val="auto"/>
        </w:rPr>
      </w:pPr>
    </w:p>
    <w:p>
      <w:pPr>
        <w:jc w:val="both"/>
        <w:ind w:right="140" w:firstLine="648"/>
        <w:spacing w:after="0" w:line="245" w:lineRule="auto"/>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Machine Learning (“ML”) and AI technologies to provide timely protection updates and actionable threat intelligence for the benefit of our customers. Using millions of global network sensors, FortiGuard Labs monitors the worldwide attack surface and employs AI to mine that data for new threats.</w:t>
      </w:r>
    </w:p>
    <w:p>
      <w:pPr>
        <w:spacing w:after="0" w:line="190"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FortiGuard and Other Security Services </w:t>
      </w:r>
      <w:r>
        <w:rPr>
          <w:rFonts w:ascii="Times New Roman" w:cs="Times New Roman" w:eastAsia="Times New Roman" w:hAnsi="Times New Roman"/>
          <w:sz w:val="18"/>
          <w:szCs w:val="18"/>
          <w:color w:val="auto"/>
        </w:rPr>
        <w:t>are a suite of AI-powered security capabilities that are natively integrated as part of the Fortinet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198" w:lineRule="exact"/>
        <w:rPr>
          <w:sz w:val="20"/>
          <w:szCs w:val="20"/>
          <w:color w:val="auto"/>
        </w:rPr>
      </w:pPr>
    </w:p>
    <w:p>
      <w:pPr>
        <w:ind w:right="120" w:firstLine="648"/>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FortiCare Technical Support Service </w:t>
      </w:r>
      <w:r>
        <w:rPr>
          <w:rFonts w:ascii="Times New Roman" w:cs="Times New Roman" w:eastAsia="Times New Roman" w:hAnsi="Times New Roman"/>
          <w:sz w:val="18"/>
          <w:szCs w:val="18"/>
          <w:color w:val="auto"/>
        </w:rPr>
        <w:t>is a per-device technical support service, which provides customers access to experts to ensure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effective operations and maintenance of their Fortinet capabilities. Global technical support is offered 24x7 with flexible add-ons, including enhanced service-level agreements and priority hardware replacement through in-country and local depots. Organizations have the flexibility to procure different levels of service for different devices based on their availability needs. We offer three per-device support options tailored to the needs of our enterprise customers: FortiCare Elite, FortiCare Premium and FortiCare Essential. The FortiCare Elite service aims to provide a 15-minute response time for key product families.</w:t>
      </w:r>
    </w:p>
    <w:p>
      <w:pPr>
        <w:spacing w:after="0" w:line="202"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8"/>
          <w:szCs w:val="18"/>
          <w:color w:val="auto"/>
        </w:rPr>
        <w:t>In addition to FortiCare device level services, Advanced Support service options are available per account. These services are available for regional account support in three options: Core, Pro and Pro Plus, and can be available or provided on a global basis at the Pro and Pro Plus levels. Advanced Support brings support directly to each account, helping account holders to make their operations more effective and to plan and manage their solution lifecycle.</w:t>
      </w:r>
    </w:p>
    <w:p>
      <w:pPr>
        <w:spacing w:after="0" w:line="21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approximately two million certifications to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8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$1.72 billion and $4.89 billion during the three and nine months ended September 30, 2025, an increase of 14% in each period, compared to $1.51 billion and $4.30 billion in the same periods last year. Product revenue was $559.3 million and $1.53 billion during the three and nine months ended September 30, 2025, an increase of 18% and 14%, respectively, compared to $473.9 million and $1.33 billion in the same periods last year. Service revenue was $1.17 billion and $3.37 billion during the three and nine months ended September 30, 2025, an increase of 13% and 14%, respectively, compared to $1.03 billion and $2.96 billion in the same periods last year.</w:t>
      </w:r>
    </w:p>
    <w:p>
      <w:pPr>
        <w:spacing w:after="0" w:line="21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$1.39 billion and $3.95 billion during the three and nine months ended September 30, 2025, an increase of 12% and 15%, respectively, compared to $1.24 billion and $3.45 billion in the same periods last year.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was 80.8% during the three and nine months ended September 30, 2025, a decrease of 1.7 percentage points and an increase of 0.4 percentage points, respectively, compared to 82.5% and 80.4% in the same periods last year.</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$547.3 million and $1.46 billion during the three and nine months ended September 30, 2025, an increase of 16% and 19%, respectively, compared to $470.9 million and $1.23 billion in the same periods last year.</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31.7% and 29.8% during the three and nine months ended September 30, 2025, an increase of 0.5 percentage points and 1.2 percentage points, respectively, compared to 31.2% and 28.6% in the same periods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were $3.41 billion as of September 30,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$6.65 billion, including short-term deferred revenue of $3.46 billion, as of September 30, 2025.</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$1.97 billion during the nine months ended September 30, 2025, an increase of $189.9 million, or 11%, compared to the same period last year.</w:t>
      </w:r>
    </w:p>
    <w:p>
      <w:pPr>
        <w:spacing w:after="0" w:line="18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Revenue continues to be diversified globally, which remains a key strength of our business. During the three months ended September 30, 2025, the EMEA region, the Americas region and the APAC region contributed 41%, 40% and 19% of our total revenue, respectively, and revenue grew 19%, 9% and 16% in these regions compared to the same period last year, respectively. During the nine months ended September 30, 2025, EMEA, the Americas and APAC regions contributed 41%, 40% and 19% of our total revenue, respectively, and revenue grew by 18%, 11% and 12% in these regions compared to the same period last year, respectively.</w:t>
      </w:r>
    </w:p>
    <w:p>
      <w:pPr>
        <w:spacing w:after="0" w:line="208"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Product revenue increased 18% and 14% during the three and nine months ended September 30, 2025, respectively, compared to the same periods last year. We experienced product revenue growth across our hardware products and software licensing, which mainly benefited from growth in secure networking hardware products and term licenses. We expect our product revenue to continue to grow for the remainder of 2025.</w:t>
      </w:r>
    </w:p>
    <w:p>
      <w:pPr>
        <w:spacing w:after="0" w:line="21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Service revenue growth during the three and nine months ended September 30, 2025 was 13% and 14%, respectively, as compared to the same periods last year, primarily driven by the strength of our security subscription revenue, which grew 13% and 15%, respectively. The increase was primarily due to the recognition of service revenue from our growing deferred revenue balance related to FortiGuard and other security subscriptions delivered to on-premise and cloud-based environments and strength in unified SASE and SecOps. We expect our service revenue to continue to grow for the remainder of 2025.</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September 30, 2025, six countries represented approximately 50% of our billings and the remaining approximately 50% in the aggregate were from over 100 countries that each individually contributed less than 3% of our billings.</w:t>
      </w:r>
    </w:p>
    <w:p>
      <w:pPr>
        <w:spacing w:after="0" w:line="18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Total gross margin decreased 1.7 percentage points during the three months ended September 30, 2025 compared to the same period last year, primarily driven by reduced benefit from net release of inventory related reserves and increased cloud service costs. Total gross margin increased 0.4 percentage points during the nine months ended September 30, 2025 compared to the same period last year, primarily driven by increased product gross margin benefiting from lower impact of inventory reserves in comparison to the nine months ended September 30, 2024. Our overall gross margin for the full year of 2025 will be impacted by service and product revenue mix and their respective gross margins. We do not expect our product gross margin to significantly change for the full year 2025 as compared to 2024. We expect our service gross margin to decrease for the full year of 2025 compared to 2024, as we expand our data center footprint and colocation and cloud hosting capacity to support the growth in our unified SASE and SecOps offerings. We currently do not expect the U.S. tariffs to have a meaningful impact on our gross margin. If tariffs increase in the future, we expect any resulting impact on our gross margin to mostly be on our hardware sales to U.S. customers.</w:t>
      </w:r>
    </w:p>
    <w:p>
      <w:pPr>
        <w:spacing w:after="0" w:line="21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Operating expenses as a percentage of revenue decreased 2.3 and 0.8 percentage points during the three and nine months ended September 30, 2025, respectively, compared to the same periods last year, mainly because our revenue growth outpaced our personnel costs growth. Headcount increased to 15,015 employees as of September 30, 2025, a 7% increase compared to 13,986 as of September 30, 2024.</w:t>
      </w:r>
    </w:p>
    <w:p>
      <w:pPr>
        <w:spacing w:after="0" w:line="204"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Operating margin increased 0.5 and 1.2 percentage points during the three and nine months ended September 30, 2025, respectively, driven by revenue growth exceeding expense growth, resulting in improved operating leverage. For the full year 2025, we expect operating margin to be relatively consistent to 2024. Total revenue is expected to be higher in 2025 compared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to the prior year, while our expenses have also increased due to headcount investments in sales and marketing, product development and the continued investments in data centers and real estate. In addition, our operating expenses have increased compared to 2024 and we expect that trend to continue in part due to a weaker U.S. dollar compared to many foreign currencies, as a portion of our expenses are incurred and paid in currencies other than the U.S. dollar.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and Geopolitical Developments</w:t>
      </w:r>
    </w:p>
    <w:p>
      <w:pPr>
        <w:spacing w:after="0" w:line="256"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12529"/>
        </w:rPr>
        <w:t>Our overall performance depends in part on worldwide economic and geopolitical conditions, such as trade policies and tariffs, GDP growth or contraction (both domestically and internationally), geopolitical instability and uncertainty, the war in Ukraine or tensions between China and Taiwan, and their impact on customer behavior. Worsening economic conditions, including tariffs, inflation, changing interest rates and other trade disruptions, slower growth, any recession, fluctuations in foreign exchange rates and other changes in economic conditions, may result in decreased sales productivity, lower growth and adversely affect our results of operations and financial performance. We have seen, and could continue to see,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 For example, earlier this year the United States announced tariffs on imported goods from most countries, some of which have been temporarily suspended or adjusted from time to time. U.S. tariffs, and any new or additional retaliatory tariffs that could be imposed by other countries in response to such U.S. tariffs could have a material adverse impact on global trade, supply chains worldwide, and other worldwide economic and geopolitical conditions, which could increase our product costs for the remainder of 2025 and beyond, and also affect customer sentiment in deciding whether to purchase our products. We continue to monitor the impact of tariffs on our business.</w:t>
      </w:r>
    </w:p>
    <w:p>
      <w:pPr>
        <w:spacing w:after="0" w:line="219"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enterprise customers, service providers, systems integrators and large enterprises. We also sell our software licenses and cloud delivered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or users, depending on the end-customer’s size and security requirements.</w:t>
      </w:r>
    </w:p>
    <w:p>
      <w:pPr>
        <w:spacing w:after="0" w:line="21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Our customers purchase our hardware products, software licenses, SaaS subscriptions and cloud-delivered solutions, including our FortiGuard security subscriptions and FortiCare technical support services. Depending on the solution, these may be sold in a bundle or standalone as part of a solution sale. We generally invoice at the time of our sale for the total price of the products and services. Standard payment terms are generally no more than 60 days, though we may offer extended payment terms to certain distributors or large enterprises.</w:t>
      </w:r>
    </w:p>
    <w:p>
      <w:pPr>
        <w:spacing w:after="0" w:line="21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offer our products hosted in our own data centers, PoPs, and through colocations and major cloud service providers, including Amazon Web Services, Microsoft Azure and Google Cloud.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operating activities below under “—Liquidity and Capital Resources.” Deferred revenue, billings (non-GAAP), and free cash flow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are discussed immediately below the following table: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5"/>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6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1,724.9</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6,650.4</w:t>
            </w:r>
          </w:p>
        </w:tc>
        <w:tc>
          <w:tcPr>
            <w:tcW w:w="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6,011.7</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1,807.7</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655.2</w:t>
            </w:r>
          </w:p>
        </w:tc>
        <w:tc>
          <w:tcPr>
            <w:tcW w:w="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567.5</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w:t>
      </w:r>
    </w:p>
    <w:p>
      <w:pPr>
        <w:spacing w:after="0" w:line="219" w:lineRule="auto"/>
        <w:rPr>
          <w:sz w:val="20"/>
          <w:szCs w:val="20"/>
          <w:color w:val="auto"/>
        </w:rPr>
      </w:pPr>
      <w:r>
        <w:rPr>
          <w:rFonts w:ascii="Times New Roman" w:cs="Times New Roman" w:eastAsia="Times New Roman" w:hAnsi="Times New Roman"/>
          <w:sz w:val="18"/>
          <w:szCs w:val="18"/>
          <w:color w:val="auto"/>
        </w:rPr>
        <w:t>FortiCare technical support service contracts, which is recognized as revenue ratably over the service term. We monitor our deferred revenue balance,</w:t>
      </w:r>
    </w:p>
    <w:p>
      <w:pPr>
        <w:spacing w:after="0" w:line="234" w:lineRule="auto"/>
        <w:rPr>
          <w:sz w:val="20"/>
          <w:szCs w:val="20"/>
          <w:color w:val="auto"/>
        </w:rPr>
      </w:pPr>
      <w:r>
        <w:rPr>
          <w:rFonts w:ascii="Times New Roman" w:cs="Times New Roman" w:eastAsia="Times New Roman" w:hAnsi="Times New Roman"/>
          <w:sz w:val="18"/>
          <w:szCs w:val="18"/>
          <w:color w:val="auto"/>
        </w:rPr>
        <w:t>short-term and total deferred revenue growth and the mix of short-term and long-term deferred revenue because deferred revenue represents a significant</w:t>
      </w:r>
    </w:p>
    <w:p>
      <w:pPr>
        <w:spacing w:after="0" w:line="235" w:lineRule="auto"/>
        <w:rPr>
          <w:sz w:val="20"/>
          <w:szCs w:val="20"/>
          <w:color w:val="auto"/>
        </w:rPr>
      </w:pPr>
      <w:r>
        <w:rPr>
          <w:rFonts w:ascii="Times New Roman" w:cs="Times New Roman" w:eastAsia="Times New Roman" w:hAnsi="Times New Roman"/>
          <w:sz w:val="18"/>
          <w:szCs w:val="18"/>
          <w:color w:val="auto"/>
        </w:rPr>
        <w:t>portion of free cash flow and of revenue to be recognized in future periods. Deferred revenue was $6.65 billion as of September 30, 2025, an increase of</w:t>
      </w:r>
    </w:p>
    <w:p>
      <w:pPr>
        <w:spacing w:after="0" w:line="235" w:lineRule="auto"/>
        <w:rPr>
          <w:sz w:val="20"/>
          <w:szCs w:val="20"/>
          <w:color w:val="auto"/>
        </w:rPr>
      </w:pPr>
      <w:r>
        <w:rPr>
          <w:rFonts w:ascii="Times New Roman" w:cs="Times New Roman" w:eastAsia="Times New Roman" w:hAnsi="Times New Roman"/>
          <w:sz w:val="18"/>
          <w:szCs w:val="18"/>
          <w:color w:val="auto"/>
        </w:rPr>
        <w:t>$289.5 million, or 5%, from December 31, 2024. Short-term deferred revenue was $3.46 billion as of September 30, 2025, an increase of $184.3 million, or</w:t>
      </w:r>
    </w:p>
    <w:p>
      <w:pPr>
        <w:spacing w:after="0"/>
        <w:rPr>
          <w:sz w:val="20"/>
          <w:szCs w:val="20"/>
          <w:color w:val="auto"/>
        </w:rPr>
      </w:pPr>
      <w:r>
        <w:rPr>
          <w:rFonts w:ascii="Times New Roman" w:cs="Times New Roman" w:eastAsia="Times New Roman" w:hAnsi="Times New Roman"/>
          <w:sz w:val="18"/>
          <w:szCs w:val="18"/>
          <w:color w:val="auto"/>
        </w:rPr>
        <w:t>6%, from December 31, 2024.</w:t>
      </w:r>
    </w:p>
    <w:p>
      <w:pPr>
        <w:spacing w:after="0" w:line="21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and cash flows. There are a number of limitations related to the use of billings instead of GAAP revenue. First, billings include amounts that have not yet been recognized as revenue and are impacted by the term of security subscription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$1.81 billion for the three months ended September 30, 2025, an increase of 14% compared to $1.58 billion in the same period last year.</w:t>
      </w:r>
    </w:p>
    <w:p>
      <w:pPr>
        <w:spacing w:after="0" w:line="216"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5"/>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gridSpan w:val="3"/>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2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12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w:t>
            </w: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combinations</w:t>
            </w:r>
          </w:p>
        </w:tc>
        <w:tc>
          <w:tcPr>
            <w:tcW w:w="4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48"/>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significant non-recurring items, investing activities other than capital expenditures and cash flows from financing activities. Management accounts for this limitation by providing information about our capital expenditures and other investing and financing activities on the condensed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r>
      <w:tr>
        <w:trPr>
          <w:trHeight w:val="211"/>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5"/>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0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tcBorders>
              <w:bottom w:val="single" w:sz="8" w:color="auto"/>
            </w:tcBorders>
          </w:tcPr>
          <w:p>
            <w:pPr>
              <w:jc w:val="right"/>
              <w:ind w:right="2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(1,851.9)</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r>
      <w:tr>
        <w:trPr>
          <w:trHeight w:val="21"/>
        </w:trPr>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nine months ended September 30, 2025, as compared to the critical accounting policies and estimates described in our Annual Report on Form 10-K filed with the SEC on February 21, 2025 (the “Form 10-K”).</w:t>
      </w:r>
    </w:p>
    <w:p>
      <w:pPr>
        <w:spacing w:after="0" w:line="20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Total revenue increased $216.8 million, or 14%, during the three months ended September 30, 2025 compared to the same period last year. We continued to experience diversification of revenue geographically, and across customer and industry verticals. Revenue from all regions grew, with EMEA contributing the largest portion of the increase on an absolute dollar basis and on a percentage basis.</w:t>
      </w:r>
    </w:p>
    <w:p>
      <w:pPr>
        <w:spacing w:after="0" w:line="204"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Product revenue increased $85.4 million, or 18%, during the three months ended September 30, 2025 compared to the same period last year. We experienced product revenue growth across our hardware products and software licensing, mainly driven by growth in secure networking hardware products and term licenses.</w:t>
      </w:r>
    </w:p>
    <w:p>
      <w:pPr>
        <w:spacing w:after="0" w:line="20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Service revenue increased $131.4 million, or 13%, during the three months ended September 30, 2025 compared to the same period last year. Security subscription revenue increased $76.2 million, or 13%, and technical support and other services revenue increased $55.2 million, or 13%, during the three months ended September 30, 2025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Of the service revenue recognized during the three months ended September 30, 2025, 90% was included in the deferred revenue balance as of June 30, 2025. Of the service revenue recognized during the three months ended September 30, 2024, 88% was included in the deferred revenue balance as of June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Total gross margin decreased 1.7 percentage points during the three months ended September 30, 2025 compared to the same period last year, primarily driven by decreased product and service gross margins.</w:t>
      </w:r>
    </w:p>
    <w:p>
      <w:pPr>
        <w:spacing w:after="0" w:line="189"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Product gross margin decreased 3.6 percentage points during the three months ended September 30, 2025 compared to the same period last year, primarily due to reduced benefit from net release of inventory related reserves. Cost of product revenue was comprised primarily of third-party contract manufacturers’ costs, and costs of materials used in production.</w:t>
      </w:r>
    </w:p>
    <w:p>
      <w:pPr>
        <w:spacing w:after="0" w:line="2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Service gross margin decreased 0.7 percentage points during the three months ended September 30, 2025 compared to the same period last year, primarily driven by an increase in cloud service costs as a result of our acquisitions and investment in data centers and related infrastructure, partially offset by service revenue growth outpacing labor, replacement, and repair costs increase. Cost of service revenue was comprised primarily of personnel-related costs, replacement and repair costs, cloud service costs from owned data centers, colocation providers and cloud service providers, infrastructure depreciation and related operating costs, software and delivery costs, and facility-related costs.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77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increased $15.1 million, or 8%, during the three months ended September 30, 2025 compared to the same period last year, primarily due to an increase of $12.1 million in personnel-related costs as a result of increased headcount and compensation rates to support the development of new products and continued enhancements to our existing products and the impact of the recent acquisitions. In addition, non-personnel-related product development costs increased $4.0 million. We currently intend to continue investing in our research and development organization, and expect research and development expense to increase in absolute dollars year over year during the remainder of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Sales and marketing expense increased $67.6 million, or 13%, during the three months ended September 30, 2025 compared to the same period last year, primarily due to an increase of $53.6 million in personnel-related costs, an increase of $5.6 million in marketing program and related expenses, an increase of $4.1 million in amortization expense of certain intangible assets and unfavorable impact of foreign currency fluctuations. We currently intend to continue to make investments in sales and marketing resources, which are critical to support our future growth, and expect our sales and marketing expense to increase in absolute dollars year over year during the remainder of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 decreased $10.3 million, or 14%, during the three months ended September 30, 2025 compared to the same period last year, primarily due to a decrease of $7.6 million in legal related fees and other professional services fees and a decrease of $1.3 million in personnel-related costs. We expect our general and administrative expense to be relatively consistent in absolute dollars year over year during the remainder of 2025.</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300" w:firstLine="648"/>
        <w:spacing w:after="0" w:line="239" w:lineRule="auto"/>
        <w:rPr>
          <w:sz w:val="20"/>
          <w:szCs w:val="20"/>
          <w:color w:val="auto"/>
        </w:rPr>
      </w:pPr>
      <w:r>
        <w:rPr>
          <w:rFonts w:ascii="Times New Roman" w:cs="Times New Roman" w:eastAsia="Times New Roman" w:hAnsi="Times New Roman"/>
          <w:sz w:val="18"/>
          <w:szCs w:val="18"/>
          <w:color w:val="auto"/>
        </w:rPr>
        <w:t>We generated operating income of $547.3 million during the three months ended September 30, 2025, an increase of $76.4 million, or 16%, compared to $470.9 million in the same period last year. Operating margin was 31.7% during the three months ended September 30, 2025, compared to 31.2% in the same period last year. The 0.5 percentage points increase in operating margin was primarily due to 1.2, 0.6 and 0.4 percentage points decreases in general and administrative expense, research and development expense and sales and marketing expense as a percentage of revenue, respectively, partially offset by 1.7 percentage points decrease in gross margin.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10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6"/>
                <w:szCs w:val="16"/>
                <w:color w:val="auto"/>
              </w:rPr>
            </w:pPr>
          </w:p>
        </w:tc>
        <w:tc>
          <w:tcPr>
            <w:tcW w:w="1760" w:type="dxa"/>
            <w:vAlign w:val="bottom"/>
            <w:vMerge w:val="restart"/>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(105.1)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income and interest expense remained comparatively flat during the three months ended September 30, 2025 compared to the same period last year. Other income—net decreased $105.1 million during the three months ended September 30, 2025 compared to the same period last year, primarily due to a gain on bargain purchase of $106.3 million during the three months ended September 30, 2024 related to our acquisition of Lacework.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11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6"/>
                <w:szCs w:val="16"/>
                <w:color w:val="auto"/>
              </w:rPr>
            </w:pPr>
          </w:p>
        </w:tc>
        <w:tc>
          <w:tcPr>
            <w:tcW w:w="1660" w:type="dxa"/>
            <w:vAlign w:val="bottom"/>
            <w:vMerge w:val="restart"/>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20" w:type="dxa"/>
            <w:vAlign w:val="bottom"/>
            <w:gridSpan w:val="3"/>
          </w:tcPr>
          <w:p>
            <w:pPr>
              <w:jc w:val="right"/>
              <w:ind w:right="955"/>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120.7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39.5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20% for the three months ended September 30, 2025 compared to an effective tax rate of 13% for the same period last year. The provision for income taxes for the three months ended September 30, 2025 was primarily comprised of U.S. federal and state taxes, withholding taxes and foreign taxes totaling $141.0 million, which was favorably affected by a tax benefit of $11.1 million from the foreign-derived intangible income deduction (the “FDII deduction”) and excess tax benefits from stock-based compensation expense of $9.2 million.</w:t>
      </w:r>
    </w:p>
    <w:p>
      <w:pPr>
        <w:spacing w:after="0" w:line="208"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2024 was comprised of U.S. federal and state taxes, withholding taxes, and foreign taxes totaling $123.6 million, which were favorably affected by a tax benefit of $33.1 million from the FDII deduction and excess tax benefits from stock-based compensation expense of $9.3 million.</w:t>
      </w:r>
    </w:p>
    <w:p>
      <w:pPr>
        <w:spacing w:after="0" w:line="20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On July 4, 2025, H.R. 1,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The income tax effects of the Act have been recognized in our provision for income taxes as of September 30, 2025. As a result of the Act, our cash paid for income taxes in 2025 could reduce by approximately $100 million to $150 million, while our GAAP effective tax rate for 2025 could increase by approximately one percentage point.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9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Loss from equity method investments decreased $5.1 million during the three months ended September 30, 2025 compared to the same period last year which included a $5.2 million loss due to our proportionate share of Linksys’ financial results including our share of the amortization of the basis differences during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5"/>
              </w:rPr>
              <w:t>11 %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Total revenue increased $598.9 million, or 14%, during the nine months ended September 30, 2025 compared to the same period last year. We continued to experience diversification of revenue geographically, and across customer and industry verticals. Revenue from all regions grew, with EMEA contributing the largest portion of the increase on an absolute dollar basis and on a percentage basis.</w:t>
      </w:r>
    </w:p>
    <w:p>
      <w:pPr>
        <w:spacing w:after="0" w:line="18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Product revenue increased $192.6 million, or 14%, during the nine months ended September 30, 2025 compared to the same period last year. We experienced product revenue growth across our hardware products and software licensing, mainly driven by growth in secure networking hardware products and term licenses.</w:t>
      </w:r>
    </w:p>
    <w:p>
      <w:pPr>
        <w:spacing w:after="0" w:line="20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Service revenue increased $406.3 million, or 14%, during the nine months ended September 30, 2025 compared to the same period last year. Security subscription revenue increased $248.1 million, or 15%, and technical support and other services revenue increased $158.2 million, or 12%, during the nine months ended September 30, 2025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1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Of the service revenue recognized during the nine months ended September 30, 2025 and 2024, 77% was included in the deferred revenue balance as of December 31, 2024 and 2023 in each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Total gross margin increased 0.4 percentage points during the nine months ended September 30, 2025 compared to the same period last year, driven by increased product gross margin, partially offset by decreased service gross margin.</w:t>
      </w:r>
    </w:p>
    <w:p>
      <w:pPr>
        <w:spacing w:after="0" w:line="18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Product gross margin increased 3.0 percentage points during the nine months ended September 30, 2025 compared to the same period last year, as inventory related reserves expense decreased and normalized as compared to the elevated levels we saw in the nine months ended September 30, 2024. Cost of product revenue was comprised primarily of third-party contract manufacturers’ costs and costs of materials used in production.</w:t>
      </w:r>
    </w:p>
    <w:p>
      <w:pPr>
        <w:spacing w:after="0" w:line="204"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auto"/>
        </w:rPr>
        <w:t>Service gross margin decreased 0.7 percentage points during the nine months ended September 30, 2025 compared to the same period last year, primarily due to an increase in cloud service costs, partially offset by service revenue growth outpacing labor, replacement, and repair costs increase. Cost of service revenue was comprised primarily of personnel-related costs, replacement and repair costs, cloud services costs from owned data centers, colocation providers and cloud service providers, infrastructure depreciation and related operating costs, software and delivery costs, and facility-related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6"/>
                <w:szCs w:val="16"/>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20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 increased $84.8 million, or 16%, during the nine months ended September 30, 2025 compared to the same period last year, primarily due to an increase of $64.2 million in personnel-related costs as a result of increased headcount and compensation rates to support the development of new products and continued enhancements to our existing products and the impact of the recent acquisitions. In addition, non-personnel-related product development costs increased $23.3 million.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Sales and marketing expense increased $199.9 million, or 13%, during the nine months ended September 30, 2025 compared to the same period last year, primarily due to an increase of $153.9 million in personnel-related costs. In addition, marketing program and related expenses increased $18.2 million and amortization expense of certain intangible assets increased $13.3 million.</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jc w:val="both"/>
        <w:ind w:right="48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decreased $6.6 million, or 4%, during the nine months ended September 30, 2025 compared to the same period last year, primarily due to a decrease of $7.3 million in legal related fees and other professional services fees, partially offset by an increase of $1.4 million in personnel-related costs.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generated operating income of $1.46 billion during the nine months ended September 30, 2025, an increase of $229.8 million, or 19%, compared to $1.23 billion in the same period last year. Operating margin was 29.8% during the nine months ended September 30, 2025, compared to 28.6% in the same period last year. The 1.2 percentage points increase in operating margin was primarily due to 0.7 and 0.2 percentage points decrease in general and administrative expense and sales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marketing expense as a percentage of revenue, respectively, and 0.4 percentage points increase in gross margin, partially offset by 0.2 percentage points increase in research and development expense as a percentage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6"/>
                <w:szCs w:val="16"/>
                <w:color w:val="auto"/>
              </w:rPr>
            </w:pPr>
          </w:p>
        </w:tc>
        <w:tc>
          <w:tcPr>
            <w:tcW w:w="1760" w:type="dxa"/>
            <w:vAlign w:val="bottom"/>
            <w:vMerge w:val="restart"/>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112.9</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17.1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(15.1)</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58.0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113.0</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(55.0)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Interest income increased $17.1 million during the nine months ended September 30, 2025 compared to the same period last year, primarily due to higher average investment balances as we had higher purchases of investments net of sales and maturities. Interest income varies depending on our average investment balances during the period, types and mix of investments, and interest rates. Interest expense remained comparatively flat during the nine months ended September 30, 2025 compared to the same period last year. Other income—net decreased $55.0 million during the nine months ended September 30, 2025 compared to the same period last year, primarily due to a $66.4 million decrease in gains on bargain purchases – we recorded a gain on bargain purchase of $39.9 million related to our acquisition of Linksys during the first quarter of 2025 as compared to a gain on bargain purchase of $106.3 million related to our acquisition of Lacework recorded during the third quarter of 2024 – partially offset by a $7.3 million decrease in foreign currency exchange loss and a $4.8 million increase in net rental income from real estate leases.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3"/>
          </w:tcPr>
          <w:p>
            <w:pPr>
              <w:jc w:val="right"/>
              <w:ind w:right="11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40" w:type="dxa"/>
            <w:vAlign w:val="bottom"/>
            <w:gridSpan w:val="3"/>
          </w:tcPr>
          <w:p>
            <w:pPr>
              <w:jc w:val="right"/>
              <w:ind w:right="955"/>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294.3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197.2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97.1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180" w:firstLine="648"/>
        <w:spacing w:after="0" w:line="239" w:lineRule="auto"/>
        <w:rPr>
          <w:sz w:val="20"/>
          <w:szCs w:val="20"/>
          <w:color w:val="auto"/>
        </w:rPr>
      </w:pPr>
      <w:r>
        <w:rPr>
          <w:rFonts w:ascii="Times New Roman" w:cs="Times New Roman" w:eastAsia="Times New Roman" w:hAnsi="Times New Roman"/>
          <w:sz w:val="18"/>
          <w:szCs w:val="18"/>
          <w:color w:val="auto"/>
        </w:rPr>
        <w:t>Our effective tax rate was 18% for the nine months ended September 30, 2025 compared to an effective tax rate of 14% for the same period last year. The provision for income taxes for the nine months ended September 30, 2025 was primarily comprised of U.S. federal and state taxes, withholding taxes and foreign taxes that were $384.2 million and a tax provision of $30.6 million related to the derecognition of deferred tax assets from the business combination with Linksys. This provision for income taxes was favorably affected by a tax benefit of $62.0 million from the FDII deduction, and excess tax benefits from stock-based compensation expense of $58.5 million.</w:t>
      </w:r>
    </w:p>
    <w:p>
      <w:pPr>
        <w:spacing w:after="0" w:line="21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nine months ended September 30, 2024 was comprised of U.S. federal and state taxes, withholding taxes, and foreign taxes that were $315.0 million, which were favorably affected by a tax benefit of $84.0 million from the FDII deduction, and excess tax benefits from stock-based compensation expense of $33.8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057"/>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vMerge w:val="restart"/>
          </w:tcPr>
          <w:p>
            <w:pPr>
              <w:spacing w:after="0"/>
              <w:rPr>
                <w:sz w:val="16"/>
                <w:szCs w:val="16"/>
                <w:color w:val="auto"/>
              </w:rPr>
            </w:pPr>
          </w:p>
        </w:tc>
        <w:tc>
          <w:tcPr>
            <w:tcW w:w="1780" w:type="dxa"/>
            <w:vAlign w:val="bottom"/>
            <w:vMerge w:val="restart"/>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not meaningful</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The $34.2 million change in gain (loss) from equity method investments during the nine months ended September 30, 2025 compared to the same period last year was primarily driven by a $10.8 million gain related to our acquisition of Linksys in the first quarter of 2025 and a $15.4 million loss due to our proportionate share of Linksys’ financial results including our share of amortization of the basis differences and an OTTI charge of $8.0 million during the nine months ended September 30, 2024.</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105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2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3"/>
                <w:szCs w:val="13"/>
                <w:color w:val="auto"/>
              </w:rPr>
            </w:pPr>
          </w:p>
        </w:tc>
        <w:tc>
          <w:tcPr>
            <w:tcW w:w="1320" w:type="dxa"/>
            <w:vAlign w:val="bottom"/>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3"/>
                <w:szCs w:val="13"/>
                <w:color w:val="auto"/>
              </w:rPr>
            </w:pPr>
          </w:p>
        </w:tc>
        <w:tc>
          <w:tcPr>
            <w:tcW w:w="132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4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repurchases of our common stock, real estate purchases and other capital expenditures, investment grade debt balance, payments of taxes in connection with the net settlement of equity awards, proceeds from the issuance of common stock and business combinations.</w:t>
      </w:r>
    </w:p>
    <w:p>
      <w:pPr>
        <w:spacing w:after="0" w:line="190"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tariffs and other trade restrictions, international conflicts, including the war in Ukraine or tensions between China and Taiwan, an increase in installment billings, and our ability to execute. We expect proceeds from the exercise of stock options in future years to continue to be impacted by the increased mix of restricted stock units and performance stock units versus stock options granted to our employees and to vary based on our share price.</w:t>
      </w:r>
    </w:p>
    <w:p>
      <w:pPr>
        <w:spacing w:after="0" w:line="21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August 2025, our board of directors approved a $1.0 billion increase in the authorized stock repurchase amount under the Repurchase Program and extended the term of the Repurchase Program to February 28, 2027, bringing the aggregate amount authorized for repurchases to $9.25 billion of our outstanding common stock through February 28, 2027. During the nine months ended September 30, 2025, we repurchased 27.9 million shares of common stock under the Repurchase program for an aggregate purchase price of $2.23 billion. As of September 30, 2025, approximately $795.9 million remained available for future share repurchases. Refer to Note 11. Equity Plans and Share Repurchase Program.</w:t>
      </w:r>
    </w:p>
    <w:p>
      <w:pPr>
        <w:spacing w:after="0" w:line="198"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to increase our data center, PoP,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$60 million and $110 million for the fourth quarter of 2025.</w:t>
      </w:r>
    </w:p>
    <w:p>
      <w:pPr>
        <w:spacing w:after="0" w:line="2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9. Debt in Part I, Item 1 of this Quarterly Report on Form 10-Q for information on the Senior Notes. As of September 30, 2025, the current portion of long-term debt and long-term debt, net of unamortized discount and debt issuance costs, were $995.9 million.</w:t>
      </w:r>
    </w:p>
    <w:p>
      <w:pPr>
        <w:spacing w:after="0" w:line="208" w:lineRule="exact"/>
        <w:rPr>
          <w:sz w:val="20"/>
          <w:szCs w:val="20"/>
          <w:color w:val="auto"/>
        </w:rPr>
      </w:pPr>
    </w:p>
    <w:p>
      <w:pPr>
        <w:ind w:right="60" w:firstLine="648"/>
        <w:spacing w:after="0" w:line="232" w:lineRule="auto"/>
        <w:rPr>
          <w:sz w:val="20"/>
          <w:szCs w:val="20"/>
          <w:color w:val="auto"/>
        </w:rPr>
      </w:pPr>
      <w:r>
        <w:rPr>
          <w:rFonts w:ascii="Times New Roman" w:cs="Times New Roman" w:eastAsia="Times New Roman" w:hAnsi="Times New Roman"/>
          <w:sz w:val="18"/>
          <w:szCs w:val="18"/>
          <w:color w:val="auto"/>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that establish the parameters defining our requirements. A significant portion of our reported purchase commitments arising from these agreements consists of firm, non-cancelable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inventory purchase commitments as of September 30, 2025 totaled $732.5 million, an increase of $141.4 million compared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$591.1 million as of December 31, 2024, as we continued to work with contract manufacturers and suppliers to optimize our inventory and purchase</w:t>
      </w:r>
    </w:p>
    <w:p>
      <w:pPr>
        <w:spacing w:after="0" w:line="234" w:lineRule="auto"/>
        <w:rPr>
          <w:sz w:val="20"/>
          <w:szCs w:val="20"/>
          <w:color w:val="auto"/>
        </w:rPr>
      </w:pPr>
      <w:r>
        <w:rPr>
          <w:rFonts w:ascii="Times New Roman" w:cs="Times New Roman" w:eastAsia="Times New Roman" w:hAnsi="Times New Roman"/>
          <w:sz w:val="18"/>
          <w:szCs w:val="18"/>
          <w:color w:val="auto"/>
        </w:rPr>
        <w:t>commitments position based on growth trends in customer demand. We record a liability for inventory purchase commitments in excess of our future</w:t>
      </w:r>
    </w:p>
    <w:p>
      <w:pPr>
        <w:spacing w:after="0" w:line="219" w:lineRule="auto"/>
        <w:rPr>
          <w:sz w:val="20"/>
          <w:szCs w:val="20"/>
          <w:color w:val="auto"/>
        </w:rPr>
      </w:pPr>
      <w:r>
        <w:rPr>
          <w:rFonts w:ascii="Times New Roman" w:cs="Times New Roman" w:eastAsia="Times New Roman" w:hAnsi="Times New Roman"/>
          <w:sz w:val="18"/>
          <w:szCs w:val="18"/>
          <w:color w:val="auto"/>
        </w:rPr>
        <w:t>demand forecasts consistent with the valuation of our excess and obsolete inventory. As of September 30, 2025 and December 31, 2024, the liability for</w:t>
      </w:r>
    </w:p>
    <w:p>
      <w:pPr>
        <w:spacing w:after="0" w:line="235" w:lineRule="auto"/>
        <w:rPr>
          <w:sz w:val="20"/>
          <w:szCs w:val="20"/>
          <w:color w:val="auto"/>
        </w:rPr>
      </w:pPr>
      <w:r>
        <w:rPr>
          <w:rFonts w:ascii="Times New Roman" w:cs="Times New Roman" w:eastAsia="Times New Roman" w:hAnsi="Times New Roman"/>
          <w:sz w:val="18"/>
          <w:szCs w:val="18"/>
          <w:color w:val="auto"/>
        </w:rPr>
        <w:t>these inventory purchase commitments was $35.2 million and $54.0 million, respectively, and was recorded in accrued liabilities on our condensed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w:t>
      </w:r>
    </w:p>
    <w:p>
      <w:pPr>
        <w:spacing w:after="0" w:line="1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199"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September 30, 2025, we had $112.7 million in other contractual commitments having a remaining term in excess of one year that are non-cancelable.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2024.</w:t>
      </w:r>
    </w:p>
    <w:p>
      <w:pPr>
        <w:spacing w:after="0" w:line="22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As of September 30, 2025, our cash, cash equivalents and short-term and long-term investments of $3.41 billion were invested primarily in deposit accounts, commercial paper, corporate debt securities, U.S. government and agency securities, certificates of deposit and term deposits, money market funds and marketable equity securities. It is our investment policy to invest excess cash in a manner that preserves capital, provides liquidity, and generates return without significantly increasing risk. We currently expect to repay the outstanding balance of the 2026 Senior Notes maturing on March 15, 2026 at the date of maturity. Based on current projections, we expect to have sufficient liquidity to fund this repayment and meet our operating requirements for at least the next 12 months and thereafter for the foreseeable future, including our foreseeable future supply obligations, capital expenditures and share repurchases.</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$250.6 million as of September 30, 2025 and $207.8 million as of December 31, 2024.</w:t>
      </w:r>
    </w:p>
    <w:p>
      <w:pPr>
        <w:spacing w:after="0" w:line="17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and debt retirement,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changes in tariffs and other trade restrictions, impacts of international conflicts, including the war in Ukraine or tensions between China and Taiwan.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3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accounts receivable—net, deferred contract costs, deferred revenue, inventory, prepaid expenses and other current assets, accrued liabilities and accounts payable.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operating activities during the nine months ended September 30, 2025 provided cash flows of $1.97 billion as a result of the continued growth of our business, improved profitability and our ability to successfully manage our working capital. Changes in operating assets and liabilities were primarily driven by a decrease of $308.7 million in accounts receivable—net, an increase of $305.3 million in deferred contract costs and an increase of $288.1 million in our deferred revenue during nine months ended September 30, 2025. In addition, changes in operating assets and liabilities were driven by an increase of $109.1 million in inventory, an increase of $64.3 million in prepaid expenses and other current assets, a decrease of $15.5 million in accrued liabilities, and an increase of $11.5 million in accounts payable.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equity securities and business combinations. Historically,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investing activities was $552.8 million, primarily driven by $322.0 million used for the purchases of property and equipment, $189.3 million spent for purchases of investments, net of maturities and sales of investments, and $41.6 million used for payments made in connection with business combinations, net of cash acquired.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Plan.</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financing activities was $2.30 billion, driven by $2.23 billion used to repurchase shares of our common stock and $66.1 million used to pay tax withholding related to net share settlement of equity awards, net of proceeds from the issuance of common stock.</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nine months ended September 30, 2025 compared to the disclosures in Part II, Item 7A of the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2025.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September 30, 2025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the quarter ended September 30, 2025,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10. Commitments and Contingencies in Part I, Item 1 of this Quarterly Report on Form 10-Q for additional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62" w:lineRule="exact"/>
        <w:rPr>
          <w:sz w:val="20"/>
          <w:szCs w:val="20"/>
          <w:color w:val="auto"/>
        </w:rPr>
      </w:pPr>
    </w:p>
    <w:p>
      <w:pPr>
        <w:ind w:left="1300" w:right="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including macroeconomic and regional economic challenges resulting, for example, from a recession, tariffs, disruptions of global supply chains or other economic downturn, increased inflation or possible stagflation in certain geographies, changing interest rates, the war in Ukraine, tensions between China and Taiwan, or other factors;</w:t>
      </w:r>
    </w:p>
    <w:p>
      <w:pPr>
        <w:spacing w:after="0" w:line="202"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retention and execution, and our ability to attract and retain new end-customers or sell additional products and services to our existing end-customers, including customer demand for platform solutions like ours versus point solutions;</w:t>
      </w:r>
    </w:p>
    <w:p>
      <w:pPr>
        <w:spacing w:after="0" w:line="188" w:lineRule="exact"/>
        <w:rPr>
          <w:rFonts w:ascii="Times New Roman" w:cs="Times New Roman" w:eastAsia="Times New Roman" w:hAnsi="Times New Roman"/>
          <w:sz w:val="18"/>
          <w:szCs w:val="18"/>
          <w:color w:val="auto"/>
        </w:rPr>
      </w:pPr>
    </w:p>
    <w:p>
      <w:pPr>
        <w:ind w:left="1300" w:right="78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88" w:lineRule="exact"/>
        <w:rPr>
          <w:rFonts w:ascii="Times New Roman" w:cs="Times New Roman" w:eastAsia="Times New Roman" w:hAnsi="Times New Roman"/>
          <w:sz w:val="18"/>
          <w:szCs w:val="18"/>
          <w:color w:val="auto"/>
        </w:rPr>
      </w:pPr>
    </w:p>
    <w:p>
      <w:pPr>
        <w:ind w:left="1300" w:right="140" w:hanging="644"/>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52"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8"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or regulatory cost increases and any lack of market acceptance of our price increases designed to help offset any supplier or regulatory cost increases;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2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 or changes in shipping terms;</w:t>
      </w:r>
    </w:p>
    <w:p>
      <w:pPr>
        <w:spacing w:after="0" w:line="188"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tariffs and policy disputes, increased inflation or possible stagflation in certain geographies, changing interest rates, the war in Ukraine, tensions between China and Taiwan and other factors;</w:t>
      </w:r>
    </w:p>
    <w:p>
      <w:pPr>
        <w:spacing w:after="0" w:line="202" w:lineRule="exact"/>
        <w:rPr>
          <w:rFonts w:ascii="Times New Roman" w:cs="Times New Roman" w:eastAsia="Times New Roman" w:hAnsi="Times New Roman"/>
          <w:sz w:val="18"/>
          <w:szCs w:val="18"/>
          <w:color w:val="auto"/>
        </w:rPr>
      </w:pPr>
    </w:p>
    <w:p>
      <w:pPr>
        <w:ind w:left="1300" w:right="20" w:hanging="644"/>
        <w:spacing w:after="0" w:line="281" w:lineRule="auto"/>
        <w:tabs>
          <w:tab w:leader="none" w:pos="12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w:t>
      </w:r>
    </w:p>
    <w:p>
      <w:pPr>
        <w:spacing w:after="0" w:line="191"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of our internal enterprise IT networks, our operational networks, our research and development networks, our back-end labs and cloud stacks hosted in our data centers or PoPs, colocation vendors or public cloud providers, and resulting harm to public perception of our products and services;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2" w:lineRule="exact"/>
        <w:rPr>
          <w:rFonts w:ascii="Times New Roman" w:cs="Times New Roman" w:eastAsia="Times New Roman" w:hAnsi="Times New Roman"/>
          <w:sz w:val="18"/>
          <w:szCs w:val="18"/>
          <w:color w:val="auto"/>
        </w:rPr>
      </w:pPr>
    </w:p>
    <w:p>
      <w:pPr>
        <w:jc w:val="both"/>
        <w:ind w:left="1300" w:right="6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integration risks related to product plans and products and risks of negative impact by such acquisitions and equity investments on our financial results;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operational performance relating to our sustainability commitments;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and evolving data and other security requirements and enforcement across certain jurisdictions;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52"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8"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productivity with market demand and any negative impact to our sales and the effectiveness of our sales team based on changes to sales compensation or to our sales compensation plan;</w:t>
      </w:r>
    </w:p>
    <w:p>
      <w:pPr>
        <w:spacing w:after="0" w:line="206"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and unpredictability of timing to close larger enterprise and large organization deals, and the risk that our sales representatives do not effectively sell products and services;</w:t>
      </w:r>
    </w:p>
    <w:p>
      <w:pPr>
        <w:spacing w:after="0" w:line="189" w:lineRule="exact"/>
        <w:rPr>
          <w:sz w:val="20"/>
          <w:szCs w:val="20"/>
          <w:color w:val="auto"/>
        </w:rPr>
      </w:pPr>
    </w:p>
    <w:p>
      <w:pPr>
        <w:ind w:left="1300" w:hanging="644"/>
        <w:spacing w:after="0" w:line="261"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IoT and OT security opportunities and product refresh cycles;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9" w:lineRule="auto"/>
        <w:tabs>
          <w:tab w:leader="none" w:pos="12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84" w:lineRule="exact"/>
        <w:rPr>
          <w:rFonts w:ascii="Times New Roman" w:cs="Times New Roman" w:eastAsia="Times New Roman" w:hAnsi="Times New Roman"/>
          <w:sz w:val="17"/>
          <w:szCs w:val="17"/>
          <w:color w:val="auto"/>
        </w:rPr>
      </w:pPr>
    </w:p>
    <w:p>
      <w:pPr>
        <w:ind w:left="1300" w:right="10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6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 including those related to tariffs;</w:t>
      </w:r>
    </w:p>
    <w:p>
      <w:pPr>
        <w:spacing w:after="0" w:line="175" w:lineRule="exact"/>
        <w:rPr>
          <w:rFonts w:ascii="Times New Roman" w:cs="Times New Roman" w:eastAsia="Times New Roman" w:hAnsi="Times New Roman"/>
          <w:sz w:val="18"/>
          <w:szCs w:val="18"/>
          <w:color w:val="auto"/>
        </w:rPr>
      </w:pPr>
    </w:p>
    <w:p>
      <w:pPr>
        <w:jc w:val="both"/>
        <w:ind w:left="1300" w:right="30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caused by 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including increased demand for such services and uncertainty associated with transition to providing such services, on our billings, revenue, operating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66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52"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8"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 such as that caused by the war in Ukraine, tensions between China and Taiwan, and any disruption or negative impact on our ability to sell to, ship product to and support customers in certain regions based on trade restrictions, embargoes and export control law restrictions;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8"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88"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manufacturing.</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tariffs or other trade disruptions, changing interest rates, reduced information technology spending, including firewall and other security spending, or any economic downturn or recession, may adversely impact our business.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tariffs or other trade disruptions, changing interest rates, geopolitical instability and uncertainty, a reduction in information technology spending regardless of macroeconomic conditions, the effects of epidemics and pandemics and the impact of the war in Ukraine or tensions between China and Taiwan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1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changing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withdraw from or materially modify international trade agreements, change tax provisions related to global manufacturing and sales or impose new tariffs, economic sanctions or related legislation, could adversely affect our financial condition and results of operations.</w:t>
      </w:r>
    </w:p>
    <w:p>
      <w:pPr>
        <w:spacing w:after="0" w:line="18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Given the international nature of our operations,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or increased border taxes or tariffs on foreign imports), trade barriers, economic sanctions and other related policies could harm our results of operations. Recently, the United States has imposed additional import tariffs on certain goods from different countries. For example, earlier this year, the United States announced tariffs on imported goods from most countries, some of which have been temporarily suspended or adjusted from time to time. As a result, other countries have imposed retaliatory tariffs on goods exported from the United States and both the United States and foreign countries have threatened to alter or terminate current trade agreements. While we do not currently expect these tariffs to have a significant effect on our raw material and product import costs, if the United States expands increased tariffs, or if retaliatory trade measures are taken by other countries in response to the U.S. tariffs, the cost of our products could increase, our operations could be disrupted or we could be required to raise our prices, which may result in the loss of customers and harm to our reputation and operating performance. U.S. tariffs, and any new or additional retaliatory tariffs that may be imposed by foreign countries, may also adversely affect our customers and, consequently, demand for our products. The announcement of these tariffs has recently resulted in significant volatility in the stock market. We are monitoring this evolving situation and there can be no assurance that we will be able to mitigate the impacts of any trade measures on our business, which could adversely impact our business, operating results, financial condition, and our stock price.</w:t>
      </w:r>
    </w:p>
    <w:p>
      <w:pPr>
        <w:spacing w:after="0" w:line="21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administrations,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 and our operating margins may decline.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changing interest rates, as a result of regional conflicts,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acquisition, development or leasing of new data centers, data center expansions or office buildings, could involve significant risks to our business.</w:t>
      </w:r>
    </w:p>
    <w:p>
      <w:pPr>
        <w:spacing w:after="0" w:line="18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acquire or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07"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or regulatory issues and geological problems;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 or unexpected increases in power needs or connectivity;</w:t>
      </w:r>
    </w:p>
    <w:p>
      <w:pPr>
        <w:spacing w:after="0" w:line="252"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sustainability;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20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0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25% of our total net accounts receivable as of September 30, 2025.</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Six distributor customers who purchase directly from us accounted for 63% of our total net accounts receivable in the aggregate as of September 30, 2025. See Note 14. Segment Information in Part I, Item 1 of this Quarterly Report on Form 10-Q for distributor customers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provide channel partners with specific programs to assist them with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Additionally, if our channel partners experience issues such as cyberattacks or other operational disruptions, it could negatively impact our ability to receive orders from them and, among other things, may adversely affect our billings and revenue.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or changes in shipping terms could cause our billings and revenue to fall below expected levels</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23"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52"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geopolitical matters or widespread public health problems including pandemics and epidemics;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subscriptions and FortiCare technical support services, and revenue from these services may decline or fluctuate. Because we recognize revenue from these services over the term of the relevant service period, downturns or upturns in sales of FortiGuard and other security subscriptions and FortiCare technical support services are not immediately reflected in full in our operating results.</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subscriptions and FortiCare technical support services revenue has historically accounted for a significant percentage of our total revenue. Revenue from the sale of new, or from the renewal of existing, FortiGuard and other security subscriptions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subscriptions and FortiCare technical support service contracts decline, our revenue and revenue growth may decrease and our business could suffer. In addition, in the event significant customers require payment terms for FortiGuard and other security subscriptions and FortiCare technical support services in arrears or for shorter periods of time than annually, such as monthly or quarterly, this may negatively impact our billings and revenue. Furthermore, we recognize FortiGuard and other security subscriptions and FortiCare technical support services revenue ratably over the term of the service period, which is typically from one to five years. As a result, much of the FortiGuard and other security subscriptions and FortiCare technical support services revenue we report each quarter is the recognition of deferred revenue from FortiGuard and other security subscriptions and FortiCare technical support service contracts entered into during previous quarters or years. Consequently, a decline in new or renewed FortiGuard and other security subscriptions and FortiCare technical support service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subscriptions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Check Point Software Technologies Ltd., Cisco Systems, Inc. (“Cisco”), CrowdStrike Holdings, Inc. (“CrowdStrike”), F5 Networks, Inc., Hewlett-Packard Enterprise, Huawei Technologies Co., Ltd., Microsoft Corporation (“Microsoft”), Netskope Inc., Palo Alto Networks, Inc., SonicWALL, Inc., Sophos Group Plc, and Zscaler, Inc. (“Zscaler”).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competitive advantages include:</w:t>
      </w:r>
    </w:p>
    <w:p>
      <w:pPr>
        <w:spacing w:after="0" w:line="22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expertise in certain single point solutions;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certain of our larger competitors may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February 2025, our Chief Financial Officer, Keith Jensen, announced his upcoming retirement after 11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and may incur other debt in the future, which may adversely affect our financial condition and future financial results.</w:t>
      </w:r>
    </w:p>
    <w:p>
      <w:pPr>
        <w:spacing w:after="0" w:line="25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we had an aggregate of $995.9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3"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3" w:lineRule="exact"/>
        <w:rPr>
          <w:sz w:val="20"/>
          <w:szCs w:val="20"/>
          <w:color w:val="auto"/>
        </w:rPr>
      </w:pPr>
    </w:p>
    <w:p>
      <w:pPr>
        <w:ind w:left="1300" w:hanging="644"/>
        <w:spacing w:after="0" w:line="258"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312" w:lineRule="auto"/>
        <w:tabs>
          <w:tab w:leader="none" w:pos="129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right="6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changes in trade agreements, tariffs and conflicts such as the war in Ukraine, tensions between China and Taiwan and any expansions thereof, could adversely affect our business and financial performance;</w:t>
      </w:r>
    </w:p>
    <w:p>
      <w:pPr>
        <w:spacing w:after="0" w:line="188"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foreign markets, such as any economic instability caused by economic downturns or recessions, could adversely affect our business and financial performance;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IP rights in some countries;</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8" w:lineRule="exact"/>
        <w:rPr>
          <w:rFonts w:ascii="Times New Roman" w:cs="Times New Roman" w:eastAsia="Times New Roman" w:hAnsi="Times New Roman"/>
          <w:sz w:val="18"/>
          <w:szCs w:val="18"/>
          <w:color w:val="auto"/>
        </w:rPr>
      </w:pPr>
    </w:p>
    <w:p>
      <w:pPr>
        <w:ind w:left="1300" w:right="98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48" w:lineRule="exact"/>
        <w:rPr>
          <w:rFonts w:ascii="Times New Roman" w:cs="Times New Roman" w:eastAsia="Times New Roman" w:hAnsi="Times New Roman"/>
          <w:sz w:val="18"/>
          <w:szCs w:val="18"/>
          <w:color w:val="auto"/>
        </w:rPr>
      </w:pPr>
    </w:p>
    <w:p>
      <w:pPr>
        <w:ind w:left="1300" w:hanging="644"/>
        <w:spacing w:after="0" w:line="245"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the Digital Operational Resilience Act (“DORA”), the EU Data Act, import and export control laws, trade laws and regulations, tariffs and retaliatory measures, trade barriers and economic sanctions;</w:t>
      </w:r>
    </w:p>
    <w:p>
      <w:pPr>
        <w:spacing w:after="0" w:line="22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8" w:lineRule="exact"/>
        <w:rPr>
          <w:rFonts w:ascii="Times New Roman" w:cs="Times New Roman" w:eastAsia="Times New Roman" w:hAnsi="Times New Roman"/>
          <w:sz w:val="18"/>
          <w:szCs w:val="18"/>
          <w:color w:val="auto"/>
        </w:rPr>
      </w:pPr>
    </w:p>
    <w:p>
      <w:pPr>
        <w:jc w:val="both"/>
        <w:ind w:left="1300" w:right="24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exportation of our products and services, any of which could have a material adverse effect on our business and results of operations.</w:t>
      </w:r>
    </w:p>
    <w:p>
      <w:pPr>
        <w:spacing w:after="0" w:line="25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16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5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75" w:lineRule="exact"/>
        <w:rPr>
          <w:rFonts w:ascii="Times New Roman" w:cs="Times New Roman" w:eastAsia="Times New Roman" w:hAnsi="Times New Roman"/>
          <w:sz w:val="18"/>
          <w:szCs w:val="18"/>
          <w:color w:val="auto"/>
        </w:rPr>
      </w:pPr>
    </w:p>
    <w:p>
      <w:pPr>
        <w:ind w:left="1300" w:right="86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8"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and scalability, expect a broader range of services, including design, implementation and post go-live services, demand that vendors take on a larger share of risks,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1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8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0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199"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their own supply chain constraints and contractual requirements, challenges and risks.</w:t>
      </w:r>
    </w:p>
    <w:p>
      <w:pPr>
        <w:spacing w:after="0" w:line="18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right="16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2" w:lineRule="exact"/>
        <w:rPr>
          <w:rFonts w:ascii="Times New Roman" w:cs="Times New Roman" w:eastAsia="Times New Roman" w:hAnsi="Times New Roman"/>
          <w:sz w:val="18"/>
          <w:szCs w:val="18"/>
          <w:color w:val="auto"/>
        </w:rPr>
      </w:pPr>
    </w:p>
    <w:p>
      <w:pPr>
        <w:ind w:left="1300" w:right="60" w:hanging="644"/>
        <w:spacing w:after="0" w:line="254"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For example, the newly formed Department of Government Efficiency (“DOGE”) has implemented new policies and oversight mechanisms aimed at reducing federal expenditures, streamlining procurement, and increasing operational efficiency. DOGE has reduced the number of federal employees and agencies. Our business operations, contract awards, and revenue streams are subject to DOGE actions, which may introduce risks to our financial performance and strategic growth. In addition, DOGE could eliminate or reduce the operations of an agency that we work with, terminate employees with whom we have business relations with or cancel or modify a contract with us. Any failure to comply with DOGE actions, shifts in federal procurement strategies, or budgetary reductions imposed by the agency could adversely impact our financial results, competitive positioning, and overall business operations; and</w:t>
      </w:r>
    </w:p>
    <w:p>
      <w:pPr>
        <w:spacing w:after="0" w:line="215"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tensions between China and Taiwan,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0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1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Services, Industry and 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including critical vulnerabilities, in our products or services, the failure of our products or services to detect or prevent a security incident or the misuse of our products could harm our and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operational results and reputation.</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Additionally, any perception that our products have vulnerabilities, whether or not accurate, and any actual vulnerabilities may harm our operational results and reputation, more significantly as compared to other companies in other industries.</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For example, we recently discovered, and subsequently released to customers an advisory update and patch for, a critical vulnerability in our FortiManager product. We are subject to various risks due to the FortiManager vulnerability, including reputational harm, adverse impacts to customer relationships, potential litigation, and additional regulatory scrutiny, which could negatively impact our business, operating results and financial condition. There can be no assurance that posts on our FortiGuard Labs website, including with respect to the recently announced FortiManager vulnerability, will be sufficiently timely, accurate or complete or that those customers will see such posts or take steps to mitigate the risk of vulnerabilities, and certain customers may be negatively impacted.</w:t>
      </w:r>
    </w:p>
    <w:p>
      <w:pPr>
        <w:spacing w:after="0" w:line="2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Further, customers may choose not to apply patches in a timely manner for business or operational reasons, or may neglect to upgrade at all and may run unpatched or unsupported devices against our guidance and industry best practice. Such lack of action to remediate known product vulnerabilities in the customer environment could negatively impact their own security posture, increasing the likelihood of exploitation and negatively impacting our reputation. Our networks and products, including cloud-based technology, could be targeted by attacks specifically designed to disrupt our business and harm our operational results and reputation.</w:t>
      </w:r>
    </w:p>
    <w:p>
      <w:pPr>
        <w:spacing w:after="0" w:line="20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subscriptions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including critical vulnerabilities, in our products, or misuse of our products, could result in:</w:t>
      </w:r>
    </w:p>
    <w:p>
      <w:pPr>
        <w:spacing w:after="0" w:line="183" w:lineRule="exact"/>
        <w:rPr>
          <w:sz w:val="20"/>
          <w:szCs w:val="20"/>
          <w:color w:val="auto"/>
        </w:rPr>
      </w:pPr>
    </w:p>
    <w:p>
      <w:pPr>
        <w:ind w:left="1300" w:right="120" w:hanging="644"/>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1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AI, and malicious parties may use AI to help attack our solutions, systems, and our customers.</w:t>
      </w:r>
    </w:p>
    <w:p>
      <w:pPr>
        <w:spacing w:after="0" w:line="2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including critical vulnerabilities, in our product software and infrastructure in an effort to gain entry into our customers’ networks. In addition, in general threat actors use dark web forums to sell organizations’ stolen credentials. If threat actors sell valid credentials used by our customers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subscriptions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1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product shortages, which may result in lost sales, higher expenses and excess inventory, which may require us to sell our products at discounts and lead to inventory charges or write-offs.</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labor disruption, tariffs, cyber events, international trade disputes, international conflicts, terrorism, wars or other foreign conflicts, such as the war in Ukraine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have in some instances and may in the future require us to accept or pay for components and finished goods regardless of our level of sales in a particular period, which may negatively or unpredictably impact our operating results and financial condition. For additional information and a further discussion of impacts and risks related to our purchase commitments with our suppliers, refer to Note 10. Commitments and Contingencies in Part I, Item 1 of this Quarterly Report on Form 10-Q.</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inadequate to enable us to effectively manage inventory. If we are unable to effectively manage our inventory and that of our channel partners, our results of operations could be adversely affected.</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2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 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2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additionally third-party manufacturing cost increases and changes in the geopolitical environment could result in lower gross margins and free cash flow.</w:t>
      </w:r>
    </w:p>
    <w:p>
      <w:pPr>
        <w:spacing w:after="0" w:line="20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Accton,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tariffs, international conflicts, terrorism, wars or other foreign conflicts, such as the war in Ukraine or tensions between China and Taiwan,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80% of our hardware is manufactured in Taiwan. Any increase in tensions between China and Taiwan, including threats of military actions or escalation of military activities, could adversely affect our manufacturing operations in Taiwan, which, given the large percentage of our hardware that is manufactured in Taiwan, could have significant impacts on our business and operations.</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Central Processing Units from Intel Corporation (“Intel”) and Advanced Micro Devices, Inc., network and wireless chips from Broadcom Inc., Marvell Technology Group Ltd., Qualcomm Incorporated and Intel, and memory devices from Intel, Micron Technology, ADATA Technology Co., Ltd., Toshiba Corporation, Samsung Electronics Co., Ltd. and Western Digital Technologies, Inc.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19"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False positive detection of legitimate non-malicious files as viruses or malware or false identification of legitimate emails as spam, could adversely affect our business.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heuristics, ML or AI features in our products, which attempt to identify viruses and other threats not based on any known signatures but based on characteristics or anomalies that may indicate that a particular item is a threat. 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5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4"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existing systems, processes, and controls may not prevent or detect all errors, omissions, or fraud.</w:t>
      </w:r>
    </w:p>
    <w:p>
      <w:pPr>
        <w:spacing w:after="0" w:line="21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inaccuracies in our projected capital expenditures could negatively impact our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p>
    <w:p>
      <w:pPr>
        <w:spacing w:after="0" w:line="25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ML technology into our solutions, as evidenced by our acquisition of Lacework.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 could impair our ability to compete effectively and adversely affect our financial results. Data practices by us or others, AI governance, AI development and validation practices that result in controversy could also impair the acceptance of AI solutions. This in turn could undermine confidence in the decisions, predictions, analysis, and effectiveness of our AI-related initiatives. 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(hallucinations) or flawed, or contains copyrighted or other protected material, and if our customers or others use this flawed content to their detriment, or use our AI solutions outside of their intended use cases with an adverse impact to their operations,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technology in our IT infrastructure could improve internal process but poses security and privacy risks.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adoption of AI in internal processes presents an opportunity to bolster decision making, productivity and customer satisfaction, but the new technology poses risks. AI can be exploited by hackers and malicious actors to develop advanced cyberattacks, bypass security measures, and exploit system vulnerabilities. The use of AI involves handling large amounts of data. If the security measures around the usage of AI are insufficient, there’s risk of data breaches, leading to unauthorized access to sensitive information. Failure to comply with data protection regulations (such as GDPR or the California Consumer Privacy Act (the “CCPA”) and DORA) can result in legal consequences. 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the AI models by us or our vendors, could result in legal risk, especially if it involves customer data. Other risks that have been observed in AI models and documented, include risks related to bias, discrimination, job displacements, and violating human rights.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1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 or result in loss of IP.</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5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development practices, procedures and policies. For example, we may experience difficulties integrating an acquired company’s ERP or CRM systems, SaaS delivery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spacing w:after="0" w:line="2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results of certain businesses that we invest in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1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0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the UK Extension to the EU-U.S. Data Privacy Framework and the Swiss-U.S. Data Privacy Framework (collectively, the “Framework”) following certain changes to U.S. law intended to address the concerns underlying that court decision with respect to transfers of personal data to the United States.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Framework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GDPR, the EU has also enacted legislation that would regulate non-personal data and establish new cybersecurity standards, and other countries, including the U.K., may similarly do so in the future. In particular, the EU Data Act entered into force in 2024 and imposes certain data and cloud service interoperability and switching obligations to enable users to switch between cloud service providers (as well as certain requirements concerning cross-border international transfers of non-personal data outside the EEA).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DORA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w:t>
      </w:r>
    </w:p>
    <w:p>
      <w:pPr>
        <w:spacing w:after="0" w:line="21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1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in articles and in complex objects. The SCIP database is established under the WFD and managed by the European Chemicals Agency. We have incurred costs in order to comply with this new requirement. Similar laws and regulations have been passed or are pending in the European Economic Area and the UK.</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 regulations involving single-use plastics in packaging resulting in import taxes in certain countries in the EU have resulted in additional costs to source appropriate packaging for hardware. Alternatively, for our cloud based systems, new EU energy efficiency laws relating to the power usage effectiveness of data centers will require us to source specific data centers or retrofit existing ones to meet the stringent energy efficiency requirements.</w:t>
      </w:r>
    </w:p>
    <w:p>
      <w:pPr>
        <w:spacing w:after="0" w:line="20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corporate responsibility and sustainability factors may impose additional costs and expose us to new risks.</w:t>
      </w:r>
    </w:p>
    <w:p>
      <w:pPr>
        <w:spacing w:after="0" w:line="18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Certain investors, employees, customers and other stakeholders have a focus on corporate responsibility. Some investors may use these non-financial performance factors to guide their investment strategies and, in some cases, may choose not to invest in us if they believe our policies and actions relating to corporate responsibility are inadequate. Investor demand for measurement of non-financial performance is addressed by third-party providers of sustainability assessment and ratings on companies. The criteria by which our corporate responsibility practices are assessed may change due to the constant evolution of the global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standards set by various constituencies.</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corporate responsibility and sustainability matters,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1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86"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7"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840" w:hanging="644"/>
        <w:spacing w:after="0" w:line="282"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2024, our internal controls over financial reporting were effective, we cannot predict the outcome of our testing in</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2025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0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nine months ended September 30, 2025, the closing price of our common stock ranged from $74.39 to $114.57 per share.</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currently are, and may be in the future, the target of this type of litigation. Securities litigation against us could result in substantial costs and divert our management’s attention from other business concerns, which could seriously harm our business.</w:t>
      </w:r>
    </w:p>
    <w:p>
      <w:pPr>
        <w:spacing w:after="0" w:line="19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8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August 2025, our board of directors approved a $1.0 billion increase in the authorized stock repurchase amount under the Repurchase Program and extended the term of the Repurchase Program to February 28, 2027, bringing the aggregate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amount authorized to be repurchased to $9.25 billion of our outstanding common stock through February 28, 2027. As of September 30, 2025, approximately $795.9 million remained available for future share repurchases.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3"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changing interest rates, changes to government spending and regulations, and weakening product demand could adversely affect our business and financial performance.</w:t>
      </w:r>
    </w:p>
    <w:p>
      <w:pPr>
        <w:spacing w:after="0" w:line="18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Economic challenges caused by economic downturn, any resulting recession, inflation, GDP impact (both domestically and internationally) or change in interest rates can weaken and harm our financial position. The U.S. capital markets have experienced and continue to experience extreme volatility and disruption. Further deterioration of the macroeconomic environment and regulatory action may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 changes in trade policies and agreements and conflicts could adversely affect our business and financial performance.</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or tensions between China and Taiwan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the transition in administrations, changing in the U.S. government’s trade policy and the United States’ ongoing trade disputes with Russia, China and other countries, including the United States’ tariffs, and any new or additional retaliatory tariffs from foreign countries. The continuing effect of any or all of these events could adversely impact demand for our products, harm our operations and weaken our financial results.</w:t>
      </w:r>
    </w:p>
    <w:p>
      <w:pPr>
        <w:spacing w:after="0" w:line="21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2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or tensions between China and Taiwan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channel partners or end-customers that impacts sales at the end of our quarter could have a significant adverse impact on our quarterly results. For example, if one of our channel partners experiences issues such as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cyberattacks or other operational disruptions at the end of a quarter, it could negatively impact our ability to receive orders from them and, among other things, may adversely affect our billings and revenue.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under the Repurchase Program during the three months ended September 30, 2025 (in millions, except average price paid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9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95"/>
        </w:trPr>
        <w:tc>
          <w:tcPr>
            <w:tcW w:w="40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 or Program</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96"/>
        </w:trPr>
        <w:tc>
          <w:tcPr>
            <w:tcW w:w="4040" w:type="dxa"/>
            <w:vAlign w:val="bottom"/>
            <w:gridSpan w:val="2"/>
            <w:vMerge w:val="continue"/>
          </w:tcPr>
          <w:p>
            <w:pPr>
              <w:spacing w:after="0"/>
              <w:rPr>
                <w:sz w:val="8"/>
                <w:szCs w:val="8"/>
                <w:color w:val="auto"/>
              </w:rPr>
            </w:pPr>
          </w:p>
        </w:tc>
        <w:tc>
          <w:tcPr>
            <w:tcW w:w="194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8"/>
                <w:szCs w:val="8"/>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40" w:type="dxa"/>
            <w:vAlign w:val="bottom"/>
            <w:gridSpan w:val="2"/>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2025</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 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17,940.4</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23,384.8</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August 2025, our board of directors approved a $1.0 billion increase in the authorized stock repurchase amount under the Repurchase Program and extended the term of the Repurchase Program to February 28, 2027, bringing the aggregate amount authorized to be repurchased to $9.25 billion of our outstanding common stock through February 28, 2027. As of September 30, 2025, approximately $795.9 million remained available for future share repurchases under the Repurchase Program.</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43"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No director or Section 16 officer of the Company adopted or terminated a “Rule 10b5-1 trading arrangement” or “non-Rule 10b5-1 trading arrangement,” as each term is defined in Item 408(a) of Regulation S-K, during the three months ended September 30, 2025.</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0" w:type="dxa"/>
            <w:vAlign w:val="bottom"/>
          </w:tcPr>
          <w:p>
            <w:pPr>
              <w:spacing w:after="0"/>
              <w:rPr>
                <w:sz w:val="1"/>
                <w:szCs w:val="1"/>
                <w:color w:val="auto"/>
              </w:rPr>
            </w:pPr>
          </w:p>
        </w:tc>
      </w:tr>
      <w:tr>
        <w:trPr>
          <w:trHeight w:val="176"/>
        </w:trPr>
        <w:tc>
          <w:tcPr>
            <w:tcW w:w="780" w:type="dxa"/>
            <w:vAlign w:val="bottom"/>
            <w:gridSpan w:val="2"/>
          </w:tcPr>
          <w:p>
            <w:pPr>
              <w:spacing w:after="0" w:line="176"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8"/>
                <w:szCs w:val="18"/>
                <w:color w:val="000000"/>
                <w:vertAlign w:val="superscript"/>
              </w:rPr>
              <w:t>†</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of Control Severance Agreement, effective as of May 15, 2025, between the</w:t>
            </w: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5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Company and Christiane Ohlgart.</w:t>
            </w: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10-Q</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August 8, 2025</w:t>
            </w: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line="20" w:lineRule="exact"/>
              <w:rPr>
                <w:sz w:val="1"/>
                <w:szCs w:val="1"/>
                <w:color w:val="auto"/>
              </w:rPr>
            </w:pPr>
          </w:p>
        </w:tc>
      </w:tr>
      <w:tr>
        <w:trPr>
          <w:trHeight w:val="161"/>
        </w:trPr>
        <w:tc>
          <w:tcPr>
            <w:tcW w:w="780" w:type="dxa"/>
            <w:vAlign w:val="bottom"/>
            <w:gridSpan w:val="2"/>
            <w:vMerge w:val="restart"/>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r>
              <w:rPr>
                <w:rFonts w:ascii="Times New Roman" w:cs="Times New Roman" w:eastAsia="Times New Roman" w:hAnsi="Times New Roman"/>
                <w:sz w:val="18"/>
                <w:szCs w:val="18"/>
                <w:color w:val="000000"/>
                <w:vertAlign w:val="superscript"/>
              </w:rPr>
              <w:t>†</w:t>
            </w:r>
          </w:p>
        </w:tc>
        <w:tc>
          <w:tcPr>
            <w:tcW w:w="572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vMerge w:val="continue"/>
          </w:tcPr>
          <w:p>
            <w:pPr>
              <w:spacing w:after="0"/>
              <w:rPr>
                <w:sz w:val="18"/>
                <w:szCs w:val="18"/>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Fortinet Strategic Advisory Council Member Agreement, dated as of August 5, 2025,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between the Company and Keith Jensen.</w:t>
            </w: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10-Q</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8, 2025</w:t>
            </w: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5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57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vMerge w:val="continue"/>
          </w:tcPr>
          <w:p>
            <w:pPr>
              <w:spacing w:after="0"/>
              <w:rPr>
                <w:sz w:val="18"/>
                <w:szCs w:val="18"/>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10-Q for the quarter ended September 30, 2025 is formatted in inline XBRL.</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ind w:left="80" w:hanging="72"/>
        <w:spacing w:after="0" w:line="216" w:lineRule="auto"/>
        <w:tabs>
          <w:tab w:leader="none" w:pos="8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Furnished herewith.</w:t>
      </w:r>
    </w:p>
    <w:p>
      <w:pPr>
        <w:ind w:left="80" w:hanging="72"/>
        <w:spacing w:after="0" w:line="199" w:lineRule="auto"/>
        <w:tabs>
          <w:tab w:leader="none" w:pos="8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79"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7140" w:val="left"/>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Ken Xie, Chief Executive Officer and Chairman</w:t>
      </w:r>
    </w:p>
    <w:p>
      <w:pPr>
        <w:spacing w:after="0" w:line="104"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6600" w:val="left"/>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Christiane Ohlgart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Christiane Ohlgart, Chief Financial Officer</w:t>
      </w:r>
    </w:p>
    <w:p>
      <w:pPr>
        <w:spacing w:after="0" w:line="31"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80"/>
          </w:cols>
          <w:pgMar w:left="320" w:top="279" w:right="3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Christiane Ohlgart,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Christiane Ohlgart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Christiane Ohlgart</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September 30, 2025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940" w:type="dxa"/>
            <w:vAlign w:val="bottom"/>
          </w:tcPr>
          <w:p>
            <w:pPr>
              <w:spacing w:after="0"/>
              <w:rPr>
                <w:sz w:val="15"/>
                <w:szCs w:val="15"/>
                <w:color w:val="auto"/>
              </w:rPr>
            </w:pPr>
          </w:p>
        </w:tc>
        <w:tc>
          <w:tcPr>
            <w:tcW w:w="268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95"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 Christiane Ohlgart, certify, pursuant to 18 U.S.C. Section 1350, as adopted pursuant to Section 906 of the Sarbanes-Oxley Act of 2002, that the Quarterly Report on Form 10-Q of Fortinet, Inc. for the quarter ended September 30, 2025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Christiane Ohlgart</w:t>
            </w: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Christiane Ohlgart</w:t>
            </w:r>
          </w:p>
        </w:tc>
      </w:tr>
      <w:tr>
        <w:trPr>
          <w:trHeight w:val="180"/>
        </w:trPr>
        <w:tc>
          <w:tcPr>
            <w:tcW w:w="3940" w:type="dxa"/>
            <w:vAlign w:val="bottom"/>
          </w:tcPr>
          <w:p>
            <w:pPr>
              <w:spacing w:after="0"/>
              <w:rPr>
                <w:sz w:val="15"/>
                <w:szCs w:val="15"/>
                <w:color w:val="auto"/>
              </w:rPr>
            </w:pPr>
          </w:p>
        </w:tc>
        <w:tc>
          <w:tcPr>
            <w:tcW w:w="268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8"/>
    </w:lvl>
  </w:abstractNum>
  <w:abstractNum w:abstractNumId="9">
    <w:nsid w:val="836C40E"/>
    <w:multiLevelType w:val="hybridMultilevel"/>
    <w:lvl w:ilvl="0">
      <w:lvlJc w:val="left"/>
      <w:lvlText w:val="%1."/>
      <w:numFmt w:val="decimal"/>
      <w:start w:val="9"/>
    </w:lvl>
  </w:abstractNum>
  <w:abstractNum w:abstractNumId="10">
    <w:nsid w:val="2901D82"/>
    <w:multiLevelType w:val="hybridMultilevel"/>
    <w:lvl w:ilvl="0">
      <w:lvlJc w:val="left"/>
      <w:lvlText w:val="%1."/>
      <w:numFmt w:val="decimal"/>
      <w:start w:val="10"/>
    </w:lvl>
  </w:abstractNum>
  <w:abstractNum w:abstractNumId="11">
    <w:nsid w:val="3A95F874"/>
    <w:multiLevelType w:val="hybridMultilevel"/>
    <w:lvl w:ilvl="0">
      <w:lvlJc w:val="left"/>
      <w:lvlText w:val="%1."/>
      <w:numFmt w:val="decimal"/>
      <w:start w:val="11"/>
    </w:lvl>
  </w:abstractNum>
  <w:abstractNum w:abstractNumId="12">
    <w:nsid w:val="8138641"/>
    <w:multiLevelType w:val="hybridMultilevel"/>
    <w:lvl w:ilvl="0">
      <w:lvlJc w:val="left"/>
      <w:lvlText w:val="%1."/>
      <w:numFmt w:val="decimal"/>
      <w:start w:val="13"/>
    </w:lvl>
  </w:abstractNum>
  <w:abstractNum w:abstractNumId="13">
    <w:nsid w:val="1E7FF521"/>
    <w:multiLevelType w:val="hybridMultilevel"/>
    <w:lvl w:ilvl="0">
      <w:lvlJc w:val="left"/>
      <w:lvlText w:val="%1."/>
      <w:numFmt w:val="decimal"/>
      <w:start w:val="14"/>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8" Type="http://schemas.openxmlformats.org/officeDocument/2006/relationships/hyperlink" Target="https://www.sec.gov/Archives/edgar/data/1262039/000126203925000028/ftnt-ex101_changeofctrlsev.htm" TargetMode="External"/><Relationship Id="rId99" Type="http://schemas.openxmlformats.org/officeDocument/2006/relationships/hyperlink" Target="https://www.sec.gov/Archives/edgar/data/1262039/000126203925000028/ftnt-ex102_fsacagreementk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2025-11-07T05:15:54Z</dcterms:created>
  <dcterms:modified xsi:type="dcterms:W3CDTF">2025-11-07T05:15:54Z</dcterms:modified>
</cp:coreProperties>
</file>