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330200</wp:posOffset>
            </wp:positionV>
            <wp:extent cx="14319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118110</wp:posOffset>
            </wp:positionV>
            <wp:extent cx="1431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32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500" w:right="440" w:hanging="492"/>
        <w:spacing w:after="0" w:line="256" w:lineRule="auto"/>
        <w:tabs>
          <w:tab w:leader="none" w:pos="4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4" w:lineRule="exact"/>
        <w:rPr>
          <w:sz w:val="24"/>
          <w:szCs w:val="24"/>
          <w:color w:val="auto"/>
        </w:rPr>
      </w:pPr>
    </w:p>
    <w:p>
      <w:pPr>
        <w:ind w:left="500"/>
        <w:spacing w:after="0"/>
        <w:rPr>
          <w:sz w:val="20"/>
          <w:szCs w:val="20"/>
          <w:color w:val="auto"/>
        </w:rPr>
      </w:pPr>
      <w:r>
        <w:rPr>
          <w:rFonts w:ascii="Arial" w:cs="Arial" w:eastAsia="Arial" w:hAnsi="Arial"/>
          <w:sz w:val="18"/>
          <w:szCs w:val="18"/>
          <w:b w:val="1"/>
          <w:bCs w:val="1"/>
          <w:color w:val="auto"/>
        </w:rPr>
        <w:t>For the quarterly period ended March 31, 2011</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 ]</w:t>
      </w:r>
      <w:r>
        <w:rPr>
          <w:sz w:val="20"/>
          <w:szCs w:val="20"/>
          <w:color w:val="auto"/>
        </w:rPr>
        <w:tab/>
      </w:r>
      <w:r>
        <w:rPr>
          <w:rFonts w:ascii="Arial" w:cs="Arial" w:eastAsia="Arial" w:hAnsi="Arial"/>
          <w:sz w:val="21"/>
          <w:szCs w:val="21"/>
          <w:b w:val="1"/>
          <w:bCs w:val="1"/>
          <w:color w:val="auto"/>
        </w:rPr>
        <w:t>TRANSITION REPORT PURSUANT TO SECTION 13 OR 15(d) OF THE SECURITIES EXCHANGE ACT OF 1934</w:t>
      </w:r>
    </w:p>
    <w:p>
      <w:pPr>
        <w:spacing w:after="0" w:line="148" w:lineRule="exact"/>
        <w:rPr>
          <w:sz w:val="24"/>
          <w:szCs w:val="24"/>
          <w:color w:val="auto"/>
        </w:rPr>
      </w:pPr>
    </w:p>
    <w:p>
      <w:pPr>
        <w:ind w:left="500"/>
        <w:spacing w:after="0"/>
        <w:tabs>
          <w:tab w:leader="none" w:pos="34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1819275</wp:posOffset>
            </wp:positionH>
            <wp:positionV relativeFrom="paragraph">
              <wp:posOffset>-7620</wp:posOffset>
            </wp:positionV>
            <wp:extent cx="838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13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001-34511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377825</wp:posOffset>
            </wp:positionV>
            <wp:extent cx="14236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FORTINET, INC.</w:t>
      </w:r>
    </w:p>
    <w:p>
      <w:pPr>
        <w:spacing w:after="0" w:line="8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137795</wp:posOffset>
            </wp:positionV>
            <wp:extent cx="14236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tbl>
      <w:tblPr>
        <w:tblLayout w:type="fixed"/>
        <w:tblInd w:w="2060" w:type="dxa"/>
        <w:tblCellMar>
          <w:top w:w="0" w:type="dxa"/>
          <w:left w:w="0" w:type="dxa"/>
          <w:bottom w:w="0" w:type="dxa"/>
          <w:right w:w="0" w:type="dxa"/>
        </w:tblCellMar>
      </w:tblPr>
      <w:tr>
        <w:trPr>
          <w:trHeight w:val="234"/>
        </w:trPr>
        <w:tc>
          <w:tcPr>
            <w:tcW w:w="2100" w:type="dxa"/>
            <w:vAlign w:val="bottom"/>
          </w:tcPr>
          <w:p>
            <w:pPr>
              <w:jc w:val="center"/>
              <w:ind w:right="63"/>
              <w:spacing w:after="0"/>
              <w:rPr>
                <w:sz w:val="20"/>
                <w:szCs w:val="20"/>
                <w:color w:val="auto"/>
              </w:rPr>
            </w:pPr>
            <w:r>
              <w:rPr>
                <w:rFonts w:ascii="Arial" w:cs="Arial" w:eastAsia="Arial" w:hAnsi="Arial"/>
                <w:sz w:val="18"/>
                <w:szCs w:val="18"/>
                <w:b w:val="1"/>
                <w:bCs w:val="1"/>
                <w:color w:val="auto"/>
                <w:w w:val="91"/>
              </w:rPr>
              <w:t>Delaware</w:t>
            </w:r>
          </w:p>
        </w:tc>
        <w:tc>
          <w:tcPr>
            <w:tcW w:w="4740" w:type="dxa"/>
            <w:vAlign w:val="bottom"/>
          </w:tcPr>
          <w:p>
            <w:pPr>
              <w:jc w:val="right"/>
              <w:spacing w:after="0"/>
              <w:rPr>
                <w:sz w:val="20"/>
                <w:szCs w:val="20"/>
                <w:color w:val="auto"/>
              </w:rPr>
            </w:pPr>
            <w:r>
              <w:rPr>
                <w:rFonts w:ascii="Arial" w:cs="Arial" w:eastAsia="Arial" w:hAnsi="Arial"/>
                <w:sz w:val="18"/>
                <w:szCs w:val="18"/>
                <w:b w:val="1"/>
                <w:bCs w:val="1"/>
                <w:color w:val="auto"/>
              </w:rPr>
              <w:t>77-0560389</w:t>
            </w:r>
          </w:p>
        </w:tc>
      </w:tr>
      <w:tr>
        <w:trPr>
          <w:trHeight w:val="171"/>
        </w:trPr>
        <w:tc>
          <w:tcPr>
            <w:tcW w:w="2100" w:type="dxa"/>
            <w:vAlign w:val="bottom"/>
          </w:tcPr>
          <w:p>
            <w:pPr>
              <w:jc w:val="center"/>
              <w:ind w:right="63"/>
              <w:spacing w:after="0"/>
              <w:rPr>
                <w:sz w:val="20"/>
                <w:szCs w:val="20"/>
                <w:color w:val="auto"/>
              </w:rPr>
            </w:pPr>
            <w:r>
              <w:rPr>
                <w:rFonts w:ascii="Arial" w:cs="Arial" w:eastAsia="Arial" w:hAnsi="Arial"/>
                <w:sz w:val="13"/>
                <w:szCs w:val="13"/>
                <w:b w:val="1"/>
                <w:bCs w:val="1"/>
                <w:color w:val="auto"/>
                <w:w w:val="87"/>
              </w:rPr>
              <w:t>(State or other jurisdiction of</w:t>
            </w:r>
          </w:p>
        </w:tc>
        <w:tc>
          <w:tcPr>
            <w:tcW w:w="4740" w:type="dxa"/>
            <w:vAlign w:val="bottom"/>
          </w:tcPr>
          <w:p>
            <w:pPr>
              <w:jc w:val="center"/>
              <w:ind w:left="3685"/>
              <w:spacing w:after="0"/>
              <w:rPr>
                <w:sz w:val="20"/>
                <w:szCs w:val="20"/>
                <w:color w:val="auto"/>
              </w:rPr>
            </w:pPr>
            <w:r>
              <w:rPr>
                <w:rFonts w:ascii="Arial" w:cs="Arial" w:eastAsia="Arial" w:hAnsi="Arial"/>
                <w:sz w:val="13"/>
                <w:szCs w:val="13"/>
                <w:b w:val="1"/>
                <w:bCs w:val="1"/>
                <w:color w:val="auto"/>
                <w:w w:val="90"/>
              </w:rPr>
              <w:t>(I.R.S. Employer</w:t>
            </w:r>
          </w:p>
        </w:tc>
      </w:tr>
      <w:tr>
        <w:trPr>
          <w:trHeight w:val="164"/>
        </w:trPr>
        <w:tc>
          <w:tcPr>
            <w:tcW w:w="2100" w:type="dxa"/>
            <w:vAlign w:val="bottom"/>
          </w:tcPr>
          <w:p>
            <w:pPr>
              <w:jc w:val="center"/>
              <w:ind w:right="63"/>
              <w:spacing w:after="0"/>
              <w:rPr>
                <w:sz w:val="20"/>
                <w:szCs w:val="20"/>
                <w:color w:val="auto"/>
              </w:rPr>
            </w:pPr>
            <w:r>
              <w:rPr>
                <w:rFonts w:ascii="Arial" w:cs="Arial" w:eastAsia="Arial" w:hAnsi="Arial"/>
                <w:sz w:val="13"/>
                <w:szCs w:val="13"/>
                <w:b w:val="1"/>
                <w:bCs w:val="1"/>
                <w:color w:val="auto"/>
                <w:w w:val="88"/>
              </w:rPr>
              <w:t>incorporation or organization)</w:t>
            </w:r>
          </w:p>
        </w:tc>
        <w:tc>
          <w:tcPr>
            <w:tcW w:w="4740" w:type="dxa"/>
            <w:vAlign w:val="bottom"/>
          </w:tcPr>
          <w:p>
            <w:pPr>
              <w:jc w:val="center"/>
              <w:ind w:left="3685"/>
              <w:spacing w:after="0"/>
              <w:rPr>
                <w:sz w:val="20"/>
                <w:szCs w:val="20"/>
                <w:color w:val="auto"/>
              </w:rPr>
            </w:pPr>
            <w:r>
              <w:rPr>
                <w:rFonts w:ascii="Arial" w:cs="Arial" w:eastAsia="Arial" w:hAnsi="Arial"/>
                <w:sz w:val="13"/>
                <w:szCs w:val="13"/>
                <w:b w:val="1"/>
                <w:bCs w:val="1"/>
                <w:color w:val="auto"/>
                <w:w w:val="89"/>
              </w:rPr>
              <w:t>Identification No.)</w:t>
            </w:r>
          </w:p>
        </w:tc>
      </w:tr>
      <w:tr>
        <w:trPr>
          <w:trHeight w:val="259"/>
        </w:trPr>
        <w:tc>
          <w:tcPr>
            <w:tcW w:w="2100" w:type="dxa"/>
            <w:vAlign w:val="bottom"/>
          </w:tcPr>
          <w:p>
            <w:pPr>
              <w:jc w:val="center"/>
              <w:ind w:right="63"/>
              <w:spacing w:after="0"/>
              <w:rPr>
                <w:sz w:val="20"/>
                <w:szCs w:val="20"/>
                <w:color w:val="auto"/>
              </w:rPr>
            </w:pPr>
            <w:r>
              <w:rPr>
                <w:rFonts w:ascii="Arial" w:cs="Arial" w:eastAsia="Arial" w:hAnsi="Arial"/>
                <w:sz w:val="18"/>
                <w:szCs w:val="18"/>
                <w:b w:val="1"/>
                <w:bCs w:val="1"/>
                <w:color w:val="auto"/>
                <w:w w:val="94"/>
              </w:rPr>
              <w:t>1090 Kifer Road</w:t>
            </w:r>
          </w:p>
        </w:tc>
        <w:tc>
          <w:tcPr>
            <w:tcW w:w="4740" w:type="dxa"/>
            <w:vAlign w:val="bottom"/>
          </w:tcPr>
          <w:p>
            <w:pPr>
              <w:spacing w:after="0"/>
              <w:rPr>
                <w:sz w:val="22"/>
                <w:szCs w:val="22"/>
                <w:color w:val="auto"/>
              </w:rPr>
            </w:pPr>
          </w:p>
        </w:tc>
      </w:tr>
      <w:tr>
        <w:trPr>
          <w:trHeight w:val="270"/>
        </w:trPr>
        <w:tc>
          <w:tcPr>
            <w:tcW w:w="2100" w:type="dxa"/>
            <w:vAlign w:val="bottom"/>
          </w:tcPr>
          <w:p>
            <w:pPr>
              <w:jc w:val="center"/>
              <w:ind w:right="63"/>
              <w:spacing w:after="0"/>
              <w:rPr>
                <w:sz w:val="20"/>
                <w:szCs w:val="20"/>
                <w:color w:val="auto"/>
              </w:rPr>
            </w:pPr>
            <w:r>
              <w:rPr>
                <w:rFonts w:ascii="Arial" w:cs="Arial" w:eastAsia="Arial" w:hAnsi="Arial"/>
                <w:sz w:val="18"/>
                <w:szCs w:val="18"/>
                <w:b w:val="1"/>
                <w:bCs w:val="1"/>
                <w:color w:val="auto"/>
                <w:w w:val="91"/>
              </w:rPr>
              <w:t>Sunnyvale, California</w:t>
            </w:r>
          </w:p>
        </w:tc>
        <w:tc>
          <w:tcPr>
            <w:tcW w:w="4740" w:type="dxa"/>
            <w:vAlign w:val="bottom"/>
          </w:tcPr>
          <w:p>
            <w:pPr>
              <w:jc w:val="right"/>
              <w:ind w:right="185"/>
              <w:spacing w:after="0"/>
              <w:rPr>
                <w:sz w:val="20"/>
                <w:szCs w:val="20"/>
                <w:color w:val="auto"/>
              </w:rPr>
            </w:pPr>
            <w:r>
              <w:rPr>
                <w:rFonts w:ascii="Arial" w:cs="Arial" w:eastAsia="Arial" w:hAnsi="Arial"/>
                <w:sz w:val="18"/>
                <w:szCs w:val="18"/>
                <w:b w:val="1"/>
                <w:bCs w:val="1"/>
                <w:color w:val="auto"/>
              </w:rPr>
              <w:t>94086</w:t>
            </w:r>
          </w:p>
        </w:tc>
      </w:tr>
      <w:tr>
        <w:trPr>
          <w:trHeight w:val="281"/>
        </w:trPr>
        <w:tc>
          <w:tcPr>
            <w:tcW w:w="2100" w:type="dxa"/>
            <w:vAlign w:val="bottom"/>
          </w:tcPr>
          <w:p>
            <w:pPr>
              <w:jc w:val="center"/>
              <w:ind w:right="63"/>
              <w:spacing w:after="0"/>
              <w:rPr>
                <w:sz w:val="20"/>
                <w:szCs w:val="20"/>
                <w:color w:val="auto"/>
              </w:rPr>
            </w:pPr>
            <w:r>
              <w:rPr>
                <w:rFonts w:ascii="Arial" w:cs="Arial" w:eastAsia="Arial" w:hAnsi="Arial"/>
                <w:sz w:val="13"/>
                <w:szCs w:val="13"/>
                <w:b w:val="1"/>
                <w:bCs w:val="1"/>
                <w:color w:val="auto"/>
                <w:w w:val="86"/>
              </w:rPr>
              <w:t>(Address principal executive offices)</w:t>
            </w:r>
          </w:p>
        </w:tc>
        <w:tc>
          <w:tcPr>
            <w:tcW w:w="4740" w:type="dxa"/>
            <w:vAlign w:val="bottom"/>
          </w:tcPr>
          <w:p>
            <w:pPr>
              <w:jc w:val="center"/>
              <w:ind w:left="3685"/>
              <w:spacing w:after="0"/>
              <w:rPr>
                <w:sz w:val="20"/>
                <w:szCs w:val="20"/>
                <w:color w:val="auto"/>
              </w:rPr>
            </w:pPr>
            <w:r>
              <w:rPr>
                <w:rFonts w:ascii="Arial" w:cs="Arial" w:eastAsia="Arial" w:hAnsi="Arial"/>
                <w:sz w:val="13"/>
                <w:szCs w:val="13"/>
                <w:b w:val="1"/>
                <w:bCs w:val="1"/>
                <w:color w:val="auto"/>
                <w:w w:val="90"/>
              </w:rPr>
              <w:t>(Zip Code)</w:t>
            </w:r>
          </w:p>
        </w:tc>
      </w:tr>
      <w:tr>
        <w:trPr>
          <w:trHeight w:val="281"/>
        </w:trPr>
        <w:tc>
          <w:tcPr>
            <w:tcW w:w="2100" w:type="dxa"/>
            <w:vAlign w:val="bottom"/>
          </w:tcPr>
          <w:p>
            <w:pPr>
              <w:spacing w:after="0"/>
              <w:rPr>
                <w:sz w:val="24"/>
                <w:szCs w:val="24"/>
                <w:color w:val="auto"/>
              </w:rPr>
            </w:pPr>
          </w:p>
        </w:tc>
        <w:tc>
          <w:tcPr>
            <w:tcW w:w="4740" w:type="dxa"/>
            <w:vAlign w:val="bottom"/>
          </w:tcPr>
          <w:p>
            <w:pPr>
              <w:jc w:val="right"/>
              <w:ind w:right="2545"/>
              <w:spacing w:after="0"/>
              <w:rPr>
                <w:sz w:val="20"/>
                <w:szCs w:val="20"/>
                <w:color w:val="auto"/>
              </w:rPr>
            </w:pPr>
            <w:r>
              <w:rPr>
                <w:rFonts w:ascii="Arial" w:cs="Arial" w:eastAsia="Arial" w:hAnsi="Arial"/>
                <w:sz w:val="18"/>
                <w:szCs w:val="18"/>
                <w:b w:val="1"/>
                <w:bCs w:val="1"/>
                <w:color w:val="auto"/>
              </w:rPr>
              <w:t>(408) 235-7700</w:t>
            </w:r>
          </w:p>
        </w:tc>
      </w:tr>
      <w:tr>
        <w:trPr>
          <w:trHeight w:val="164"/>
        </w:trPr>
        <w:tc>
          <w:tcPr>
            <w:tcW w:w="2100" w:type="dxa"/>
            <w:vAlign w:val="bottom"/>
          </w:tcPr>
          <w:p>
            <w:pPr>
              <w:spacing w:after="0"/>
              <w:rPr>
                <w:sz w:val="14"/>
                <w:szCs w:val="14"/>
                <w:color w:val="auto"/>
              </w:rPr>
            </w:pPr>
          </w:p>
        </w:tc>
        <w:tc>
          <w:tcPr>
            <w:tcW w:w="4740" w:type="dxa"/>
            <w:vAlign w:val="bottom"/>
          </w:tcPr>
          <w:p>
            <w:pPr>
              <w:jc w:val="center"/>
              <w:ind w:right="1545"/>
              <w:spacing w:after="0"/>
              <w:rPr>
                <w:sz w:val="20"/>
                <w:szCs w:val="20"/>
                <w:color w:val="auto"/>
              </w:rPr>
            </w:pPr>
            <w:r>
              <w:rPr>
                <w:rFonts w:ascii="Arial" w:cs="Arial" w:eastAsia="Arial" w:hAnsi="Arial"/>
                <w:sz w:val="13"/>
                <w:szCs w:val="13"/>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190500</wp:posOffset>
            </wp:positionV>
            <wp:extent cx="14319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00" w:lineRule="exact"/>
        <w:rPr>
          <w:sz w:val="24"/>
          <w:szCs w:val="24"/>
          <w:color w:val="auto"/>
        </w:rPr>
      </w:pPr>
    </w:p>
    <w:p>
      <w:pPr>
        <w:spacing w:after="0" w:line="376" w:lineRule="exact"/>
        <w:rPr>
          <w:sz w:val="24"/>
          <w:szCs w:val="24"/>
          <w:color w:val="auto"/>
        </w:rPr>
      </w:pPr>
    </w:p>
    <w:p>
      <w:pPr>
        <w:ind w:right="200" w:firstLine="486"/>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14" w:lineRule="exact"/>
        <w:rPr>
          <w:sz w:val="24"/>
          <w:szCs w:val="24"/>
          <w:color w:val="auto"/>
        </w:rPr>
      </w:pPr>
    </w:p>
    <w:p>
      <w:pPr>
        <w:ind w:right="220" w:firstLine="486"/>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 ] No [ ]</w:t>
      </w:r>
    </w:p>
    <w:p>
      <w:pPr>
        <w:spacing w:after="0" w:line="114" w:lineRule="exact"/>
        <w:rPr>
          <w:sz w:val="24"/>
          <w:szCs w:val="24"/>
          <w:color w:val="auto"/>
        </w:rPr>
      </w:pPr>
    </w:p>
    <w:p>
      <w:pPr>
        <w:ind w:left="50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80"/>
          </w:cols>
          <w:pgMar w:left="240" w:top="233" w:right="279" w:bottom="1440" w:gutter="0" w:footer="0" w:header="0"/>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185" w:lineRule="exact"/>
        <w:rPr>
          <w:sz w:val="24"/>
          <w:szCs w:val="24"/>
          <w:color w:val="auto"/>
        </w:rPr>
      </w:pPr>
    </w:p>
    <w:p>
      <w:pPr>
        <w:sectPr>
          <w:pgSz w:w="11900" w:h="16838" w:orient="portrait"/>
          <w:cols w:equalWidth="0" w:num="4">
            <w:col w:w="1660" w:space="540"/>
            <w:col w:w="5340" w:space="720"/>
            <w:col w:w="1900" w:space="720"/>
            <w:col w:w="500"/>
          </w:cols>
          <w:pgMar w:left="240" w:top="233"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 ]</w:t>
      </w:r>
    </w:p>
    <w:p>
      <w:pPr>
        <w:spacing w:after="0" w:line="185" w:lineRule="exact"/>
        <w:rPr>
          <w:sz w:val="24"/>
          <w:szCs w:val="24"/>
          <w:color w:val="auto"/>
        </w:rPr>
      </w:pPr>
    </w:p>
    <w:p>
      <w:pPr>
        <w:sectPr>
          <w:pgSz w:w="11900" w:h="16838" w:orient="portrait"/>
          <w:cols w:equalWidth="0" w:num="5">
            <w:col w:w="1560" w:space="640"/>
            <w:col w:w="180" w:space="420"/>
            <w:col w:w="4740" w:space="720"/>
            <w:col w:w="1960" w:space="660"/>
            <w:col w:w="500"/>
          </w:cols>
          <w:pgMar w:left="240" w:top="233" w:right="279" w:bottom="1440" w:gutter="0" w:footer="0" w:header="0"/>
          <w:type w:val="continuous"/>
        </w:sectPr>
      </w:pPr>
    </w:p>
    <w:p>
      <w:pPr>
        <w:ind w:left="50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8"/>
          <w:szCs w:val="18"/>
          <w:color w:val="auto"/>
        </w:rPr>
        <w:t>Yes [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[x]</w:t>
      </w:r>
    </w:p>
    <w:p>
      <w:pPr>
        <w:spacing w:after="0" w:line="158" w:lineRule="exact"/>
        <w:rPr>
          <w:sz w:val="24"/>
          <w:szCs w:val="24"/>
          <w:color w:val="auto"/>
        </w:rPr>
      </w:pPr>
    </w:p>
    <w:p>
      <w:pPr>
        <w:sectPr>
          <w:pgSz w:w="11900" w:h="16838" w:orient="portrait"/>
          <w:cols w:equalWidth="0" w:num="4">
            <w:col w:w="8680" w:space="160"/>
            <w:col w:w="520" w:space="180"/>
            <w:col w:w="220" w:space="140"/>
            <w:col w:w="1480"/>
          </w:cols>
          <w:pgMar w:left="240" w:top="233" w:right="279" w:bottom="1440" w:gutter="0" w:footer="0" w:header="0"/>
          <w:type w:val="continuous"/>
        </w:sectPr>
      </w:pPr>
    </w:p>
    <w:p>
      <w:pPr>
        <w:ind w:left="500"/>
        <w:spacing w:after="0"/>
        <w:rPr>
          <w:sz w:val="20"/>
          <w:szCs w:val="20"/>
          <w:color w:val="auto"/>
        </w:rPr>
      </w:pPr>
      <w:r>
        <w:rPr>
          <w:rFonts w:ascii="Arial" w:cs="Arial" w:eastAsia="Arial" w:hAnsi="Arial"/>
          <w:sz w:val="16"/>
          <w:szCs w:val="16"/>
          <w:color w:val="auto"/>
        </w:rPr>
        <w:t>As of April 28, 2011, there were 75,982,233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ON FORM 10-Q</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 Ended March 31, 2011</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80" w:type="dxa"/>
            <w:vAlign w:val="bottom"/>
            <w:gridSpan w:val="4"/>
          </w:tcPr>
          <w:p>
            <w:pPr>
              <w:jc w:val="right"/>
              <w:spacing w:after="0"/>
              <w:rPr>
                <w:sz w:val="20"/>
                <w:szCs w:val="20"/>
                <w:color w:val="auto"/>
              </w:rPr>
            </w:pPr>
            <w:r>
              <w:rPr>
                <w:rFonts w:ascii="Arial" w:cs="Arial" w:eastAsia="Arial" w:hAnsi="Arial"/>
                <w:sz w:val="18"/>
                <w:szCs w:val="18"/>
                <w:b w:val="1"/>
                <w:bCs w:val="1"/>
                <w:color w:val="auto"/>
              </w:rPr>
              <w:t>Page</w:t>
            </w:r>
          </w:p>
        </w:tc>
      </w:tr>
      <w:tr>
        <w:trPr>
          <w:trHeight w:val="250"/>
        </w:trPr>
        <w:tc>
          <w:tcPr>
            <w:tcW w:w="1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40" w:type="dxa"/>
            <w:vAlign w:val="bottom"/>
            <w:gridSpan w:val="5"/>
          </w:tcPr>
          <w:p>
            <w:pPr>
              <w:jc w:val="center"/>
              <w:ind w:right="3980"/>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w:t>
              </w:r>
            </w:hyperlink>
          </w:p>
        </w:tc>
        <w:tc>
          <w:tcPr>
            <w:tcW w:w="15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620" w:type="dxa"/>
            <w:vAlign w:val="bottom"/>
            <w:tcBorders>
              <w:bottom w:val="single" w:sz="8" w:color="0000FF"/>
            </w:tcBorders>
            <w:gridSpan w:val="5"/>
          </w:tcPr>
          <w:p>
            <w:pPr>
              <w:spacing w:after="0"/>
              <w:rPr>
                <w:rFonts w:ascii="Arial" w:cs="Arial" w:eastAsia="Arial" w:hAnsi="Arial"/>
                <w:sz w:val="18"/>
                <w:szCs w:val="18"/>
                <w:b w:val="1"/>
                <w:bCs w:val="1"/>
                <w:color w:val="0000FF"/>
                <w:w w:val="88"/>
              </w:rPr>
            </w:pPr>
            <w:hyperlink w:anchor="page3">
              <w:r>
                <w:rPr>
                  <w:rFonts w:ascii="Arial" w:cs="Arial" w:eastAsia="Arial" w:hAnsi="Arial"/>
                  <w:sz w:val="18"/>
                  <w:szCs w:val="18"/>
                  <w:b w:val="1"/>
                  <w:bCs w:val="1"/>
                  <w:color w:val="0000FF"/>
                  <w:w w:val="88"/>
                </w:rPr>
                <w:t>Financial Statements</w:t>
              </w:r>
            </w:hyperlink>
          </w:p>
        </w:tc>
        <w:tc>
          <w:tcPr>
            <w:tcW w:w="2280" w:type="dxa"/>
            <w:vAlign w:val="bottom"/>
            <w:gridSpan w:val="3"/>
          </w:tcPr>
          <w:p>
            <w:pPr>
              <w:spacing w:after="0"/>
              <w:rPr>
                <w:sz w:val="21"/>
                <w:szCs w:val="21"/>
                <w:color w:val="auto"/>
              </w:rPr>
            </w:pPr>
          </w:p>
        </w:tc>
        <w:tc>
          <w:tcPr>
            <w:tcW w:w="460" w:type="dxa"/>
            <w:vAlign w:val="bottom"/>
            <w:tcBorders>
              <w:top w:val="single" w:sz="8" w:color="0000FF"/>
            </w:tcBorders>
          </w:tcPr>
          <w:p>
            <w:pPr>
              <w:spacing w:after="0"/>
              <w:rPr>
                <w:sz w:val="21"/>
                <w:szCs w:val="21"/>
                <w:color w:val="auto"/>
              </w:rPr>
            </w:pPr>
          </w:p>
        </w:tc>
        <w:tc>
          <w:tcPr>
            <w:tcW w:w="3980" w:type="dxa"/>
            <w:vAlign w:val="bottom"/>
            <w:gridSpan w:val="4"/>
          </w:tcPr>
          <w:p>
            <w:pPr>
              <w:spacing w:after="0"/>
              <w:rPr>
                <w:sz w:val="21"/>
                <w:szCs w:val="21"/>
                <w:color w:val="auto"/>
              </w:rPr>
            </w:pPr>
          </w:p>
        </w:tc>
        <w:tc>
          <w:tcPr>
            <w:tcW w:w="1780" w:type="dxa"/>
            <w:vAlign w:val="bottom"/>
            <w:gridSpan w:val="3"/>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r>
      <w:tr>
        <w:trPr>
          <w:trHeight w:val="250"/>
        </w:trPr>
        <w:tc>
          <w:tcPr>
            <w:tcW w:w="11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840" w:type="dxa"/>
            <w:vAlign w:val="bottom"/>
            <w:gridSpan w:val="12"/>
          </w:tcPr>
          <w:p>
            <w:pPr>
              <w:spacing w:after="0"/>
              <w:rPr>
                <w:rFonts w:ascii="Arial" w:cs="Arial" w:eastAsia="Arial" w:hAnsi="Arial"/>
                <w:sz w:val="18"/>
                <w:szCs w:val="18"/>
                <w:b w:val="1"/>
                <w:bCs w:val="1"/>
                <w:color w:val="0000FF"/>
                <w:w w:val="89"/>
              </w:rPr>
            </w:pPr>
            <w:hyperlink w:anchor="page20">
              <w:r>
                <w:rPr>
                  <w:rFonts w:ascii="Arial" w:cs="Arial" w:eastAsia="Arial" w:hAnsi="Arial"/>
                  <w:sz w:val="18"/>
                  <w:szCs w:val="18"/>
                  <w:b w:val="1"/>
                  <w:bCs w:val="1"/>
                  <w:color w:val="0000FF"/>
                  <w:w w:val="89"/>
                </w:rPr>
                <w:t>Management's Discussion and Analysis of Financial Condition and Results of Operations</w:t>
              </w:r>
            </w:hyperlink>
          </w:p>
        </w:tc>
        <w:tc>
          <w:tcPr>
            <w:tcW w:w="1500" w:type="dxa"/>
            <w:vAlign w:val="bottom"/>
          </w:tcPr>
          <w:p>
            <w:pPr>
              <w:spacing w:after="0"/>
              <w:rPr>
                <w:sz w:val="21"/>
                <w:szCs w:val="21"/>
                <w:color w:val="auto"/>
              </w:rPr>
            </w:pPr>
          </w:p>
        </w:tc>
        <w:tc>
          <w:tcPr>
            <w:tcW w:w="1880" w:type="dxa"/>
            <w:vAlign w:val="bottom"/>
            <w:gridSpan w:val="4"/>
          </w:tcPr>
          <w:p>
            <w:pPr>
              <w:jc w:val="right"/>
              <w:spacing w:after="0"/>
              <w:rPr>
                <w:rFonts w:ascii="Arial" w:cs="Arial" w:eastAsia="Arial" w:hAnsi="Arial"/>
                <w:sz w:val="18"/>
                <w:szCs w:val="18"/>
                <w:color w:val="0000FF"/>
              </w:rPr>
            </w:pPr>
            <w:hyperlink w:anchor="page20">
              <w:r>
                <w:rPr>
                  <w:rFonts w:ascii="Arial" w:cs="Arial" w:eastAsia="Arial" w:hAnsi="Arial"/>
                  <w:sz w:val="18"/>
                  <w:szCs w:val="18"/>
                  <w:color w:val="0000FF"/>
                </w:rPr>
                <w:t>21</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6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840" w:type="dxa"/>
            <w:vAlign w:val="bottom"/>
            <w:gridSpan w:val="12"/>
          </w:tcPr>
          <w:p>
            <w:pPr>
              <w:spacing w:after="0"/>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Quantitative and Qualitative Disclosures about Market Risk</w:t>
              </w:r>
            </w:hyperlink>
          </w:p>
        </w:tc>
        <w:tc>
          <w:tcPr>
            <w:tcW w:w="1500" w:type="dxa"/>
            <w:vAlign w:val="bottom"/>
          </w:tcPr>
          <w:p>
            <w:pPr>
              <w:spacing w:after="0"/>
              <w:rPr>
                <w:sz w:val="21"/>
                <w:szCs w:val="21"/>
                <w:color w:val="auto"/>
              </w:rPr>
            </w:pPr>
          </w:p>
        </w:tc>
        <w:tc>
          <w:tcPr>
            <w:tcW w:w="1880" w:type="dxa"/>
            <w:vAlign w:val="bottom"/>
            <w:gridSpan w:val="4"/>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35</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760" w:type="dxa"/>
            <w:vAlign w:val="bottom"/>
            <w:tcBorders>
              <w:left w:val="single" w:sz="8" w:color="0000FF"/>
            </w:tcBorders>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580" w:type="dxa"/>
            <w:vAlign w:val="bottom"/>
            <w:gridSpan w:val="11"/>
          </w:tcPr>
          <w:p>
            <w:pPr>
              <w:spacing w:after="0"/>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Controls and Procedures</w:t>
              </w:r>
            </w:hyperlink>
          </w:p>
        </w:tc>
        <w:tc>
          <w:tcPr>
            <w:tcW w:w="3760" w:type="dxa"/>
            <w:vAlign w:val="bottom"/>
            <w:gridSpan w:val="2"/>
          </w:tcPr>
          <w:p>
            <w:pPr>
              <w:spacing w:after="0"/>
              <w:rPr>
                <w:sz w:val="21"/>
                <w:szCs w:val="21"/>
                <w:color w:val="auto"/>
              </w:rPr>
            </w:pPr>
          </w:p>
        </w:tc>
        <w:tc>
          <w:tcPr>
            <w:tcW w:w="1880" w:type="dxa"/>
            <w:vAlign w:val="bottom"/>
            <w:gridSpan w:val="4"/>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35</w:t>
              </w:r>
            </w:hyperlink>
          </w:p>
        </w:tc>
      </w:tr>
      <w:tr>
        <w:trPr>
          <w:trHeight w:val="250"/>
        </w:trPr>
        <w:tc>
          <w:tcPr>
            <w:tcW w:w="114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6420" w:type="dxa"/>
            <w:vAlign w:val="bottom"/>
            <w:gridSpan w:val="7"/>
          </w:tcPr>
          <w:p>
            <w:pPr>
              <w:jc w:val="center"/>
              <w:ind w:right="1980"/>
              <w:spacing w:after="0"/>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Part II</w:t>
              </w:r>
            </w:hyperlink>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3880" w:type="dxa"/>
            <w:vAlign w:val="bottom"/>
            <w:gridSpan w:val="7"/>
          </w:tcPr>
          <w:p>
            <w:pPr>
              <w:spacing w:after="0"/>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Legal Proceedings</w:t>
              </w:r>
            </w:hyperlink>
          </w:p>
        </w:tc>
        <w:tc>
          <w:tcPr>
            <w:tcW w:w="520" w:type="dxa"/>
            <w:vAlign w:val="bottom"/>
            <w:tcBorders>
              <w:top w:val="single" w:sz="8" w:color="0000FF"/>
            </w:tcBorders>
            <w:gridSpan w:val="3"/>
          </w:tcPr>
          <w:p>
            <w:pPr>
              <w:spacing w:after="0"/>
              <w:rPr>
                <w:sz w:val="21"/>
                <w:szCs w:val="21"/>
                <w:color w:val="auto"/>
              </w:rPr>
            </w:pPr>
          </w:p>
        </w:tc>
        <w:tc>
          <w:tcPr>
            <w:tcW w:w="3940" w:type="dxa"/>
            <w:vAlign w:val="bottom"/>
            <w:gridSpan w:val="3"/>
          </w:tcPr>
          <w:p>
            <w:pPr>
              <w:spacing w:after="0"/>
              <w:rPr>
                <w:sz w:val="21"/>
                <w:szCs w:val="21"/>
                <w:color w:val="auto"/>
              </w:rPr>
            </w:pPr>
          </w:p>
        </w:tc>
        <w:tc>
          <w:tcPr>
            <w:tcW w:w="1880" w:type="dxa"/>
            <w:vAlign w:val="bottom"/>
            <w:gridSpan w:val="4"/>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35</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180" w:type="dxa"/>
            <w:vAlign w:val="bottom"/>
            <w:gridSpan w:val="7"/>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80" w:type="dxa"/>
            <w:vAlign w:val="bottom"/>
            <w:gridSpan w:val="3"/>
          </w:tcPr>
          <w:p>
            <w:pPr>
              <w:spacing w:after="0"/>
              <w:rPr>
                <w:rFonts w:ascii="Arial" w:cs="Arial" w:eastAsia="Arial" w:hAnsi="Arial"/>
                <w:sz w:val="18"/>
                <w:szCs w:val="18"/>
                <w:b w:val="1"/>
                <w:bCs w:val="1"/>
                <w:color w:val="0000FF"/>
                <w:w w:val="88"/>
              </w:rPr>
            </w:pPr>
            <w:hyperlink w:anchor="page36">
              <w:r>
                <w:rPr>
                  <w:rFonts w:ascii="Arial" w:cs="Arial" w:eastAsia="Arial" w:hAnsi="Arial"/>
                  <w:sz w:val="18"/>
                  <w:szCs w:val="18"/>
                  <w:b w:val="1"/>
                  <w:bCs w:val="1"/>
                  <w:color w:val="0000FF"/>
                  <w:w w:val="88"/>
                </w:rPr>
                <w:t>Risk Factors</w:t>
              </w:r>
            </w:hyperlink>
          </w:p>
        </w:tc>
        <w:tc>
          <w:tcPr>
            <w:tcW w:w="420" w:type="dxa"/>
            <w:vAlign w:val="bottom"/>
          </w:tcPr>
          <w:p>
            <w:pPr>
              <w:spacing w:after="0"/>
              <w:rPr>
                <w:sz w:val="21"/>
                <w:szCs w:val="21"/>
                <w:color w:val="auto"/>
              </w:rPr>
            </w:pPr>
          </w:p>
        </w:tc>
        <w:tc>
          <w:tcPr>
            <w:tcW w:w="6940" w:type="dxa"/>
            <w:vAlign w:val="bottom"/>
            <w:gridSpan w:val="9"/>
          </w:tcPr>
          <w:p>
            <w:pPr>
              <w:spacing w:after="0"/>
              <w:rPr>
                <w:sz w:val="21"/>
                <w:szCs w:val="21"/>
                <w:color w:val="auto"/>
              </w:rPr>
            </w:pPr>
          </w:p>
        </w:tc>
        <w:tc>
          <w:tcPr>
            <w:tcW w:w="1880" w:type="dxa"/>
            <w:vAlign w:val="bottom"/>
            <w:gridSpan w:val="4"/>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35</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0" w:type="dxa"/>
            <w:vAlign w:val="bottom"/>
            <w:gridSpan w:val="8"/>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4580" w:type="dxa"/>
            <w:vAlign w:val="bottom"/>
            <w:gridSpan w:val="11"/>
          </w:tcPr>
          <w:p>
            <w:pPr>
              <w:spacing w:after="0"/>
              <w:rPr>
                <w:rFonts w:ascii="Arial" w:cs="Arial" w:eastAsia="Arial" w:hAnsi="Arial"/>
                <w:sz w:val="18"/>
                <w:szCs w:val="18"/>
                <w:b w:val="1"/>
                <w:bCs w:val="1"/>
                <w:color w:val="0000FF"/>
                <w:w w:val="87"/>
              </w:rPr>
            </w:pPr>
            <w:hyperlink w:anchor="page56">
              <w:r>
                <w:rPr>
                  <w:rFonts w:ascii="Arial" w:cs="Arial" w:eastAsia="Arial" w:hAnsi="Arial"/>
                  <w:sz w:val="18"/>
                  <w:szCs w:val="18"/>
                  <w:b w:val="1"/>
                  <w:bCs w:val="1"/>
                  <w:color w:val="0000FF"/>
                  <w:w w:val="87"/>
                </w:rPr>
                <w:t>Unregistered Sales of Equity Securities and Use of Proceeds</w:t>
              </w:r>
            </w:hyperlink>
          </w:p>
        </w:tc>
        <w:tc>
          <w:tcPr>
            <w:tcW w:w="3760" w:type="dxa"/>
            <w:vAlign w:val="bottom"/>
            <w:gridSpan w:val="2"/>
          </w:tcPr>
          <w:p>
            <w:pPr>
              <w:spacing w:after="0"/>
              <w:rPr>
                <w:sz w:val="21"/>
                <w:szCs w:val="21"/>
                <w:color w:val="auto"/>
              </w:rPr>
            </w:pPr>
          </w:p>
        </w:tc>
        <w:tc>
          <w:tcPr>
            <w:tcW w:w="1880" w:type="dxa"/>
            <w:vAlign w:val="bottom"/>
            <w:gridSpan w:val="4"/>
          </w:tcPr>
          <w:p>
            <w:pPr>
              <w:jc w:val="right"/>
              <w:spacing w:after="0"/>
              <w:rPr>
                <w:rFonts w:ascii="Arial" w:cs="Arial" w:eastAsia="Arial" w:hAnsi="Arial"/>
                <w:sz w:val="18"/>
                <w:szCs w:val="18"/>
                <w:color w:val="0000FF"/>
              </w:rPr>
            </w:pPr>
            <w:hyperlink w:anchor="page56">
              <w:r>
                <w:rPr>
                  <w:rFonts w:ascii="Arial" w:cs="Arial" w:eastAsia="Arial" w:hAnsi="Arial"/>
                  <w:sz w:val="18"/>
                  <w:szCs w:val="18"/>
                  <w:color w:val="0000FF"/>
                </w:rPr>
                <w:t>56</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760" w:type="dxa"/>
            <w:vAlign w:val="bottom"/>
            <w:gridSpan w:val="9"/>
            <w:shd w:val="clear" w:color="auto" w:fill="0000FF"/>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4580" w:type="dxa"/>
            <w:vAlign w:val="bottom"/>
            <w:gridSpan w:val="11"/>
          </w:tcPr>
          <w:p>
            <w:pPr>
              <w:spacing w:after="0"/>
              <w:rPr>
                <w:rFonts w:ascii="Arial" w:cs="Arial" w:eastAsia="Arial" w:hAnsi="Arial"/>
                <w:sz w:val="18"/>
                <w:szCs w:val="18"/>
                <w:b w:val="1"/>
                <w:bCs w:val="1"/>
                <w:color w:val="0000FF"/>
              </w:rPr>
            </w:pPr>
            <w:hyperlink w:anchor="page56">
              <w:r>
                <w:rPr>
                  <w:rFonts w:ascii="Arial" w:cs="Arial" w:eastAsia="Arial" w:hAnsi="Arial"/>
                  <w:sz w:val="18"/>
                  <w:szCs w:val="18"/>
                  <w:b w:val="1"/>
                  <w:bCs w:val="1"/>
                  <w:color w:val="0000FF"/>
                </w:rPr>
                <w:t>Exhibits</w:t>
              </w:r>
            </w:hyperlink>
          </w:p>
        </w:tc>
        <w:tc>
          <w:tcPr>
            <w:tcW w:w="3760" w:type="dxa"/>
            <w:vAlign w:val="bottom"/>
            <w:gridSpan w:val="2"/>
          </w:tcPr>
          <w:p>
            <w:pPr>
              <w:spacing w:after="0"/>
              <w:rPr>
                <w:sz w:val="21"/>
                <w:szCs w:val="21"/>
                <w:color w:val="auto"/>
              </w:rPr>
            </w:pPr>
          </w:p>
        </w:tc>
        <w:tc>
          <w:tcPr>
            <w:tcW w:w="1880" w:type="dxa"/>
            <w:vAlign w:val="bottom"/>
            <w:gridSpan w:val="4"/>
          </w:tcPr>
          <w:p>
            <w:pPr>
              <w:jc w:val="right"/>
              <w:spacing w:after="0"/>
              <w:rPr>
                <w:rFonts w:ascii="Arial" w:cs="Arial" w:eastAsia="Arial" w:hAnsi="Arial"/>
                <w:sz w:val="18"/>
                <w:szCs w:val="18"/>
                <w:color w:val="0000FF"/>
              </w:rPr>
            </w:pPr>
            <w:hyperlink w:anchor="page56">
              <w:r>
                <w:rPr>
                  <w:rFonts w:ascii="Arial" w:cs="Arial" w:eastAsia="Arial" w:hAnsi="Arial"/>
                  <w:sz w:val="18"/>
                  <w:szCs w:val="18"/>
                  <w:color w:val="0000FF"/>
                </w:rPr>
                <w:t>56</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520" w:type="dxa"/>
            <w:vAlign w:val="bottom"/>
            <w:gridSpan w:val="11"/>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820" w:type="dxa"/>
            <w:vAlign w:val="bottom"/>
            <w:gridSpan w:val="2"/>
          </w:tcPr>
          <w:p>
            <w:pPr>
              <w:spacing w:after="0"/>
              <w:rPr>
                <w:rFonts w:ascii="Arial" w:cs="Arial" w:eastAsia="Arial" w:hAnsi="Arial"/>
                <w:sz w:val="18"/>
                <w:szCs w:val="18"/>
                <w:b w:val="1"/>
                <w:bCs w:val="1"/>
                <w:color w:val="0000FF"/>
                <w:w w:val="85"/>
              </w:rPr>
            </w:pPr>
            <w:hyperlink w:anchor="page57">
              <w:r>
                <w:rPr>
                  <w:rFonts w:ascii="Arial" w:cs="Arial" w:eastAsia="Arial" w:hAnsi="Arial"/>
                  <w:sz w:val="18"/>
                  <w:szCs w:val="18"/>
                  <w:b w:val="1"/>
                  <w:bCs w:val="1"/>
                  <w:color w:val="0000FF"/>
                  <w:w w:val="85"/>
                </w:rPr>
                <w:t>Signatures</w:t>
              </w:r>
            </w:hyperlink>
          </w:p>
        </w:tc>
        <w:tc>
          <w:tcPr>
            <w:tcW w:w="7520" w:type="dxa"/>
            <w:vAlign w:val="bottom"/>
            <w:gridSpan w:val="11"/>
          </w:tcPr>
          <w:p>
            <w:pPr>
              <w:spacing w:after="0"/>
              <w:rPr>
                <w:sz w:val="21"/>
                <w:szCs w:val="21"/>
                <w:color w:val="auto"/>
              </w:rPr>
            </w:pPr>
          </w:p>
        </w:tc>
        <w:tc>
          <w:tcPr>
            <w:tcW w:w="1880" w:type="dxa"/>
            <w:vAlign w:val="bottom"/>
            <w:gridSpan w:val="4"/>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58</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ectPr>
          <w:pgSz w:w="11900" w:h="16838" w:orient="portrait"/>
          <w:cols w:equalWidth="0" w:num="1">
            <w:col w:w="11400"/>
          </w:cols>
          <w:pgMar w:left="240" w:top="125" w:right="2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7"/>
                <w:szCs w:val="17"/>
                <w:color w:val="auto"/>
              </w:rPr>
            </w:pPr>
          </w:p>
        </w:tc>
        <w:tc>
          <w:tcPr>
            <w:tcW w:w="1300" w:type="dxa"/>
            <w:vAlign w:val="bottom"/>
          </w:tcPr>
          <w:p>
            <w:pPr>
              <w:jc w:val="right"/>
              <w:ind w:right="191"/>
              <w:spacing w:after="0"/>
              <w:rPr>
                <w:sz w:val="20"/>
                <w:szCs w:val="20"/>
                <w:color w:val="auto"/>
              </w:rPr>
            </w:pPr>
            <w:r>
              <w:rPr>
                <w:rFonts w:ascii="Arial" w:cs="Arial" w:eastAsia="Arial" w:hAnsi="Arial"/>
                <w:sz w:val="16"/>
                <w:szCs w:val="16"/>
                <w:b w:val="1"/>
                <w:bCs w:val="1"/>
                <w:color w:val="auto"/>
                <w:w w:val="96"/>
              </w:rPr>
              <w:t>December 31,</w:t>
            </w:r>
          </w:p>
        </w:tc>
      </w:t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511"/>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2010</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68,981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66,859</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232,617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246,651</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Accounts receivable, net of allowance for doubtful accounts of $232 and $303 at March 31, 2011 and</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December 31, 2010,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71,326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72,336</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Inventory—Net</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12,125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13,517</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tax asset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8,158</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7,749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8,849</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cost of revenues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3,788</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404,141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420,158</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7,056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ASSET—Non-current</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37,443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37,443</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COST OF REVENUES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5,543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INVESTMENTS</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131,105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73,950</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1,272</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587,753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545,422</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76"/>
        </w:trPr>
        <w:tc>
          <w:tcPr>
            <w:tcW w:w="8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12,761</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19,640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16,303</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payroll and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19,670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187,517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169,648</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235,924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218,382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REVENUE—Non-current</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78,512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82,983</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11,603</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329,661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312,968</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7)</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w w:val="92"/>
              </w:rPr>
              <w:t>Common stock, $0.001 par value - 300,000 shares authorized; 76,512 and 75,085 shares issued and 75,808 and</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74,381 shares outstanding at March 31, 2011 and December 31, 2010,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Additional paid-in-capital</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263,394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251,920</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Treasury stock</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(2,995)</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2,756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2,181</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(18,727)</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258,092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232,454</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587,753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545,422</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FORTINET, INC. AND SUBSIDIARIES</w:t>
      </w:r>
    </w:p>
    <w:p>
      <w:pPr>
        <w:spacing w:after="0" w:line="63"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4"/>
          </w:tcPr>
          <w:p>
            <w:pPr>
              <w:jc w:val="right"/>
              <w:ind w:right="691"/>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240" w:type="dxa"/>
            <w:vAlign w:val="bottom"/>
          </w:tcPr>
          <w:p>
            <w:pPr>
              <w:spacing w:after="0"/>
              <w:rPr>
                <w:sz w:val="18"/>
                <w:szCs w:val="18"/>
                <w:color w:val="auto"/>
              </w:rPr>
            </w:pPr>
          </w:p>
        </w:tc>
        <w:tc>
          <w:tcPr>
            <w:tcW w:w="1240" w:type="dxa"/>
            <w:vAlign w:val="bottom"/>
          </w:tcPr>
          <w:p>
            <w:pPr>
              <w:jc w:val="right"/>
              <w:ind w:right="311"/>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2010</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Product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40,165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27,110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48,686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38,625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Ratable product and services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4,415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4,060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93,266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69,795</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11,314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Services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7,781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6,468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Ratable product and services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37"/>
        </w:trPr>
        <w:tc>
          <w:tcPr>
            <w:tcW w:w="8340" w:type="dxa"/>
            <w:vAlign w:val="bottom"/>
          </w:tcPr>
          <w:p>
            <w:pPr>
              <w:ind w:left="600"/>
              <w:spacing w:after="0"/>
              <w:rPr>
                <w:sz w:val="20"/>
                <w:szCs w:val="20"/>
                <w:color w:val="auto"/>
              </w:rPr>
            </w:pPr>
            <w:r>
              <w:rPr>
                <w:rFonts w:ascii="Arial" w:cs="Arial" w:eastAsia="Arial" w:hAnsi="Arial"/>
                <w:sz w:val="18"/>
                <w:szCs w:val="18"/>
                <w:color w:val="auto"/>
              </w:rPr>
              <w:t>Total cost of revenue</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23,416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19,375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Product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26,090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15,796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32,157</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Ratable product and services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2,855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2,467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gross profit</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69,850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50,420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11,934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32,718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26,723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5,059</w:t>
            </w:r>
          </w:p>
        </w:tc>
        <w:tc>
          <w:tcPr>
            <w:tcW w:w="0" w:type="dxa"/>
            <w:vAlign w:val="bottom"/>
          </w:tcPr>
          <w:p>
            <w:pPr>
              <w:spacing w:after="0"/>
              <w:rPr>
                <w:sz w:val="1"/>
                <w:szCs w:val="1"/>
                <w:color w:val="auto"/>
              </w:rPr>
            </w:pPr>
          </w:p>
        </w:tc>
      </w:tr>
      <w:tr>
        <w:trPr>
          <w:trHeight w:val="237"/>
        </w:trPr>
        <w:tc>
          <w:tcPr>
            <w:tcW w:w="8340" w:type="dxa"/>
            <w:vAlign w:val="bottom"/>
          </w:tcPr>
          <w:p>
            <w:pPr>
              <w:ind w:left="6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52,405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43,716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6,704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793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(EXPENSE)—Net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18,143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6,722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4,556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13,587</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4,218</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51"/>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color w:val="auto"/>
              </w:rPr>
              <w:t>Weighted-average shares outstanding:</w:t>
            </w: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75,154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67,181</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340" w:type="dxa"/>
            <w:vAlign w:val="bottom"/>
          </w:tcPr>
          <w:p>
            <w:pPr>
              <w:ind w:left="3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81,432</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74,878</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FORTINET, INC. AND SUBSIDIARIES</w:t>
      </w:r>
    </w:p>
    <w:p>
      <w:pPr>
        <w:spacing w:after="0" w:line="63"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4"/>
          </w:tcPr>
          <w:p>
            <w:pPr>
              <w:jc w:val="right"/>
              <w:ind w:right="731"/>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240" w:type="dxa"/>
            <w:vAlign w:val="bottom"/>
          </w:tcPr>
          <w:p>
            <w:pPr>
              <w:spacing w:after="0"/>
              <w:rPr>
                <w:sz w:val="18"/>
                <w:szCs w:val="18"/>
                <w:color w:val="auto"/>
              </w:rPr>
            </w:pPr>
          </w:p>
        </w:tc>
        <w:tc>
          <w:tcPr>
            <w:tcW w:w="1240" w:type="dxa"/>
            <w:vAlign w:val="bottom"/>
          </w:tcPr>
          <w:p>
            <w:pPr>
              <w:jc w:val="right"/>
              <w:ind w:right="311"/>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511"/>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2010</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13,587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4,218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8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Amortization of investment premiums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43"/>
        </w:trPr>
        <w:tc>
          <w:tcPr>
            <w:tcW w:w="8340" w:type="dxa"/>
            <w:vAlign w:val="bottom"/>
          </w:tcPr>
          <w:p>
            <w:pPr>
              <w:ind w:left="82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3,070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2,148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Excess tax benefit from employee stock option plans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43"/>
        </w:trPr>
        <w:tc>
          <w:tcPr>
            <w:tcW w:w="8340" w:type="dxa"/>
            <w:vAlign w:val="bottom"/>
          </w:tcPr>
          <w:p>
            <w:pPr>
              <w:ind w:left="82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Accounts receivable—net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3,236</w:t>
            </w:r>
          </w:p>
        </w:tc>
        <w:tc>
          <w:tcPr>
            <w:tcW w:w="0" w:type="dxa"/>
            <w:vAlign w:val="bottom"/>
          </w:tcPr>
          <w:p>
            <w:pPr>
              <w:spacing w:after="0"/>
              <w:rPr>
                <w:sz w:val="1"/>
                <w:szCs w:val="1"/>
                <w:color w:val="auto"/>
              </w:rPr>
            </w:pP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Deferred tax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Deferred cost of revenues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Accrued payroll and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3,623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9,607</w:t>
            </w:r>
          </w:p>
        </w:tc>
        <w:tc>
          <w:tcPr>
            <w:tcW w:w="0" w:type="dxa"/>
            <w:vAlign w:val="bottom"/>
          </w:tcPr>
          <w:p>
            <w:pPr>
              <w:spacing w:after="0"/>
              <w:rPr>
                <w:sz w:val="1"/>
                <w:szCs w:val="1"/>
                <w:color w:val="auto"/>
              </w:rPr>
            </w:pP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4,650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40,176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21,816</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(129,695)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(73,903)</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Maturities and sales of investments</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83,455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13,945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37"/>
        </w:trPr>
        <w:tc>
          <w:tcPr>
            <w:tcW w:w="8340" w:type="dxa"/>
            <w:vAlign w:val="bottom"/>
          </w:tcPr>
          <w:p>
            <w:pPr>
              <w:ind w:left="146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(46,934)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(60,972)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exercise of stock options and warrants</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6,960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Offering costs paid in connection with Initial Public Offering</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Excess tax benefit from employee stock option plans</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8,075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(38,203)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EQUIVALENTS—Beginning of period</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66,859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212,458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68,981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174,255</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color w:val="auto"/>
              </w:rPr>
              <w:t>SUPPLEMENTAL DISCLOSURES OF CASH FLOW INFORMATION:</w:t>
            </w: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paid (refunded) for income taxes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property and equipment not yet paid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FORTINET, INC. AND SUBSIDIARIES</w:t>
      </w:r>
    </w:p>
    <w:p>
      <w:pPr>
        <w:spacing w:after="0" w:line="63"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07" w:lineRule="exact"/>
        <w:rPr>
          <w:sz w:val="20"/>
          <w:szCs w:val="20"/>
          <w:color w:val="auto"/>
        </w:rPr>
      </w:pPr>
    </w:p>
    <w:p>
      <w:pPr>
        <w:ind w:right="180" w:firstLine="486"/>
        <w:spacing w:after="0" w:line="261" w:lineRule="auto"/>
        <w:rPr>
          <w:sz w:val="20"/>
          <w:szCs w:val="20"/>
          <w:color w:val="auto"/>
        </w:rPr>
      </w:pPr>
      <w:r>
        <w:rPr>
          <w:rFonts w:ascii="Arial" w:cs="Arial" w:eastAsia="Arial" w:hAnsi="Arial"/>
          <w:sz w:val="18"/>
          <w:szCs w:val="18"/>
          <w:b w:val="1"/>
          <w:bCs w:val="1"/>
          <w:color w:val="auto"/>
        </w:rPr>
        <w:t>Business</w:t>
      </w:r>
      <w:r>
        <w:rPr>
          <w:rFonts w:ascii="Arial" w:cs="Arial" w:eastAsia="Arial" w:hAnsi="Arial"/>
          <w:sz w:val="18"/>
          <w:szCs w:val="18"/>
          <w:color w:val="auto"/>
        </w:rPr>
        <w:t>—Fortinet, Inc. (“Fortinet”) was incorporated in Delaware in November 2000 and is a leading provider of network security appliances and</w:t>
      </w:r>
      <w:r>
        <w:rPr>
          <w:rFonts w:ascii="Arial" w:cs="Arial" w:eastAsia="Arial" w:hAnsi="Arial"/>
          <w:sz w:val="18"/>
          <w:szCs w:val="18"/>
          <w:b w:val="1"/>
          <w:bCs w:val="1"/>
          <w:color w:val="auto"/>
        </w:rPr>
        <w:t xml:space="preserve"> </w:t>
      </w:r>
      <w:r>
        <w:rPr>
          <w:rFonts w:ascii="Arial" w:cs="Arial" w:eastAsia="Arial" w:hAnsi="Arial"/>
          <w:sz w:val="18"/>
          <w:szCs w:val="18"/>
          <w:color w:val="auto"/>
        </w:rPr>
        <w:t>Unified Threat Management (UTM) network security solutions to enterprises, service providers and government entities worldwide. Fortinet's solutions are designed to integrate multiple levels of security protection, including firewall, virtual private networking, antivirus, intrusion prevention, web filtering, antispam and WAN acceleration.</w:t>
      </w:r>
    </w:p>
    <w:p>
      <w:pPr>
        <w:spacing w:after="0" w:line="180" w:lineRule="exact"/>
        <w:rPr>
          <w:sz w:val="20"/>
          <w:szCs w:val="20"/>
          <w:color w:val="auto"/>
        </w:rPr>
      </w:pPr>
    </w:p>
    <w:p>
      <w:pPr>
        <w:ind w:right="100" w:firstLine="486"/>
        <w:spacing w:after="0" w:line="273" w:lineRule="auto"/>
        <w:rPr>
          <w:sz w:val="20"/>
          <w:szCs w:val="20"/>
          <w:color w:val="auto"/>
        </w:rPr>
      </w:pPr>
      <w:r>
        <w:rPr>
          <w:rFonts w:ascii="Arial" w:cs="Arial" w:eastAsia="Arial" w:hAnsi="Arial"/>
          <w:sz w:val="17"/>
          <w:szCs w:val="17"/>
          <w:b w:val="1"/>
          <w:bCs w:val="1"/>
          <w:color w:val="auto"/>
        </w:rPr>
        <w:t>Basis of Presentation and Preparation</w:t>
      </w:r>
      <w:r>
        <w:rPr>
          <w:rFonts w:ascii="Arial" w:cs="Arial" w:eastAsia="Arial" w:hAnsi="Arial"/>
          <w:sz w:val="17"/>
          <w:szCs w:val="17"/>
          <w:color w:val="auto"/>
        </w:rPr>
        <w:t>—The condensed consolidated financial statements include the accounts of Fortinet and its wholly owned</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subsidiaries (collectively, the “Company,” “we,” “us,” or “our”). All intercompany transactions and balances have been eliminated in consolidation. The accompanying condensed consolidated balance sheet as of March 31, 2011, the condensed consolidated statements of operations for the three months ended March 31, 2011 and March 31, 2010, and the condensed consolidated statements of cash flows for the three months ended March 31, 2011 and March 31, 2010 are unaudited. The condensed consolidated balance sheet data as of December 31, 2010 was derived from the audited consolidated financial statements which are included in our Annual Report on Form 10-K (“Form 10-K”). The accompanying statements should be read in conjunction with the audited consolidated financial statements and related notes contained in our Form 10-K.</w:t>
      </w:r>
    </w:p>
    <w:p>
      <w:pPr>
        <w:spacing w:after="0" w:line="176"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color w:val="auto"/>
        </w:rPr>
        <w:t>The accompanying unaudited interim condensed consolidated financial statements for the three months ended March 31, 2011 and March 31, 2010 have been prepared on the same basis as the audited consolidated statements and reflect all adjustments, consisting of normal recurring adjustments which are, in the opinion of management, necessary for a fair presentation of our financial position, results of operations, and cash flows for the interim period presented. The statements have been prepared in accordance with accounting principles generally accepted in the United States of America (“U.S. GAAP” or “GAAP”) pursuant to the rules and regulations of the Securities and Exchange Commission (“SEC”). Accordingly, certain information and footnote disclosures normally included in financial statements prepared in accordance with U.S. GAAP have been condensed or omitted pursuant to such rules and regulations. The results of operations for the three months ended March 31, 2011 are not necessarily indicative of the operating results for any subsequent quarter, for the full year or any future periods.</w:t>
      </w:r>
    </w:p>
    <w:p>
      <w:pPr>
        <w:spacing w:after="0" w:line="175" w:lineRule="exact"/>
        <w:rPr>
          <w:sz w:val="20"/>
          <w:szCs w:val="20"/>
          <w:color w:val="auto"/>
        </w:rPr>
      </w:pPr>
    </w:p>
    <w:p>
      <w:pPr>
        <w:ind w:right="60" w:firstLine="486"/>
        <w:spacing w:after="0" w:line="274" w:lineRule="auto"/>
        <w:rPr>
          <w:sz w:val="20"/>
          <w:szCs w:val="20"/>
          <w:color w:val="auto"/>
        </w:rPr>
      </w:pPr>
      <w:r>
        <w:rPr>
          <w:rFonts w:ascii="Arial" w:cs="Arial" w:eastAsia="Arial" w:hAnsi="Arial"/>
          <w:sz w:val="17"/>
          <w:szCs w:val="17"/>
          <w:b w:val="1"/>
          <w:bCs w:val="1"/>
          <w:color w:val="auto"/>
        </w:rPr>
        <w:t>Use of Estimates</w:t>
      </w:r>
      <w:r>
        <w:rPr>
          <w:rFonts w:ascii="Arial" w:cs="Arial" w:eastAsia="Arial" w:hAnsi="Arial"/>
          <w:sz w:val="17"/>
          <w:szCs w:val="17"/>
          <w:color w:val="auto"/>
        </w:rPr>
        <w:t>—The preparation of condensed consolidated financial statements in conformity with U.S. GAAP requires management to make</w:t>
      </w:r>
      <w:r>
        <w:rPr>
          <w:rFonts w:ascii="Arial" w:cs="Arial" w:eastAsia="Arial" w:hAnsi="Arial"/>
          <w:sz w:val="17"/>
          <w:szCs w:val="17"/>
          <w:b w:val="1"/>
          <w:bCs w:val="1"/>
          <w:color w:val="auto"/>
        </w:rPr>
        <w:t xml:space="preserve"> </w:t>
      </w:r>
      <w:r>
        <w:rPr>
          <w:rFonts w:ascii="Arial" w:cs="Arial" w:eastAsia="Arial" w:hAnsi="Arial"/>
          <w:sz w:val="17"/>
          <w:szCs w:val="17"/>
          <w:color w:val="auto"/>
        </w:rPr>
        <w:t>estimates and assumptions that affect the reported amounts of assets and liabilities at the date of the condensed consolidated financial statements and the reported amounts of revenues and expenses during the reporting period. Such management estimates include implicit service periods for revenue recognition, litigation and settlement costs and other loss contingencies, sales returns and allowances, reserve for bad debt, inventory write-offs, reserve for warranty costs, stock-based compensation, valuation of deferred tax assets, and tangible and intangible assets. We base our estimates on historical experience and also on assumptions that we believe are reasonable. Actual results could differ from those estimates.</w:t>
      </w:r>
    </w:p>
    <w:p>
      <w:pPr>
        <w:spacing w:after="0" w:line="174"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b w:val="1"/>
          <w:bCs w:val="1"/>
          <w:color w:val="auto"/>
        </w:rPr>
        <w:t>Certain Significant Risks and Uncertainties</w:t>
      </w:r>
      <w:r>
        <w:rPr>
          <w:rFonts w:ascii="Arial" w:cs="Arial" w:eastAsia="Arial" w:hAnsi="Arial"/>
          <w:sz w:val="18"/>
          <w:szCs w:val="18"/>
          <w:color w:val="auto"/>
        </w:rPr>
        <w:t>—We are subject to certain risks and uncertainties that could have a material adverse effect on our future</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position or results of operations, such as the following: changes in level of demand for our products and services, seasonality, the timing of new product introductions, price and sales competition and our ability to adapt to changing market conditions and dynamics, changes in the expenses caused, for example, by fluctuations in foreign currency exchange rates, management of inventory, internal control over financial reporting, market acceptance of our new products and services, demand for UTM products and services in general, failure of our channel partners to perform, the quality of our products and services, general economic conditions, challenges in doing business outside of the United States of America, changes in customer relationships, litigation, or claims against us based on intellectual property, patent, product regulatory or other factors (Note 7), product obsolescence, and our ability to attract and retain qualified employees.</w:t>
      </w:r>
    </w:p>
    <w:p>
      <w:pPr>
        <w:spacing w:after="0" w:line="189"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We rely on sole suppliers and independent contract manufacturers for certain of our components and one third-party logistics company for distribution of some of our products. The inability of any of these parties to fulfill our supply and logistics requirements could negatively impact our future operating results.</w:t>
      </w:r>
    </w:p>
    <w:p>
      <w:pPr>
        <w:spacing w:after="0" w:line="177" w:lineRule="exact"/>
        <w:rPr>
          <w:sz w:val="20"/>
          <w:szCs w:val="20"/>
          <w:color w:val="auto"/>
        </w:rPr>
      </w:pPr>
    </w:p>
    <w:p>
      <w:pPr>
        <w:ind w:firstLine="486"/>
        <w:spacing w:after="0" w:line="261" w:lineRule="auto"/>
        <w:rPr>
          <w:sz w:val="20"/>
          <w:szCs w:val="20"/>
          <w:color w:val="auto"/>
        </w:rPr>
      </w:pPr>
      <w:r>
        <w:rPr>
          <w:rFonts w:ascii="Arial" w:cs="Arial" w:eastAsia="Arial" w:hAnsi="Arial"/>
          <w:sz w:val="18"/>
          <w:szCs w:val="18"/>
          <w:b w:val="1"/>
          <w:bCs w:val="1"/>
          <w:color w:val="auto"/>
        </w:rPr>
        <w:t>Concentration of Credit Risk</w:t>
      </w:r>
      <w:r>
        <w:rPr>
          <w:rFonts w:ascii="Arial" w:cs="Arial" w:eastAsia="Arial" w:hAnsi="Arial"/>
          <w:sz w:val="18"/>
          <w:szCs w:val="18"/>
          <w:color w:val="auto"/>
        </w:rPr>
        <w:t>—Financial instruments that subject us to concentrations of credit risk consist primarily of cash, cash equivalents, short-term investments, and accounts receivable. We maintain our cash and cash equivalents in fixed income securities with major financial institutions, which our management assesses to be of high credit quality, in order to limit the exposure of each investment. Deposits held with banks may exceed the amount of insurance provided on such deposits.</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Credit risk with respect to accounts receivable in general is diversified due to the number of different entities comprising our customer base and their location throughout the world. We perform ongoing credit evaluations of our customers and generally do not require collateral on accounts receivable. We maintain reserves for estimated potential credit losses.</w:t>
      </w:r>
    </w:p>
    <w:p>
      <w:pPr>
        <w:spacing w:after="0" w:line="181"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During the three months ended March 31, 2011, no single customer accounted for more than 10% of total net revenue. During the three months ended March 31, 2010, one distributor customer accounted for 11% of total net revenue.</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March 31, 2011 and December 31, 2010, no single customer accounted for more than 10% of net accounts receivable.</w:t>
      </w:r>
    </w:p>
    <w:p>
      <w:pPr>
        <w:spacing w:after="0" w:line="221" w:lineRule="exact"/>
        <w:rPr>
          <w:sz w:val="20"/>
          <w:szCs w:val="20"/>
          <w:color w:val="auto"/>
        </w:rPr>
      </w:pPr>
    </w:p>
    <w:p>
      <w:pPr>
        <w:ind w:firstLine="486"/>
        <w:spacing w:after="0" w:line="314" w:lineRule="auto"/>
        <w:rPr>
          <w:sz w:val="20"/>
          <w:szCs w:val="20"/>
          <w:color w:val="auto"/>
        </w:rPr>
      </w:pPr>
      <w:r>
        <w:rPr>
          <w:rFonts w:ascii="Arial" w:cs="Arial" w:eastAsia="Arial" w:hAnsi="Arial"/>
          <w:sz w:val="16"/>
          <w:szCs w:val="16"/>
          <w:b w:val="1"/>
          <w:bCs w:val="1"/>
          <w:color w:val="auto"/>
        </w:rPr>
        <w:t>Financial Instruments and Fair Value</w:t>
      </w:r>
      <w:r>
        <w:rPr>
          <w:rFonts w:ascii="Arial" w:cs="Arial" w:eastAsia="Arial" w:hAnsi="Arial"/>
          <w:sz w:val="16"/>
          <w:szCs w:val="16"/>
          <w:color w:val="auto"/>
        </w:rPr>
        <w:t>—We apply fair value accounting for all financial assets and liabilities and non-financial assets and liabilities</w:t>
      </w:r>
      <w:r>
        <w:rPr>
          <w:rFonts w:ascii="Arial" w:cs="Arial" w:eastAsia="Arial" w:hAnsi="Arial"/>
          <w:sz w:val="16"/>
          <w:szCs w:val="16"/>
          <w:b w:val="1"/>
          <w:bCs w:val="1"/>
          <w:color w:val="auto"/>
        </w:rPr>
        <w:t xml:space="preserve"> </w:t>
      </w:r>
      <w:r>
        <w:rPr>
          <w:rFonts w:ascii="Arial" w:cs="Arial" w:eastAsia="Arial" w:hAnsi="Arial"/>
          <w:sz w:val="16"/>
          <w:szCs w:val="16"/>
          <w:color w:val="auto"/>
        </w:rPr>
        <w:t>that are recognized or disclosed at fair value in the financial statements on a recurring basis. Due to their short-term nature, the carrying amounts reported in the consolidated financial statements approximate the fair value for accounts receivable, accounts payable, accrued compensation, and other current liabilities.</w:t>
      </w:r>
    </w:p>
    <w:p>
      <w:pPr>
        <w:spacing w:after="0" w:line="142" w:lineRule="exact"/>
        <w:rPr>
          <w:sz w:val="20"/>
          <w:szCs w:val="20"/>
          <w:color w:val="auto"/>
        </w:rPr>
      </w:pPr>
    </w:p>
    <w:p>
      <w:pPr>
        <w:ind w:right="340" w:firstLine="486"/>
        <w:spacing w:after="0" w:line="258" w:lineRule="auto"/>
        <w:rPr>
          <w:sz w:val="20"/>
          <w:szCs w:val="20"/>
          <w:color w:val="auto"/>
        </w:rPr>
      </w:pPr>
      <w:r>
        <w:rPr>
          <w:rFonts w:ascii="Arial" w:cs="Arial" w:eastAsia="Arial" w:hAnsi="Arial"/>
          <w:sz w:val="18"/>
          <w:szCs w:val="18"/>
          <w:b w:val="1"/>
          <w:bCs w:val="1"/>
          <w:color w:val="auto"/>
        </w:rPr>
        <w:t>Comprehensive Income</w:t>
      </w:r>
      <w:r>
        <w:rPr>
          <w:rFonts w:ascii="Arial" w:cs="Arial" w:eastAsia="Arial" w:hAnsi="Arial"/>
          <w:sz w:val="18"/>
          <w:szCs w:val="18"/>
          <w:color w:val="auto"/>
        </w:rPr>
        <w:t>—Financial Accounting Standards Board (FASB) Accounting Standards Codification (ASC) 220 (formerly referred to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SFAS No. 130, </w:t>
      </w:r>
      <w:r>
        <w:rPr>
          <w:rFonts w:ascii="Arial" w:cs="Arial" w:eastAsia="Arial" w:hAnsi="Arial"/>
          <w:sz w:val="18"/>
          <w:szCs w:val="18"/>
          <w:i w:val="1"/>
          <w:iCs w:val="1"/>
          <w:color w:val="auto"/>
        </w:rPr>
        <w:t>Reporting Comprehensive Income</w:t>
      </w:r>
      <w:r>
        <w:rPr>
          <w:rFonts w:ascii="Arial" w:cs="Arial" w:eastAsia="Arial" w:hAnsi="Arial"/>
          <w:sz w:val="18"/>
          <w:szCs w:val="18"/>
          <w:color w:val="auto"/>
        </w:rPr>
        <w:t>) establishes standards for the reporting and displaying of comprehensive income and its components. Comprehensive income includes certain changes in equity from non-owner sources that are excluded from net income. Specifically, cumulative foreign currency translation adjustments and unrealized gains and losses on available-for-sale investments are included in comprehensive income in stockholders' equity.</w:t>
      </w:r>
    </w:p>
    <w:p>
      <w:pPr>
        <w:spacing w:after="0" w:line="184" w:lineRule="exact"/>
        <w:rPr>
          <w:sz w:val="20"/>
          <w:szCs w:val="20"/>
          <w:color w:val="auto"/>
        </w:rPr>
      </w:pPr>
    </w:p>
    <w:p>
      <w:pPr>
        <w:ind w:right="80" w:firstLine="486"/>
        <w:spacing w:after="0" w:line="261" w:lineRule="auto"/>
        <w:rPr>
          <w:sz w:val="20"/>
          <w:szCs w:val="20"/>
          <w:color w:val="auto"/>
        </w:rPr>
      </w:pPr>
      <w:r>
        <w:rPr>
          <w:rFonts w:ascii="Arial" w:cs="Arial" w:eastAsia="Arial" w:hAnsi="Arial"/>
          <w:sz w:val="18"/>
          <w:szCs w:val="18"/>
          <w:b w:val="1"/>
          <w:bCs w:val="1"/>
          <w:color w:val="auto"/>
        </w:rPr>
        <w:t>Foreign Currency Translation</w:t>
      </w:r>
      <w:r>
        <w:rPr>
          <w:rFonts w:ascii="Arial" w:cs="Arial" w:eastAsia="Arial" w:hAnsi="Arial"/>
          <w:sz w:val="18"/>
          <w:szCs w:val="18"/>
          <w:color w:val="auto"/>
        </w:rPr>
        <w:t>—Assets and liabilities of foreign subsidiaries are translated into U.S. dollars using the exchange rates in effect at the</w:t>
      </w:r>
      <w:r>
        <w:rPr>
          <w:rFonts w:ascii="Arial" w:cs="Arial" w:eastAsia="Arial" w:hAnsi="Arial"/>
          <w:sz w:val="18"/>
          <w:szCs w:val="18"/>
          <w:b w:val="1"/>
          <w:bCs w:val="1"/>
          <w:color w:val="auto"/>
        </w:rPr>
        <w:t xml:space="preserve"> </w:t>
      </w:r>
      <w:r>
        <w:rPr>
          <w:rFonts w:ascii="Arial" w:cs="Arial" w:eastAsia="Arial" w:hAnsi="Arial"/>
          <w:sz w:val="18"/>
          <w:szCs w:val="18"/>
          <w:color w:val="auto"/>
        </w:rPr>
        <w:t>balance sheet dates and revenue and expenses are translated using average exchange rates during the period. The resulting foreign translation adjustments are recorded in accumulated other comprehensive income. Foreign currency transaction losses of $0.1 million and $0.3 million, are included in other income (expense), net for the three months ended March 31, 2011 and March 31, 2010, respectively.</w:t>
      </w:r>
    </w:p>
    <w:p>
      <w:pPr>
        <w:spacing w:after="0" w:line="180" w:lineRule="exact"/>
        <w:rPr>
          <w:sz w:val="20"/>
          <w:szCs w:val="20"/>
          <w:color w:val="auto"/>
        </w:rPr>
      </w:pPr>
    </w:p>
    <w:p>
      <w:pPr>
        <w:ind w:right="160" w:firstLine="486"/>
        <w:spacing w:after="0" w:line="289" w:lineRule="auto"/>
        <w:rPr>
          <w:sz w:val="20"/>
          <w:szCs w:val="20"/>
          <w:color w:val="auto"/>
        </w:rPr>
      </w:pPr>
      <w:r>
        <w:rPr>
          <w:rFonts w:ascii="Arial" w:cs="Arial" w:eastAsia="Arial" w:hAnsi="Arial"/>
          <w:sz w:val="17"/>
          <w:szCs w:val="17"/>
          <w:b w:val="1"/>
          <w:bCs w:val="1"/>
          <w:color w:val="auto"/>
        </w:rPr>
        <w:t>Cash, Cash Equivalents and Investments</w:t>
      </w:r>
      <w:r>
        <w:rPr>
          <w:rFonts w:ascii="Arial" w:cs="Arial" w:eastAsia="Arial" w:hAnsi="Arial"/>
          <w:sz w:val="17"/>
          <w:szCs w:val="17"/>
          <w:color w:val="auto"/>
        </w:rPr>
        <w:t>—We consider all highly liquid investments, purchased with original maturities of three months or less, to</w:t>
      </w:r>
      <w:r>
        <w:rPr>
          <w:rFonts w:ascii="Arial" w:cs="Arial" w:eastAsia="Arial" w:hAnsi="Arial"/>
          <w:sz w:val="17"/>
          <w:szCs w:val="17"/>
          <w:b w:val="1"/>
          <w:bCs w:val="1"/>
          <w:color w:val="auto"/>
        </w:rPr>
        <w:t xml:space="preserve"> </w:t>
      </w:r>
      <w:r>
        <w:rPr>
          <w:rFonts w:ascii="Arial" w:cs="Arial" w:eastAsia="Arial" w:hAnsi="Arial"/>
          <w:sz w:val="17"/>
          <w:szCs w:val="17"/>
          <w:color w:val="auto"/>
        </w:rPr>
        <w:t>be cash equivalents. Cash and cash equivalents consist of cash on-hand, balances with banks, and highly liquid investments in money market funds, commercial paper, government securities, certificates of deposit, municipal bonds and corporate debt securities.</w:t>
      </w:r>
    </w:p>
    <w:p>
      <w:pPr>
        <w:spacing w:after="0" w:line="162"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We classify our investments as available-for-sale at the time of purchase since it is our intent that these investments are available for current operations, and include these investments on our balance sheet as either short-term or long-term investments depending on their maturity at the time of purchase. Investments with original maturities greater than three months that mature less than one year from the consolidated balance sheet date are classified as short-term investments. Investments with maturities greater than one year from the consolidated balance sheet date are classified as long-term investments.</w:t>
      </w:r>
    </w:p>
    <w:p>
      <w:pPr>
        <w:spacing w:after="0" w:line="15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Investments are considered to be impaired when a decline in fair value is judged to be other-than-temporary. We consult with our investment managers and consider available quantitative and qualitative evidence in evaluating potential impairment of our investments on a quarterly basis. If the cost of an individual investment exceeds its fair value, we evaluate, among other factors, general market conditions, the duration and extent to which the fair value is less than cost, and our intent and ability to hold the investment. Once a decline in fair value is determined to be other-than-temporary, an impairment charge is recorded and a new cost basis in the investment is established.</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For debt securities in an unrealized loss position which are deemed to be other-than-temporary, the difference between the security's then-current amortized cost basis and fair value is separated into (i) the amount of the impairment related to the credit loss (i.e., the credit loss component) and (ii) the amount of the impairment related to all other factors (i.e., the non-credit loss component). The credit loss component is recognized in earnings. The non-credit loss component is recognized in accumulated other comprehensive loss.</w:t>
      </w:r>
    </w:p>
    <w:p>
      <w:pPr>
        <w:spacing w:after="0" w:line="183" w:lineRule="exact"/>
        <w:rPr>
          <w:sz w:val="20"/>
          <w:szCs w:val="20"/>
          <w:color w:val="auto"/>
        </w:rPr>
      </w:pPr>
    </w:p>
    <w:p>
      <w:pPr>
        <w:ind w:right="240" w:firstLine="648"/>
        <w:spacing w:after="0" w:line="258" w:lineRule="auto"/>
        <w:rPr>
          <w:sz w:val="20"/>
          <w:szCs w:val="20"/>
          <w:color w:val="auto"/>
        </w:rPr>
      </w:pPr>
      <w:r>
        <w:rPr>
          <w:rFonts w:ascii="Arial" w:cs="Arial" w:eastAsia="Arial" w:hAnsi="Arial"/>
          <w:sz w:val="18"/>
          <w:szCs w:val="18"/>
          <w:b w:val="1"/>
          <w:bCs w:val="1"/>
          <w:color w:val="auto"/>
        </w:rPr>
        <w:t>Inventory</w:t>
      </w:r>
      <w:r>
        <w:rPr>
          <w:rFonts w:ascii="Arial" w:cs="Arial" w:eastAsia="Arial" w:hAnsi="Arial"/>
          <w:sz w:val="18"/>
          <w:szCs w:val="18"/>
          <w:color w:val="auto"/>
        </w:rPr>
        <w:t>—Inventory is recorded at the lower of cost (using the first-in, first-out method) or market, after we give appropriate consideration to</w:t>
      </w:r>
      <w:r>
        <w:rPr>
          <w:rFonts w:ascii="Arial" w:cs="Arial" w:eastAsia="Arial" w:hAnsi="Arial"/>
          <w:sz w:val="18"/>
          <w:szCs w:val="18"/>
          <w:b w:val="1"/>
          <w:bCs w:val="1"/>
          <w:color w:val="auto"/>
        </w:rPr>
        <w:t xml:space="preserve"> </w:t>
      </w:r>
      <w:r>
        <w:rPr>
          <w:rFonts w:ascii="Arial" w:cs="Arial" w:eastAsia="Arial" w:hAnsi="Arial"/>
          <w:sz w:val="18"/>
          <w:szCs w:val="18"/>
          <w:color w:val="auto"/>
        </w:rPr>
        <w:t>obsolescence and inventory in excess of anticipated future demand. In assessing the ultimate recoverability of inventory, we are required to make estimates regarding future customer demand, the timing of new product introductions, economic trends and market conditions. If the actual product demand is significantly lower than forecasted, we could be required to record additional inventory write-downs, which could have an adverse impact on our gross margins and profitability.</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right="40" w:firstLine="486"/>
        <w:spacing w:after="0" w:line="261" w:lineRule="auto"/>
        <w:rPr>
          <w:sz w:val="20"/>
          <w:szCs w:val="20"/>
          <w:color w:val="auto"/>
        </w:rPr>
      </w:pPr>
      <w:r>
        <w:rPr>
          <w:rFonts w:ascii="Arial" w:cs="Arial" w:eastAsia="Arial" w:hAnsi="Arial"/>
          <w:sz w:val="18"/>
          <w:szCs w:val="18"/>
          <w:b w:val="1"/>
          <w:bCs w:val="1"/>
          <w:color w:val="auto"/>
        </w:rPr>
        <w:t>Deferred Cost of Revenues</w:t>
      </w:r>
      <w:r>
        <w:rPr>
          <w:rFonts w:ascii="Arial" w:cs="Arial" w:eastAsia="Arial" w:hAnsi="Arial"/>
          <w:sz w:val="18"/>
          <w:szCs w:val="18"/>
          <w:color w:val="auto"/>
        </w:rPr>
        <w:t>—Deferred cost of revenues represent the unamortized cost of products associated with ratable products and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which is based upon the actual cost of the hardware sold and is recognized over the service periods of the arrangements. Deferred cost of revenue associated with short-term deferred revenue is classified as short-term and deferred cost of revenue associated with long-term deferred revenue is classified as long-term.</w:t>
      </w:r>
    </w:p>
    <w:p>
      <w:pPr>
        <w:spacing w:after="0" w:line="180" w:lineRule="exact"/>
        <w:rPr>
          <w:sz w:val="20"/>
          <w:szCs w:val="20"/>
          <w:color w:val="auto"/>
        </w:rPr>
      </w:pPr>
    </w:p>
    <w:p>
      <w:pPr>
        <w:ind w:right="40" w:firstLine="486"/>
        <w:spacing w:after="0" w:line="314" w:lineRule="auto"/>
        <w:rPr>
          <w:sz w:val="20"/>
          <w:szCs w:val="20"/>
          <w:color w:val="auto"/>
        </w:rPr>
      </w:pPr>
      <w:r>
        <w:rPr>
          <w:rFonts w:ascii="Arial" w:cs="Arial" w:eastAsia="Arial" w:hAnsi="Arial"/>
          <w:sz w:val="16"/>
          <w:szCs w:val="16"/>
          <w:b w:val="1"/>
          <w:bCs w:val="1"/>
          <w:color w:val="auto"/>
        </w:rPr>
        <w:t>Property and Equipment</w:t>
      </w:r>
      <w:r>
        <w:rPr>
          <w:rFonts w:ascii="Arial" w:cs="Arial" w:eastAsia="Arial" w:hAnsi="Arial"/>
          <w:sz w:val="16"/>
          <w:szCs w:val="16"/>
          <w:color w:val="auto"/>
        </w:rPr>
        <w:t>—Property and equipment are stated at cost. Depreciation is computed using the straight-line method over the estimated</w:t>
      </w:r>
      <w:r>
        <w:rPr>
          <w:rFonts w:ascii="Arial" w:cs="Arial" w:eastAsia="Arial" w:hAnsi="Arial"/>
          <w:sz w:val="16"/>
          <w:szCs w:val="16"/>
          <w:b w:val="1"/>
          <w:bCs w:val="1"/>
          <w:color w:val="auto"/>
        </w:rPr>
        <w:t xml:space="preserve"> </w:t>
      </w:r>
      <w:r>
        <w:rPr>
          <w:rFonts w:ascii="Arial" w:cs="Arial" w:eastAsia="Arial" w:hAnsi="Arial"/>
          <w:sz w:val="16"/>
          <w:szCs w:val="16"/>
          <w:color w:val="auto"/>
        </w:rPr>
        <w:t>useful lives of the assets, generally one to three years. Evaluation units are transferred from inventory at cost and are amortized over one year from the date of transfer. Leasehold improvements are amortized over the shorter of the estimated useful lives of the improvements or the lease term.</w:t>
      </w:r>
    </w:p>
    <w:p>
      <w:pPr>
        <w:spacing w:after="0" w:line="142"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b w:val="1"/>
          <w:bCs w:val="1"/>
          <w:color w:val="auto"/>
        </w:rPr>
        <w:t>Impairment of Long-Lived Assets</w:t>
      </w:r>
      <w:r>
        <w:rPr>
          <w:rFonts w:ascii="Arial" w:cs="Arial" w:eastAsia="Arial" w:hAnsi="Arial"/>
          <w:sz w:val="18"/>
          <w:szCs w:val="18"/>
          <w:color w:val="auto"/>
        </w:rPr>
        <w:t>—We evaluate events and changes in circumstances that could indicate carrying amounts of long-lived assets,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intangible assets, may not be recoverable. When such events or changes in circumstances occur, we assess the recoverability of long-lived assets by determining whether the carrying value of such assets will be recovered through undiscounted expected future cash flows. If the total of the future undiscounted cash flows is less than the carrying amount of those assets, we record an impairment charge in the period in which we make the determination. If such assets are considered to be impaired, the impairment to be recognized is measured by the amount by which the carrying amount of the assets exceeds the fair value of the assets.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Deferred Revenue</w:t>
      </w:r>
      <w:r>
        <w:rPr>
          <w:rFonts w:ascii="Arial" w:cs="Arial" w:eastAsia="Arial" w:hAnsi="Arial"/>
          <w:sz w:val="18"/>
          <w:szCs w:val="18"/>
          <w:color w:val="auto"/>
        </w:rPr>
        <w:t>—Deferred revenue consists of amounts that have been invoiced but that have not yet been recognized as revenue.</w:t>
      </w:r>
    </w:p>
    <w:p>
      <w:pPr>
        <w:spacing w:after="0" w:line="225"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b w:val="1"/>
          <w:bCs w:val="1"/>
          <w:color w:val="auto"/>
        </w:rPr>
        <w:t>Income Taxes</w:t>
      </w:r>
      <w:r>
        <w:rPr>
          <w:rFonts w:ascii="Arial" w:cs="Arial" w:eastAsia="Arial" w:hAnsi="Arial"/>
          <w:sz w:val="18"/>
          <w:szCs w:val="18"/>
          <w:color w:val="auto"/>
        </w:rPr>
        <w:t>—We record income taxes using the asset and liability method, which requires the recognition of deferred tax assets and liabilities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expected future tax consequences of events that have been recognized in our financial statements or tax returns. In estimating future tax consequences, generally all expected future events other than enactments or changes in the tax law or rates are considered. We assess the likelihood that some portion or all of our deferred tax assets will be recovered from future taxable income within the respective jurisdictions, and to the extent we believe that recovery does not meet the “more-likely-than-not” standard, based solely on its technical merits as of the reporting date, we establish a valuation allowance. We consider many factors when evaluating and estimating our tax positions and tax benefits, which may require periodic adjustments and which may not accurately anticipate actual outcomes.</w:t>
      </w:r>
    </w:p>
    <w:p>
      <w:pPr>
        <w:spacing w:after="0" w:line="193"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operate in various tax jurisdictions and are subject to audit by various tax authorities. We provide for tax contingencies whenever it is deemed more likely than not that a tax asset has been impaired or a tax liability has been incurred for events such as tax claims or changes in tax laws. Tax contingencies are based upon their technical merits, relevant tax law and the specific facts and circumstances as of each reporting period. Changes in facts and circumstances could result in material changes to the amounts recorded for such tax contingencies.</w:t>
      </w:r>
    </w:p>
    <w:p>
      <w:pPr>
        <w:spacing w:after="0" w:line="183" w:lineRule="exact"/>
        <w:rPr>
          <w:sz w:val="20"/>
          <w:szCs w:val="20"/>
          <w:color w:val="auto"/>
        </w:rPr>
      </w:pPr>
    </w:p>
    <w:p>
      <w:pPr>
        <w:jc w:val="both"/>
        <w:ind w:right="100" w:firstLine="486"/>
        <w:spacing w:after="0" w:line="314" w:lineRule="auto"/>
        <w:rPr>
          <w:sz w:val="20"/>
          <w:szCs w:val="20"/>
          <w:color w:val="auto"/>
        </w:rPr>
      </w:pPr>
      <w:r>
        <w:rPr>
          <w:rFonts w:ascii="Arial" w:cs="Arial" w:eastAsia="Arial" w:hAnsi="Arial"/>
          <w:sz w:val="16"/>
          <w:szCs w:val="16"/>
          <w:b w:val="1"/>
          <w:bCs w:val="1"/>
          <w:color w:val="auto"/>
        </w:rPr>
        <w:t>Stock-Based Compensation</w:t>
      </w:r>
      <w:r>
        <w:rPr>
          <w:rFonts w:ascii="Arial" w:cs="Arial" w:eastAsia="Arial" w:hAnsi="Arial"/>
          <w:sz w:val="16"/>
          <w:szCs w:val="16"/>
          <w:color w:val="auto"/>
        </w:rPr>
        <w:t>—We apply ASC 718 (formerly referred to as SFAS No. 123R) to our stock option grants, which requires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expense related to share-based transactions, including employee stock options, to be measured and recognized in the financial statements based on fair value. Under ASC 718, the fair value of each option award is estimated on the grant date using the Black-Scholes option pricing model.</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Research and Development Costs</w:t>
      </w:r>
      <w:r>
        <w:rPr>
          <w:rFonts w:ascii="Arial" w:cs="Arial" w:eastAsia="Arial" w:hAnsi="Arial"/>
          <w:sz w:val="18"/>
          <w:szCs w:val="18"/>
          <w:color w:val="auto"/>
        </w:rPr>
        <w:t>—Research and development costs are expensed as incurred.</w:t>
      </w:r>
    </w:p>
    <w:p>
      <w:pPr>
        <w:spacing w:after="0" w:line="225" w:lineRule="exact"/>
        <w:rPr>
          <w:sz w:val="20"/>
          <w:szCs w:val="20"/>
          <w:color w:val="auto"/>
        </w:rPr>
      </w:pPr>
    </w:p>
    <w:p>
      <w:pPr>
        <w:ind w:right="280" w:firstLine="486"/>
        <w:spacing w:after="0" w:line="282" w:lineRule="auto"/>
        <w:rPr>
          <w:sz w:val="20"/>
          <w:szCs w:val="20"/>
          <w:color w:val="auto"/>
        </w:rPr>
      </w:pPr>
      <w:r>
        <w:rPr>
          <w:rFonts w:ascii="Arial" w:cs="Arial" w:eastAsia="Arial" w:hAnsi="Arial"/>
          <w:sz w:val="18"/>
          <w:szCs w:val="18"/>
          <w:b w:val="1"/>
          <w:bCs w:val="1"/>
          <w:color w:val="auto"/>
        </w:rPr>
        <w:t>Software Development Costs</w:t>
      </w:r>
      <w:r>
        <w:rPr>
          <w:rFonts w:ascii="Arial" w:cs="Arial" w:eastAsia="Arial" w:hAnsi="Arial"/>
          <w:sz w:val="18"/>
          <w:szCs w:val="18"/>
          <w:color w:val="auto"/>
        </w:rPr>
        <w:t>—The costs to develop software have not been capitalized as we believe our current software development process is</w:t>
      </w:r>
      <w:r>
        <w:rPr>
          <w:rFonts w:ascii="Arial" w:cs="Arial" w:eastAsia="Arial" w:hAnsi="Arial"/>
          <w:sz w:val="18"/>
          <w:szCs w:val="18"/>
          <w:b w:val="1"/>
          <w:bCs w:val="1"/>
          <w:color w:val="auto"/>
        </w:rPr>
        <w:t xml:space="preserve"> </w:t>
      </w:r>
      <w:r>
        <w:rPr>
          <w:rFonts w:ascii="Arial" w:cs="Arial" w:eastAsia="Arial" w:hAnsi="Arial"/>
          <w:sz w:val="18"/>
          <w:szCs w:val="18"/>
          <w:color w:val="auto"/>
        </w:rPr>
        <w:t>essentially completed concurrent with the establishment of technological feasibility.</w:t>
      </w:r>
    </w:p>
    <w:p>
      <w:pPr>
        <w:spacing w:after="0" w:line="162" w:lineRule="exact"/>
        <w:rPr>
          <w:sz w:val="20"/>
          <w:szCs w:val="20"/>
          <w:color w:val="auto"/>
        </w:rPr>
      </w:pPr>
    </w:p>
    <w:p>
      <w:pPr>
        <w:ind w:right="220" w:firstLine="486"/>
        <w:spacing w:after="0" w:line="254" w:lineRule="auto"/>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—In October 2009, the FASB amended the ASC as summarized in Accounting Standards Update ("ASU") No. 2009-14,</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Software (Topic 985): Certain Revenue Arrangements That Include Software Elements</w:t>
      </w:r>
      <w:r>
        <w:rPr>
          <w:rFonts w:ascii="Arial" w:cs="Arial" w:eastAsia="Arial" w:hAnsi="Arial"/>
          <w:sz w:val="18"/>
          <w:szCs w:val="18"/>
          <w:color w:val="auto"/>
        </w:rPr>
        <w:t>, and ASU No. 2009-13,</w:t>
      </w:r>
      <w:r>
        <w:rPr>
          <w:rFonts w:ascii="Arial" w:cs="Arial" w:eastAsia="Arial" w:hAnsi="Arial"/>
          <w:sz w:val="18"/>
          <w:szCs w:val="18"/>
          <w:i w:val="1"/>
          <w:iCs w:val="1"/>
          <w:color w:val="auto"/>
        </w:rPr>
        <w:t xml:space="preserve"> Revenue Recognition (Topic 605): Multiple-Deliverable Revenue Arrangements</w:t>
      </w:r>
      <w:r>
        <w:rPr>
          <w:rFonts w:ascii="Arial" w:cs="Arial" w:eastAsia="Arial" w:hAnsi="Arial"/>
          <w:sz w:val="18"/>
          <w:szCs w:val="18"/>
          <w:color w:val="auto"/>
        </w:rPr>
        <w:t>. ASU 2009-14 amends industry specific revenue accounting guidance for software and software related transactions to</w:t>
      </w:r>
      <w:r>
        <w:rPr>
          <w:rFonts w:ascii="Arial" w:cs="Arial" w:eastAsia="Arial" w:hAnsi="Arial"/>
          <w:sz w:val="18"/>
          <w:szCs w:val="18"/>
          <w:i w:val="1"/>
          <w:iCs w:val="1"/>
          <w:color w:val="auto"/>
        </w:rPr>
        <w:t xml:space="preserve"> </w:t>
      </w:r>
      <w:r>
        <w:rPr>
          <w:rFonts w:ascii="Arial" w:cs="Arial" w:eastAsia="Arial" w:hAnsi="Arial"/>
          <w:sz w:val="18"/>
          <w:szCs w:val="18"/>
          <w:color w:val="auto"/>
        </w:rPr>
        <w:t>exclude from its scope tangible products containing software components and non-software components that function together to deliver the product's essential functionality. ASU 2009-13 amends the accounting for multiple-element arrangements to provide guidance on how the deliverables in an arrangement should be separated and eliminates the use of the residual method. ASU 2009-13 also requires an entity to allocate revenue using the relative selling price method. The standard establishes a hierarchy of evidence to determine the stand-alone selling price of a deliverable based on vendor-specific objective evidence ("VSOE"), third-party evidence ("TPE"), and the best estimate of selling price ("BESP"). If VSOE is available, it would be used to determine the</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selling price of a deliverable. If VSOE is not available, the entity would determine whether TPE is available. If so, TPE must be used to determine the selling price. If TPE is not available, then the BESP would be used.</w:t>
      </w:r>
    </w:p>
    <w:p>
      <w:pPr>
        <w:spacing w:after="0" w:line="170"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Effective January 1, 2011, the Company adopted the provisions of ASU 2009-13 and ASU 2009-14 for new and materially modified arrangements originating after December 31, 2010. The adoption of ASU 2009-13 and ASU 2009-14, increased revenues $3.3 million for the quarter ended March 31, 2011. The increase in revenue was due to recognition of revenue on products sold, which were recognized ratably under the previous accounting standards, and due to the change in the Company's allocation methodology for multiple element arrangements from the residual method to the relative selling price method as prescribed by the new revenue standards. The Company expects the adoption of ASU 2009-13 and ASU 2009-14 to have an impact on future periods; however, the Company cannot reasonably estimate the effect of adopting these standards on future financial periods as the impact will vary depending on the nature and volume of new or materially modified arrangements in any given period.</w:t>
      </w:r>
    </w:p>
    <w:p>
      <w:pPr>
        <w:spacing w:after="0" w:line="178"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This guidance does not generally change the units of accounting for our revenue transactions. Most non-software products and services qualify as separate units of accounting because they have value to the customer on a standalone basis and our revenue arrangements generally do not include a right of return relative to delivered products.</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majority of our products are hardware appliances containing software components that function together to provide the essential functionality of the product, therefore, our hardware appliances are considered non-software deliverables and are no longer in scope of ASC 985-605 (formerly SOP 97-2, Software Revenue Recognition).</w:t>
      </w:r>
    </w:p>
    <w:p>
      <w:pPr>
        <w:spacing w:after="0" w:line="181"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Our product revenue also includes software products that may operate on the hardware appliances, but are not considered essential to the functionality of the hardware and continue to be subject to the guidance at ASC 985-605, which remains unchanged. This includes the use of the residual method for multiple element arrangements. Certain of our software, when sold with our appliances, is considered essential to its functionality and as a result is no longer accounted for under ASC 985-605; however, this same software if sold separately is accounted for under the guidance at ASC 985-605.</w:t>
      </w:r>
    </w:p>
    <w:p>
      <w:pPr>
        <w:spacing w:after="0" w:line="154"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For all transactions originating or materially modified after December 31, 2010, we recognize revenue in accordance with ASU 2009-13. Certain arrangements with multiple deliverables may continue to have software deliverables that are subject to ASC 985-605 along with non-software deliverables that are subject to the ASU 2009-13. When a sales arrangement contains multiple elements, such as hardware appliances, software, customer support services, and or professional services, we allocate revenue to each element based on the aforementioned selling price hierarchy. In multiple element arrangements where software is more-than-incidental, revenue is allocated to each separate unit of accounting for each of the non-software deliverables and to the software deliverables as a group using the relative selling prices of each of the deliverables in the arrangement based on the selling price hierarchy in ASU 2009-13.</w:t>
      </w:r>
    </w:p>
    <w:p>
      <w:pPr>
        <w:spacing w:after="0" w:line="165" w:lineRule="exact"/>
        <w:rPr>
          <w:sz w:val="20"/>
          <w:szCs w:val="20"/>
          <w:color w:val="auto"/>
        </w:rPr>
      </w:pPr>
    </w:p>
    <w:p>
      <w:pPr>
        <w:ind w:right="460" w:firstLine="648"/>
        <w:spacing w:after="0" w:line="279" w:lineRule="auto"/>
        <w:rPr>
          <w:sz w:val="20"/>
          <w:szCs w:val="20"/>
          <w:color w:val="auto"/>
        </w:rPr>
      </w:pPr>
      <w:r>
        <w:rPr>
          <w:rFonts w:ascii="Arial" w:cs="Arial" w:eastAsia="Arial" w:hAnsi="Arial"/>
          <w:sz w:val="17"/>
          <w:szCs w:val="17"/>
          <w:color w:val="auto"/>
        </w:rPr>
        <w:t>VSOE of fair value for elements of an arrangement is based upon the normal pricing and discounting practices for those services when sold separately. In determining VSOE, we require that a substantial majority of the selling prices for a service fall within a reasonably narrow pricing range, generally evidenced by a substantial majority of such historical stand-alone transactions falling within a reasonably narrow range of the median rates. In addition, we consider major segments, geographies, customer classifications, and other variables in determining VSOE.</w:t>
      </w:r>
    </w:p>
    <w:p>
      <w:pPr>
        <w:spacing w:after="0" w:line="17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are typically not able to determine TPE for our products or services. TPE is determined based on competitor prices for similar deliverables when sold separately. Generally, our go-to-market strategy differs from that of our peers and our offerings contain a significant level of differentiation such that the comparable pricing of products with similar functionality cannot be obtained. Furthermore, we are unable to reliably determine what similar competitor products' selling prices are on a stand-alone basis</w:t>
      </w:r>
    </w:p>
    <w:p>
      <w:pPr>
        <w:spacing w:after="0" w:line="187" w:lineRule="exact"/>
        <w:rPr>
          <w:sz w:val="20"/>
          <w:szCs w:val="20"/>
          <w:color w:val="auto"/>
        </w:rPr>
      </w:pPr>
    </w:p>
    <w:p>
      <w:pPr>
        <w:jc w:val="both"/>
        <w:ind w:right="120" w:firstLine="648"/>
        <w:spacing w:after="0" w:line="288" w:lineRule="auto"/>
        <w:rPr>
          <w:sz w:val="20"/>
          <w:szCs w:val="20"/>
          <w:color w:val="auto"/>
        </w:rPr>
      </w:pPr>
      <w:r>
        <w:rPr>
          <w:rFonts w:ascii="Arial" w:cs="Arial" w:eastAsia="Arial" w:hAnsi="Arial"/>
          <w:sz w:val="16"/>
          <w:szCs w:val="16"/>
          <w:color w:val="auto"/>
        </w:rPr>
        <w:t>For our hardware appliances we use Best Estimated Selling Price (BESP) as our selling price. For our support and services, we generally use VSOE as our selling price. When we are unable to establish a selling price using VSOE for our support and services, we use BESP in our allocation of arrangement consideration. The objective of BESP is to determine the price at which we would transact a sale if the product or service were sold on a stand-alone basis.</w:t>
      </w:r>
    </w:p>
    <w:p>
      <w:pPr>
        <w:ind w:right="20"/>
        <w:spacing w:after="0" w:line="255" w:lineRule="auto"/>
        <w:rPr>
          <w:sz w:val="20"/>
          <w:szCs w:val="20"/>
          <w:color w:val="auto"/>
        </w:rPr>
      </w:pPr>
      <w:r>
        <w:rPr>
          <w:rFonts w:ascii="Arial" w:cs="Arial" w:eastAsia="Arial" w:hAnsi="Arial"/>
          <w:sz w:val="18"/>
          <w:szCs w:val="18"/>
          <w:color w:val="auto"/>
        </w:rPr>
        <w:t>We determine BESP for a product or service by considering multiple factors including, but not limited to, cost of products, gross margin objectives, pricing practices, geographies, customer classes and distribution channels. We will review our BESP estimates on a quarterly basis to coincide with our VSOE review process.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right="20" w:firstLine="486"/>
        <w:spacing w:after="0" w:line="276" w:lineRule="auto"/>
        <w:rPr>
          <w:sz w:val="20"/>
          <w:szCs w:val="20"/>
          <w:color w:val="auto"/>
        </w:rPr>
      </w:pPr>
      <w:r>
        <w:rPr>
          <w:rFonts w:ascii="Arial" w:cs="Arial" w:eastAsia="Arial" w:hAnsi="Arial"/>
          <w:sz w:val="17"/>
          <w:szCs w:val="17"/>
          <w:color w:val="auto"/>
        </w:rPr>
        <w:t>We recognize revenue for our software sales based on software revenue recognition guidance pursuant to ASC 985-605. Under ASC 985-605, we use the residual method to recognize revenue when a product agreement includes one or more elements to be delivered and VSOE of fair value for all undelivered elements exists. If evidence of the fair value of one or more undelivered elements does not exist, all revenue is generally deferred and recognized when delivery of those elements occurs or when fair value can be established. When the undelivered element for which we do not have VSOE of fair value is support, revenue for the entire arrangement is recognized ratably over the support period.</w:t>
      </w:r>
    </w:p>
    <w:p>
      <w:pPr>
        <w:spacing w:after="0" w:line="173"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We derive revenue from sales of products, including appliances and software, and services, including subscription, support and other services. Our appliances include operating system software that is integrated into the appliance hardware and is deemed essential to its functionality. As a result, we account for revenue in accordance with ASC 985-605 and all related interpretations.</w:t>
      </w:r>
    </w:p>
    <w:p>
      <w:pPr>
        <w:spacing w:after="0" w:line="14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Revenue is recognized when all of the following criteria have been met:</w:t>
      </w:r>
    </w:p>
    <w:p>
      <w:pPr>
        <w:spacing w:after="0" w:line="225" w:lineRule="exact"/>
        <w:rPr>
          <w:sz w:val="20"/>
          <w:szCs w:val="20"/>
          <w:color w:val="auto"/>
        </w:rPr>
      </w:pPr>
    </w:p>
    <w:p>
      <w:pPr>
        <w:ind w:left="820" w:right="900" w:hanging="326"/>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Persuasive evidence of an arrangement exists. Binding contracts or purchase orders are generally used to determine the existence of an arrangement.</w:t>
      </w:r>
    </w:p>
    <w:p>
      <w:pPr>
        <w:spacing w:after="0" w:line="170" w:lineRule="exact"/>
        <w:rPr>
          <w:rFonts w:ascii="Arial" w:cs="Arial" w:eastAsia="Arial" w:hAnsi="Arial"/>
          <w:sz w:val="18"/>
          <w:szCs w:val="18"/>
          <w:color w:val="auto"/>
        </w:rPr>
      </w:pPr>
    </w:p>
    <w:p>
      <w:pPr>
        <w:ind w:left="820" w:right="480" w:hanging="326"/>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Delivery has occurred. Delivery occurs when we fulfill an order and title and risk of loss has been transferred or upon delivery of the service contract registration code.</w:t>
      </w:r>
    </w:p>
    <w:p>
      <w:pPr>
        <w:spacing w:after="0" w:line="170" w:lineRule="exact"/>
        <w:rPr>
          <w:rFonts w:ascii="Arial" w:cs="Arial" w:eastAsia="Arial" w:hAnsi="Arial"/>
          <w:sz w:val="18"/>
          <w:szCs w:val="18"/>
          <w:color w:val="auto"/>
        </w:rPr>
      </w:pPr>
    </w:p>
    <w:p>
      <w:pPr>
        <w:jc w:val="both"/>
        <w:ind w:left="820" w:right="20" w:hanging="326"/>
        <w:spacing w:after="0" w:line="286" w:lineRule="auto"/>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fee is fixed or determinable. We assess whether the fee is fixed or determinable based on the payment terms associated with the transaction. In the event payment terms differ from our standard business practices, the fees are deemed to be not fixed or determinable and revenue is recognized when the payments become due, provided the remaining criteria for revenue recognition have been met.</w:t>
      </w:r>
    </w:p>
    <w:p>
      <w:pPr>
        <w:spacing w:after="0" w:line="165" w:lineRule="exact"/>
        <w:rPr>
          <w:rFonts w:ascii="Arial" w:cs="Arial" w:eastAsia="Arial" w:hAnsi="Arial"/>
          <w:sz w:val="17"/>
          <w:szCs w:val="17"/>
          <w:color w:val="auto"/>
        </w:rPr>
      </w:pPr>
    </w:p>
    <w:p>
      <w:pPr>
        <w:ind w:left="820" w:right="380" w:hanging="326"/>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Collectability is probable. We assess collectability based primarily on creditworthiness as determined by credit checks and analysis, as well as payment history. Payment terms generally range from 30 to 90 days from invoice date.</w:t>
      </w:r>
    </w:p>
    <w:p>
      <w:pPr>
        <w:spacing w:after="0" w:line="170" w:lineRule="exact"/>
        <w:rPr>
          <w:sz w:val="20"/>
          <w:szCs w:val="20"/>
          <w:color w:val="auto"/>
        </w:rPr>
      </w:pPr>
    </w:p>
    <w:p>
      <w:pPr>
        <w:ind w:right="100" w:firstLine="486"/>
        <w:spacing w:after="0" w:line="291" w:lineRule="auto"/>
        <w:rPr>
          <w:sz w:val="20"/>
          <w:szCs w:val="20"/>
          <w:color w:val="auto"/>
        </w:rPr>
      </w:pPr>
      <w:r>
        <w:rPr>
          <w:rFonts w:ascii="Arial" w:cs="Arial" w:eastAsia="Arial" w:hAnsi="Arial"/>
          <w:sz w:val="16"/>
          <w:szCs w:val="16"/>
          <w:color w:val="auto"/>
        </w:rPr>
        <w:t>For arrangements which include customer acceptance criteria, no revenue is recognized prior to acceptance. We recognize product revenue on sales to distributors that have no general right of return and end-customers upon shipment of the appliance, once all other revenue recognition criteria have been met. We also make sales through distributors under agreements that allow for rights of returns that we estimate and reduce revenue for under our sales returns and allowances. We recognize product revenue on sales made through such distributors upon sale by the distributor to the end-customer, at which time the rights of return lapse. Substantially all of our products have been sold in combination with services which consist of subscriptions and/or support. Subscription services provide access to our antivirus, intrusion prevention, web filtering, and anti-spam functionality. Support services include rights to unspecified software upgrades, maintenance releases and patches, telephone and Internet access to technical support personnel, and hardware support.</w:t>
      </w:r>
    </w:p>
    <w:p>
      <w:pPr>
        <w:spacing w:after="0" w:line="167"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The subscription and support services start on the date the customer registers the appliance. The customer is then entitled to service for the stated contractual period beginning on the registration date.</w:t>
      </w:r>
    </w:p>
    <w:p>
      <w:pPr>
        <w:spacing w:after="0" w:line="170" w:lineRule="exact"/>
        <w:rPr>
          <w:sz w:val="20"/>
          <w:szCs w:val="20"/>
          <w:color w:val="auto"/>
        </w:rPr>
      </w:pPr>
    </w:p>
    <w:p>
      <w:pPr>
        <w:ind w:right="120" w:firstLine="486"/>
        <w:spacing w:after="0" w:line="312" w:lineRule="auto"/>
        <w:rPr>
          <w:sz w:val="20"/>
          <w:szCs w:val="20"/>
          <w:color w:val="auto"/>
        </w:rPr>
      </w:pPr>
      <w:r>
        <w:rPr>
          <w:rFonts w:ascii="Arial" w:cs="Arial" w:eastAsia="Arial" w:hAnsi="Arial"/>
          <w:sz w:val="16"/>
          <w:szCs w:val="16"/>
          <w:color w:val="auto"/>
        </w:rPr>
        <w:t>We offer certain sales incentives to channel partners. We reduce revenue for estimates of sales returns and allowances. Additionally, in limited circumstances we may permit end-customers, distributors and resellers to return our products, subject to varying limitations, for a refund within a reasonably short period from the date of purchase. We estimate and record reserves for sales incentives and sales returns based on historical experience.</w:t>
      </w:r>
    </w:p>
    <w:p>
      <w:pPr>
        <w:spacing w:after="0" w:line="143" w:lineRule="exact"/>
        <w:rPr>
          <w:sz w:val="20"/>
          <w:szCs w:val="20"/>
          <w:color w:val="auto"/>
        </w:rPr>
      </w:pPr>
    </w:p>
    <w:p>
      <w:pPr>
        <w:ind w:right="60" w:firstLine="486"/>
        <w:spacing w:after="0" w:line="295" w:lineRule="auto"/>
        <w:rPr>
          <w:sz w:val="20"/>
          <w:szCs w:val="20"/>
          <w:color w:val="auto"/>
        </w:rPr>
      </w:pPr>
      <w:r>
        <w:rPr>
          <w:rFonts w:ascii="Arial" w:cs="Arial" w:eastAsia="Arial" w:hAnsi="Arial"/>
          <w:sz w:val="16"/>
          <w:szCs w:val="16"/>
          <w:b w:val="1"/>
          <w:bCs w:val="1"/>
          <w:color w:val="auto"/>
        </w:rPr>
        <w:t>Accounts Receivable</w:t>
      </w:r>
      <w:r>
        <w:rPr>
          <w:rFonts w:ascii="Arial" w:cs="Arial" w:eastAsia="Arial" w:hAnsi="Arial"/>
          <w:sz w:val="16"/>
          <w:szCs w:val="16"/>
          <w:color w:val="auto"/>
        </w:rPr>
        <w:t>—Trade accounts receivable are recorded at the invoiced amount, net of allowances for doubtful accounts and reserves for sales</w:t>
      </w:r>
      <w:r>
        <w:rPr>
          <w:rFonts w:ascii="Arial" w:cs="Arial" w:eastAsia="Arial" w:hAnsi="Arial"/>
          <w:sz w:val="16"/>
          <w:szCs w:val="16"/>
          <w:b w:val="1"/>
          <w:bCs w:val="1"/>
          <w:color w:val="auto"/>
        </w:rPr>
        <w:t xml:space="preserve"> </w:t>
      </w:r>
      <w:r>
        <w:rPr>
          <w:rFonts w:ascii="Arial" w:cs="Arial" w:eastAsia="Arial" w:hAnsi="Arial"/>
          <w:sz w:val="16"/>
          <w:szCs w:val="16"/>
          <w:color w:val="auto"/>
        </w:rPr>
        <w:t>returns and allowances. The allowance for doubtful accounts is based on our assessment of the collectability of customer accounts. We regularly review the allowance by considering factors such as historical experience, credit quality, age of the accounts receivable balances and current economic conditions that may affect a customer's ability to pay. The reserve for sales returns and allowances is based on specific criteria including agreements to provide rebates and other factors known at the time, as well as estimates of the amount of goods shipped that will be returned. To determine the adequacy of the reserves for sales returns and allowances, we analyze historical experience of actual rebates and returns as well as current product return information.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jc w:val="both"/>
        <w:ind w:right="240" w:firstLine="486"/>
        <w:spacing w:after="0" w:line="303" w:lineRule="auto"/>
        <w:rPr>
          <w:sz w:val="20"/>
          <w:szCs w:val="20"/>
          <w:color w:val="auto"/>
        </w:rPr>
      </w:pPr>
      <w:r>
        <w:rPr>
          <w:rFonts w:ascii="Arial" w:cs="Arial" w:eastAsia="Arial" w:hAnsi="Arial"/>
          <w:sz w:val="16"/>
          <w:szCs w:val="16"/>
          <w:b w:val="1"/>
          <w:bCs w:val="1"/>
          <w:color w:val="auto"/>
        </w:rPr>
        <w:t>Warranties</w:t>
      </w:r>
      <w:r>
        <w:rPr>
          <w:rFonts w:ascii="Arial" w:cs="Arial" w:eastAsia="Arial" w:hAnsi="Arial"/>
          <w:sz w:val="16"/>
          <w:szCs w:val="16"/>
          <w:color w:val="auto"/>
        </w:rPr>
        <w:t>—We generally provide a one-year warranty on hardware products and a 90-day warranty on software. A provision for estimated future</w:t>
      </w:r>
      <w:r>
        <w:rPr>
          <w:rFonts w:ascii="Arial" w:cs="Arial" w:eastAsia="Arial" w:hAnsi="Arial"/>
          <w:sz w:val="16"/>
          <w:szCs w:val="16"/>
          <w:b w:val="1"/>
          <w:bCs w:val="1"/>
          <w:color w:val="auto"/>
        </w:rPr>
        <w:t xml:space="preserve"> </w:t>
      </w:r>
      <w:r>
        <w:rPr>
          <w:rFonts w:ascii="Arial" w:cs="Arial" w:eastAsia="Arial" w:hAnsi="Arial"/>
          <w:sz w:val="16"/>
          <w:szCs w:val="16"/>
          <w:color w:val="auto"/>
        </w:rPr>
        <w:t>costs related to warranty activities is recorded as a component of cost of product revenues when the product revenues are recognized, based upon historical product failure rates and historical costs incurred in correcting product failures. In the event we change our warranty reserve estimates, the resulting charge against future cost of sales or reversal of previously recorded charges may materially affect our gross margins and operating results.</w:t>
      </w:r>
    </w:p>
    <w:p>
      <w:pPr>
        <w:spacing w:after="0" w:line="15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Accrued warranty activities are summarized as follows ($ amounts in 000's):</w:t>
      </w:r>
    </w:p>
    <w:p>
      <w:pPr>
        <w:spacing w:after="0" w:line="388"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7020" w:type="dxa"/>
            <w:vAlign w:val="bottom"/>
          </w:tcPr>
          <w:p>
            <w:pPr>
              <w:spacing w:after="0"/>
              <w:rPr>
                <w:sz w:val="17"/>
                <w:szCs w:val="17"/>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For The Three Months</w:t>
            </w: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94"/>
              </w:rPr>
              <w:t>For The Year</w:t>
            </w:r>
          </w:p>
        </w:tc>
      </w:tr>
      <w:tr>
        <w:trPr>
          <w:trHeight w:val="210"/>
        </w:trPr>
        <w:tc>
          <w:tcPr>
            <w:tcW w:w="702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Ended And As Of</w:t>
            </w: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91"/>
              </w:rPr>
              <w:t>Ended And As Of</w:t>
            </w:r>
          </w:p>
        </w:tc>
      </w:tr>
      <w:tr>
        <w:trPr>
          <w:trHeight w:val="270"/>
        </w:trPr>
        <w:tc>
          <w:tcPr>
            <w:tcW w:w="7020" w:type="dxa"/>
            <w:vAlign w:val="bottom"/>
          </w:tcPr>
          <w:p>
            <w:pPr>
              <w:spacing w:after="0"/>
              <w:rPr>
                <w:sz w:val="23"/>
                <w:szCs w:val="23"/>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March 31, 2011</w:t>
            </w: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91"/>
              </w:rPr>
              <w:t>December 31, 2010</w:t>
            </w:r>
          </w:p>
        </w:tc>
      </w:tr>
      <w:tr>
        <w:trPr>
          <w:trHeight w:val="33"/>
        </w:trPr>
        <w:tc>
          <w:tcPr>
            <w:tcW w:w="702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warranty balance - beginning of the period</w:t>
            </w:r>
          </w:p>
        </w:tc>
        <w:tc>
          <w:tcPr>
            <w:tcW w:w="20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1,878</w:t>
            </w:r>
          </w:p>
        </w:tc>
        <w:tc>
          <w:tcPr>
            <w:tcW w:w="2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2,257</w:t>
            </w:r>
          </w:p>
        </w:tc>
      </w:tr>
      <w:tr>
        <w:trPr>
          <w:trHeight w:val="243"/>
        </w:trPr>
        <w:tc>
          <w:tcPr>
            <w:tcW w:w="7020" w:type="dxa"/>
            <w:vAlign w:val="bottom"/>
          </w:tcPr>
          <w:p>
            <w:pPr>
              <w:ind w:left="20"/>
              <w:spacing w:after="0"/>
              <w:rPr>
                <w:sz w:val="20"/>
                <w:szCs w:val="20"/>
                <w:color w:val="auto"/>
              </w:rPr>
            </w:pPr>
            <w:r>
              <w:rPr>
                <w:rFonts w:ascii="Arial" w:cs="Arial" w:eastAsia="Arial" w:hAnsi="Arial"/>
                <w:sz w:val="18"/>
                <w:szCs w:val="18"/>
                <w:color w:val="auto"/>
              </w:rPr>
              <w:t>Warranty costs incurred</w:t>
            </w:r>
          </w:p>
        </w:tc>
        <w:tc>
          <w:tcPr>
            <w:tcW w:w="2060" w:type="dxa"/>
            <w:vAlign w:val="bottom"/>
          </w:tcPr>
          <w:p>
            <w:pPr>
              <w:jc w:val="right"/>
              <w:spacing w:after="0"/>
              <w:rPr>
                <w:sz w:val="20"/>
                <w:szCs w:val="20"/>
                <w:color w:val="auto"/>
              </w:rPr>
            </w:pPr>
            <w:r>
              <w:rPr>
                <w:rFonts w:ascii="Arial" w:cs="Arial" w:eastAsia="Arial" w:hAnsi="Arial"/>
                <w:sz w:val="18"/>
                <w:szCs w:val="18"/>
                <w:color w:val="auto"/>
              </w:rPr>
              <w:t>(411)</w:t>
            </w:r>
          </w:p>
        </w:tc>
        <w:tc>
          <w:tcPr>
            <w:tcW w:w="22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(1,337)</w:t>
            </w:r>
          </w:p>
        </w:tc>
      </w:tr>
      <w:tr>
        <w:trPr>
          <w:trHeight w:val="27"/>
        </w:trPr>
        <w:tc>
          <w:tcPr>
            <w:tcW w:w="70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warranty</w:t>
            </w:r>
          </w:p>
        </w:tc>
        <w:tc>
          <w:tcPr>
            <w:tcW w:w="20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246</w:t>
            </w:r>
          </w:p>
        </w:tc>
        <w:tc>
          <w:tcPr>
            <w:tcW w:w="2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1,069</w:t>
            </w:r>
          </w:p>
        </w:tc>
      </w:tr>
      <w:tr>
        <w:trPr>
          <w:trHeight w:val="243"/>
        </w:trPr>
        <w:tc>
          <w:tcPr>
            <w:tcW w:w="7020" w:type="dxa"/>
            <w:vAlign w:val="bottom"/>
          </w:tcPr>
          <w:p>
            <w:pPr>
              <w:ind w:left="20"/>
              <w:spacing w:after="0"/>
              <w:rPr>
                <w:sz w:val="20"/>
                <w:szCs w:val="20"/>
                <w:color w:val="auto"/>
              </w:rPr>
            </w:pPr>
            <w:r>
              <w:rPr>
                <w:rFonts w:ascii="Arial" w:cs="Arial" w:eastAsia="Arial" w:hAnsi="Arial"/>
                <w:sz w:val="18"/>
                <w:szCs w:val="18"/>
                <w:color w:val="auto"/>
              </w:rPr>
              <w:t>Adjustments to previous estimates</w:t>
            </w:r>
          </w:p>
        </w:tc>
        <w:tc>
          <w:tcPr>
            <w:tcW w:w="206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7"/>
        </w:trPr>
        <w:tc>
          <w:tcPr>
            <w:tcW w:w="702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57"/>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warranty balance - end of the period</w:t>
            </w:r>
          </w:p>
        </w:tc>
        <w:tc>
          <w:tcPr>
            <w:tcW w:w="20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1,669</w:t>
            </w:r>
          </w:p>
        </w:tc>
        <w:tc>
          <w:tcPr>
            <w:tcW w:w="22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1,878</w:t>
            </w:r>
          </w:p>
        </w:tc>
      </w:tr>
      <w:tr>
        <w:trPr>
          <w:trHeight w:val="20"/>
        </w:trPr>
        <w:tc>
          <w:tcPr>
            <w:tcW w:w="702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b w:val="1"/>
          <w:bCs w:val="1"/>
          <w:color w:val="auto"/>
        </w:rPr>
        <w:t>Foreign Currency Derivatives</w:t>
      </w:r>
      <w:r>
        <w:rPr>
          <w:rFonts w:ascii="Arial" w:cs="Arial" w:eastAsia="Arial" w:hAnsi="Arial"/>
          <w:sz w:val="17"/>
          <w:szCs w:val="17"/>
          <w:color w:val="auto"/>
        </w:rPr>
        <w:t>—Our sales contracts are primarily denominated in U.S. dollars and therefore substantially all of our revenue is not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subject to foreign currency translation risk. However, a substantial portion of our operating expenses incurred outside the U.S. are denominated in foreign currencies and are subject to fluctuations due to changes in foreign currency exchange rates, particularly changes in the Canadian Dollar (CAD), Euro (EUR), British Pound (GBP), and Japanese Yen (JPY). To help protect against significant fluctuations in value and the volatility of future cash flows caused by changes in currency exchange rates, we engage in foreign currency risk management activities to hedge balance sheet items denominated in EUR, GBP, and CAD. We do not use these contracts for speculative or trading purposes. All of the derivative instruments are with high quality financial institutions and we monitor the creditworthiness of these parties. These contracts typically have maturities between one and three months. We account for our hedges under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We record changes in the fair value of forward exchange contracts related to balance sheet accounts as other income (expense), net in the condensed consolidated statement of operations.</w:t>
      </w:r>
    </w:p>
    <w:p>
      <w:pPr>
        <w:spacing w:after="0" w:line="178"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color w:val="auto"/>
        </w:rPr>
        <w:t>Additionally, independent of any hedging activities, fluctuations in foreign currency exchange rates may cause us to recognize transaction gains and losses in our consolidated statements of operations. Our hedging activities are intended to reduce, but not eliminate, the impact of currency exchange rate movements. As our hedging activities are relatively short-term in nature, long-term material changes in the value of the U.S. dollar versus the EUR, GBP, CAD or JPY could adversely impact our operating expenses in the future.</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notional amount of forward exchange contracts to hedge balance sheet accounts as of March 31, 2011 was (amounts in 000's):</w:t>
      </w:r>
    </w:p>
    <w:p>
      <w:pPr>
        <w:spacing w:after="0" w:line="375"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72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 hedge balance sheet accounts:</w:t>
            </w:r>
          </w:p>
        </w:tc>
        <w:tc>
          <w:tcPr>
            <w:tcW w:w="21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90"/>
              </w:rPr>
              <w:t>Buy/Sell</w:t>
            </w:r>
          </w:p>
        </w:tc>
        <w:tc>
          <w:tcPr>
            <w:tcW w:w="1920" w:type="dxa"/>
            <w:vAlign w:val="bottom"/>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Notional</w:t>
            </w:r>
          </w:p>
        </w:tc>
      </w:tr>
      <w:tr>
        <w:trPr>
          <w:trHeight w:val="196"/>
        </w:trPr>
        <w:tc>
          <w:tcPr>
            <w:tcW w:w="7280" w:type="dxa"/>
            <w:vAlign w:val="bottom"/>
            <w:gridSpan w:val="3"/>
          </w:tcPr>
          <w:p>
            <w:pPr>
              <w:ind w:left="20"/>
              <w:spacing w:after="0" w:line="196" w:lineRule="exact"/>
              <w:rPr>
                <w:sz w:val="20"/>
                <w:szCs w:val="20"/>
                <w:color w:val="auto"/>
              </w:rPr>
            </w:pPr>
            <w:r>
              <w:rPr>
                <w:rFonts w:ascii="Arial" w:cs="Arial" w:eastAsia="Arial" w:hAnsi="Arial"/>
                <w:sz w:val="18"/>
                <w:szCs w:val="18"/>
                <w:b w:val="1"/>
                <w:bCs w:val="1"/>
                <w:color w:val="auto"/>
              </w:rPr>
              <w:t>Currency</w:t>
            </w:r>
          </w:p>
        </w:tc>
        <w:tc>
          <w:tcPr>
            <w:tcW w:w="19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6520" w:type="dxa"/>
            <w:vAlign w:val="bottom"/>
          </w:tcPr>
          <w:p>
            <w:pPr>
              <w:spacing w:after="0"/>
              <w:rPr>
                <w:sz w:val="4"/>
                <w:szCs w:val="4"/>
                <w:color w:val="auto"/>
              </w:rPr>
            </w:pPr>
          </w:p>
        </w:tc>
        <w:tc>
          <w:tcPr>
            <w:tcW w:w="1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920" w:type="dxa"/>
            <w:vAlign w:val="bottom"/>
          </w:tcPr>
          <w:p>
            <w:pPr>
              <w:spacing w:after="0"/>
              <w:rPr>
                <w:sz w:val="4"/>
                <w:szCs w:val="4"/>
                <w:color w:val="auto"/>
              </w:rPr>
            </w:pPr>
          </w:p>
        </w:tc>
      </w:tr>
      <w:tr>
        <w:trPr>
          <w:trHeight w:val="250"/>
        </w:trPr>
        <w:tc>
          <w:tcPr>
            <w:tcW w:w="7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EUR</w:t>
            </w:r>
          </w:p>
        </w:tc>
        <w:tc>
          <w:tcPr>
            <w:tcW w:w="216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6"/>
              </w:rPr>
              <w:t>Buy</w:t>
            </w: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4,920</w:t>
            </w:r>
          </w:p>
        </w:tc>
      </w:tr>
      <w:tr>
        <w:trPr>
          <w:trHeight w:val="243"/>
        </w:trPr>
        <w:tc>
          <w:tcPr>
            <w:tcW w:w="7280" w:type="dxa"/>
            <w:vAlign w:val="bottom"/>
            <w:gridSpan w:val="3"/>
          </w:tcPr>
          <w:p>
            <w:pPr>
              <w:ind w:left="20"/>
              <w:spacing w:after="0"/>
              <w:rPr>
                <w:sz w:val="20"/>
                <w:szCs w:val="20"/>
                <w:color w:val="auto"/>
              </w:rPr>
            </w:pPr>
            <w:r>
              <w:rPr>
                <w:rFonts w:ascii="Arial" w:cs="Arial" w:eastAsia="Arial" w:hAnsi="Arial"/>
                <w:sz w:val="18"/>
                <w:szCs w:val="18"/>
                <w:color w:val="auto"/>
              </w:rPr>
              <w:t>GBP</w:t>
            </w:r>
          </w:p>
        </w:tc>
        <w:tc>
          <w:tcPr>
            <w:tcW w:w="216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Buy</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1,350</w:t>
            </w: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43"/>
        </w:trPr>
        <w:tc>
          <w:tcPr>
            <w:tcW w:w="7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CAD</w:t>
            </w:r>
          </w:p>
        </w:tc>
        <w:tc>
          <w:tcPr>
            <w:tcW w:w="21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6"/>
              </w:rPr>
              <w:t>Buy</w:t>
            </w:r>
          </w:p>
        </w:tc>
        <w:tc>
          <w:tcPr>
            <w:tcW w:w="1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11,610</w:t>
            </w:r>
          </w:p>
        </w:tc>
      </w:tr>
      <w:tr>
        <w:trPr>
          <w:trHeight w:val="27"/>
        </w:trPr>
        <w:tc>
          <w:tcPr>
            <w:tcW w:w="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652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adopted the new accounting standards for revenue recognition during the quarter, as described above.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INVESTMENTS AND FAIR VALUE MEASUREMENTS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investments in available-for-sale securities ($ amounts in 000's):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3"/>
              </w:rPr>
              <w:t>March 31, 2011</w:t>
            </w:r>
          </w:p>
        </w:tc>
        <w:tc>
          <w:tcPr>
            <w:tcW w:w="1480" w:type="dxa"/>
            <w:vAlign w:val="bottom"/>
          </w:tcPr>
          <w:p>
            <w:pPr>
              <w:spacing w:after="0"/>
              <w:rPr>
                <w:sz w:val="18"/>
                <w:szCs w:val="18"/>
                <w:color w:val="auto"/>
              </w:rPr>
            </w:pPr>
          </w:p>
        </w:tc>
      </w:tr>
      <w:tr>
        <w:trPr>
          <w:trHeight w:val="33"/>
        </w:trPr>
        <w:tc>
          <w:tcPr>
            <w:tcW w:w="49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9"/>
        </w:trPr>
        <w:tc>
          <w:tcPr>
            <w:tcW w:w="4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4"/>
              </w:rPr>
              <w:t>Estimated Fair</w:t>
            </w:r>
          </w:p>
        </w:tc>
      </w:tr>
      <w:tr>
        <w:trPr>
          <w:trHeight w:val="210"/>
        </w:trPr>
        <w:tc>
          <w:tcPr>
            <w:tcW w:w="492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Arial" w:cs="Arial" w:eastAsia="Arial" w:hAnsi="Arial"/>
                <w:sz w:val="16"/>
                <w:szCs w:val="16"/>
                <w:b w:val="1"/>
                <w:bCs w:val="1"/>
                <w:color w:val="auto"/>
              </w:rPr>
              <w:t>Amortized Cost</w:t>
            </w:r>
          </w:p>
        </w:tc>
        <w:tc>
          <w:tcPr>
            <w:tcW w:w="1720" w:type="dxa"/>
            <w:vAlign w:val="bottom"/>
            <w:gridSpan w:val="2"/>
          </w:tcPr>
          <w:p>
            <w:pPr>
              <w:ind w:left="140"/>
              <w:spacing w:after="0"/>
              <w:rPr>
                <w:sz w:val="20"/>
                <w:szCs w:val="20"/>
                <w:color w:val="auto"/>
              </w:rPr>
            </w:pPr>
            <w:r>
              <w:rPr>
                <w:rFonts w:ascii="Arial" w:cs="Arial" w:eastAsia="Arial" w:hAnsi="Arial"/>
                <w:sz w:val="16"/>
                <w:szCs w:val="16"/>
                <w:b w:val="1"/>
                <w:bCs w:val="1"/>
                <w:color w:val="auto"/>
              </w:rPr>
              <w:t>Unrealized Gains</w:t>
            </w: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Unrealized Losses</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49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1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U.S. government and agency securities</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65,203</w:t>
            </w:r>
          </w:p>
        </w:tc>
        <w:tc>
          <w:tcPr>
            <w:tcW w:w="240" w:type="dxa"/>
            <w:vAlign w:val="bottom"/>
          </w:tcPr>
          <w:p>
            <w:pPr>
              <w:spacing w:after="0"/>
              <w:rPr>
                <w:sz w:val="21"/>
                <w:szCs w:val="21"/>
                <w:color w:val="auto"/>
              </w:rPr>
            </w:pP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65,135</w:t>
            </w:r>
          </w:p>
        </w:tc>
      </w:tr>
      <w:tr>
        <w:trPr>
          <w:trHeight w:val="27"/>
        </w:trPr>
        <w:tc>
          <w:tcPr>
            <w:tcW w:w="49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debt securities</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273,601</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167</w:t>
            </w:r>
          </w:p>
        </w:tc>
        <w:tc>
          <w:tcPr>
            <w:tcW w:w="2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273,768</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4,793</w:t>
            </w:r>
          </w:p>
        </w:tc>
        <w:tc>
          <w:tcPr>
            <w:tcW w:w="240" w:type="dxa"/>
            <w:vAlign w:val="bottom"/>
          </w:tcPr>
          <w:p>
            <w:pPr>
              <w:spacing w:after="0"/>
              <w:rPr>
                <w:sz w:val="21"/>
                <w:szCs w:val="21"/>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4,795</w:t>
            </w:r>
          </w:p>
        </w:tc>
      </w:tr>
      <w:tr>
        <w:trPr>
          <w:trHeight w:val="27"/>
        </w:trPr>
        <w:tc>
          <w:tcPr>
            <w:tcW w:w="49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11,032</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11,056</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Term deposits</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8,969</w:t>
            </w:r>
          </w:p>
        </w:tc>
        <w:tc>
          <w:tcPr>
            <w:tcW w:w="240" w:type="dxa"/>
            <w:vAlign w:val="bottom"/>
          </w:tcPr>
          <w:p>
            <w:pPr>
              <w:spacing w:after="0"/>
              <w:rPr>
                <w:sz w:val="21"/>
                <w:szCs w:val="21"/>
                <w:color w:val="auto"/>
              </w:rPr>
            </w:pP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8,968</w:t>
            </w:r>
          </w:p>
        </w:tc>
      </w:tr>
      <w:tr>
        <w:trPr>
          <w:trHeight w:val="27"/>
        </w:trPr>
        <w:tc>
          <w:tcPr>
            <w:tcW w:w="49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available-for-sale securities</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363,598</w:t>
            </w:r>
          </w:p>
        </w:tc>
        <w:tc>
          <w:tcPr>
            <w:tcW w:w="2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193</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363,722</w:t>
            </w:r>
          </w:p>
        </w:tc>
      </w:tr>
      <w:tr>
        <w:trPr>
          <w:trHeight w:val="20"/>
        </w:trPr>
        <w:tc>
          <w:tcPr>
            <w:tcW w:w="49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562"/>
        </w:trPr>
        <w:tc>
          <w:tcPr>
            <w:tcW w:w="4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0"/>
              </w:rPr>
              <w:t>December 31, 2010</w:t>
            </w:r>
          </w:p>
        </w:tc>
        <w:tc>
          <w:tcPr>
            <w:tcW w:w="1480" w:type="dxa"/>
            <w:vAlign w:val="bottom"/>
          </w:tcPr>
          <w:p>
            <w:pPr>
              <w:spacing w:after="0"/>
              <w:rPr>
                <w:sz w:val="24"/>
                <w:szCs w:val="24"/>
                <w:color w:val="auto"/>
              </w:rPr>
            </w:pPr>
          </w:p>
        </w:tc>
      </w:tr>
      <w:tr>
        <w:trPr>
          <w:trHeight w:val="33"/>
        </w:trPr>
        <w:tc>
          <w:tcPr>
            <w:tcW w:w="49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9"/>
        </w:trPr>
        <w:tc>
          <w:tcPr>
            <w:tcW w:w="4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4"/>
              </w:rPr>
              <w:t>Estimated Fair</w:t>
            </w:r>
          </w:p>
        </w:tc>
      </w:tr>
      <w:tr>
        <w:trPr>
          <w:trHeight w:val="210"/>
        </w:trPr>
        <w:tc>
          <w:tcPr>
            <w:tcW w:w="492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Arial" w:cs="Arial" w:eastAsia="Arial" w:hAnsi="Arial"/>
                <w:sz w:val="16"/>
                <w:szCs w:val="16"/>
                <w:b w:val="1"/>
                <w:bCs w:val="1"/>
                <w:color w:val="auto"/>
              </w:rPr>
              <w:t>Amortized Cost</w:t>
            </w:r>
          </w:p>
        </w:tc>
        <w:tc>
          <w:tcPr>
            <w:tcW w:w="1720" w:type="dxa"/>
            <w:vAlign w:val="bottom"/>
            <w:gridSpan w:val="2"/>
          </w:tcPr>
          <w:p>
            <w:pPr>
              <w:ind w:left="140"/>
              <w:spacing w:after="0"/>
              <w:rPr>
                <w:sz w:val="20"/>
                <w:szCs w:val="20"/>
                <w:color w:val="auto"/>
              </w:rPr>
            </w:pPr>
            <w:r>
              <w:rPr>
                <w:rFonts w:ascii="Arial" w:cs="Arial" w:eastAsia="Arial" w:hAnsi="Arial"/>
                <w:sz w:val="16"/>
                <w:szCs w:val="16"/>
                <w:b w:val="1"/>
                <w:bCs w:val="1"/>
                <w:color w:val="auto"/>
              </w:rPr>
              <w:t>Unrealized Gains</w:t>
            </w: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Unrealized Losses</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49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1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U.S. government and agency securities</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51,989</w:t>
            </w:r>
          </w:p>
        </w:tc>
        <w:tc>
          <w:tcPr>
            <w:tcW w:w="240" w:type="dxa"/>
            <w:vAlign w:val="bottom"/>
          </w:tcPr>
          <w:p>
            <w:pPr>
              <w:spacing w:after="0"/>
              <w:rPr>
                <w:sz w:val="21"/>
                <w:szCs w:val="21"/>
                <w:color w:val="auto"/>
              </w:rPr>
            </w:pP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51,943</w:t>
            </w:r>
          </w:p>
        </w:tc>
      </w:tr>
      <w:tr>
        <w:trPr>
          <w:trHeight w:val="27"/>
        </w:trPr>
        <w:tc>
          <w:tcPr>
            <w:tcW w:w="49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debt securities</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213,237</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159</w:t>
            </w:r>
          </w:p>
        </w:tc>
        <w:tc>
          <w:tcPr>
            <w:tcW w:w="2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213,396</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38,914</w:t>
            </w:r>
          </w:p>
        </w:tc>
        <w:tc>
          <w:tcPr>
            <w:tcW w:w="240" w:type="dxa"/>
            <w:vAlign w:val="bottom"/>
          </w:tcPr>
          <w:p>
            <w:pPr>
              <w:spacing w:after="0"/>
              <w:rPr>
                <w:sz w:val="21"/>
                <w:szCs w:val="21"/>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1"/>
                <w:szCs w:val="21"/>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38,919</w:t>
            </w:r>
          </w:p>
        </w:tc>
      </w:tr>
      <w:tr>
        <w:trPr>
          <w:trHeight w:val="27"/>
        </w:trPr>
        <w:tc>
          <w:tcPr>
            <w:tcW w:w="49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11,069</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11,080</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Term deposits</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5,263</w:t>
            </w:r>
          </w:p>
        </w:tc>
        <w:tc>
          <w:tcPr>
            <w:tcW w:w="240" w:type="dxa"/>
            <w:vAlign w:val="bottom"/>
          </w:tcPr>
          <w:p>
            <w:pPr>
              <w:spacing w:after="0"/>
              <w:rPr>
                <w:sz w:val="21"/>
                <w:szCs w:val="21"/>
                <w:color w:val="auto"/>
              </w:rPr>
            </w:pP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5,263</w:t>
            </w:r>
          </w:p>
        </w:tc>
      </w:tr>
      <w:tr>
        <w:trPr>
          <w:trHeight w:val="27"/>
        </w:trPr>
        <w:tc>
          <w:tcPr>
            <w:tcW w:w="49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available-for-sale securities</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320,472</w:t>
            </w:r>
          </w:p>
        </w:tc>
        <w:tc>
          <w:tcPr>
            <w:tcW w:w="2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175</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320,601</w:t>
            </w:r>
          </w:p>
        </w:tc>
      </w:tr>
      <w:tr>
        <w:trPr>
          <w:trHeight w:val="20"/>
        </w:trPr>
        <w:tc>
          <w:tcPr>
            <w:tcW w:w="49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contractual maturities of our investments are as follows ($ amounts in 000's):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0" w:type="dxa"/>
            <w:vAlign w:val="bottom"/>
          </w:tcPr>
          <w:p>
            <w:pPr>
              <w:spacing w:after="0"/>
              <w:rPr>
                <w:sz w:val="17"/>
                <w:szCs w:val="17"/>
                <w:color w:val="auto"/>
              </w:rPr>
            </w:pPr>
          </w:p>
        </w:tc>
        <w:tc>
          <w:tcPr>
            <w:tcW w:w="1840" w:type="dxa"/>
            <w:vAlign w:val="bottom"/>
            <w:gridSpan w:val="2"/>
          </w:tcPr>
          <w:p>
            <w:pPr>
              <w:ind w:left="440"/>
              <w:spacing w:after="0"/>
              <w:rPr>
                <w:sz w:val="20"/>
                <w:szCs w:val="20"/>
                <w:color w:val="auto"/>
              </w:rPr>
            </w:pPr>
            <w:r>
              <w:rPr>
                <w:rFonts w:ascii="Arial" w:cs="Arial" w:eastAsia="Arial" w:hAnsi="Arial"/>
                <w:sz w:val="16"/>
                <w:szCs w:val="16"/>
                <w:b w:val="1"/>
                <w:bCs w:val="1"/>
                <w:color w:val="auto"/>
              </w:rPr>
              <w:t>March 31,</w:t>
            </w:r>
          </w:p>
        </w:tc>
        <w:tc>
          <w:tcPr>
            <w:tcW w:w="1580" w:type="dxa"/>
            <w:vAlign w:val="bottom"/>
          </w:tcPr>
          <w:p>
            <w:pPr>
              <w:jc w:val="right"/>
              <w:ind w:right="254"/>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8000" w:type="dxa"/>
            <w:vAlign w:val="bottom"/>
          </w:tcPr>
          <w:p>
            <w:pPr>
              <w:spacing w:after="0"/>
              <w:rPr>
                <w:sz w:val="18"/>
                <w:szCs w:val="18"/>
                <w:color w:val="auto"/>
              </w:rPr>
            </w:pPr>
          </w:p>
        </w:tc>
        <w:tc>
          <w:tcPr>
            <w:tcW w:w="1620" w:type="dxa"/>
            <w:vAlign w:val="bottom"/>
          </w:tcPr>
          <w:p>
            <w:pPr>
              <w:jc w:val="right"/>
              <w:ind w:right="574"/>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1580" w:type="dxa"/>
            <w:vAlign w:val="bottom"/>
          </w:tcPr>
          <w:p>
            <w:pPr>
              <w:jc w:val="right"/>
              <w:ind w:right="534"/>
              <w:spacing w:after="0"/>
              <w:rPr>
                <w:sz w:val="20"/>
                <w:szCs w:val="20"/>
                <w:color w:val="auto"/>
              </w:rPr>
            </w:pPr>
            <w:r>
              <w:rPr>
                <w:rFonts w:ascii="Arial" w:cs="Arial" w:eastAsia="Arial" w:hAnsi="Arial"/>
                <w:sz w:val="16"/>
                <w:szCs w:val="16"/>
                <w:b w:val="1"/>
                <w:bCs w:val="1"/>
                <w:color w:val="auto"/>
              </w:rPr>
              <w:t>2010</w:t>
            </w:r>
          </w:p>
        </w:tc>
      </w:tr>
      <w:tr>
        <w:trPr>
          <w:trHeight w:val="33"/>
        </w:trPr>
        <w:tc>
          <w:tcPr>
            <w:tcW w:w="80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within one year</w:t>
            </w:r>
          </w:p>
        </w:tc>
        <w:tc>
          <w:tcPr>
            <w:tcW w:w="16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232,617</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246,651</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Due within one to two years</w:t>
            </w:r>
          </w:p>
        </w:tc>
        <w:tc>
          <w:tcPr>
            <w:tcW w:w="1620" w:type="dxa"/>
            <w:vAlign w:val="bottom"/>
          </w:tcPr>
          <w:p>
            <w:pPr>
              <w:jc w:val="right"/>
              <w:ind w:right="54"/>
              <w:spacing w:after="0"/>
              <w:rPr>
                <w:sz w:val="20"/>
                <w:szCs w:val="20"/>
                <w:color w:val="auto"/>
              </w:rPr>
            </w:pPr>
            <w:r>
              <w:rPr>
                <w:rFonts w:ascii="Arial" w:cs="Arial" w:eastAsia="Arial" w:hAnsi="Arial"/>
                <w:sz w:val="18"/>
                <w:szCs w:val="18"/>
                <w:color w:val="auto"/>
              </w:rPr>
              <w:t>131,105</w:t>
            </w:r>
          </w:p>
        </w:tc>
        <w:tc>
          <w:tcPr>
            <w:tcW w:w="22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73,950</w:t>
            </w:r>
          </w:p>
        </w:tc>
      </w:tr>
      <w:tr>
        <w:trPr>
          <w:trHeight w:val="27"/>
        </w:trPr>
        <w:tc>
          <w:tcPr>
            <w:tcW w:w="80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363,722</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320,601</w:t>
            </w:r>
          </w:p>
        </w:tc>
      </w:tr>
      <w:tr>
        <w:trPr>
          <w:trHeight w:val="20"/>
        </w:trPr>
        <w:tc>
          <w:tcPr>
            <w:tcW w:w="80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firstLine="486"/>
        <w:spacing w:after="0" w:line="264" w:lineRule="auto"/>
        <w:rPr>
          <w:sz w:val="20"/>
          <w:szCs w:val="20"/>
          <w:color w:val="auto"/>
        </w:rPr>
      </w:pPr>
      <w:r>
        <w:rPr>
          <w:rFonts w:ascii="Arial" w:cs="Arial" w:eastAsia="Arial" w:hAnsi="Arial"/>
          <w:sz w:val="18"/>
          <w:szCs w:val="18"/>
          <w:color w:val="auto"/>
        </w:rPr>
        <w:t>Available-for-sale securities are reported at fair value, with unrealized gains and losses, net of tax, included as a separate component of stockholders' equity and in total comprehensive income. Realized gains and losses on available-for-sale securities are included in other income (expense), net in our consolidated statements of operations.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Realized gains or losses from the sale of available-for-sale securities were not significant for any period presented.</w:t>
      </w:r>
    </w:p>
    <w:p>
      <w:pPr>
        <w:spacing w:after="0" w:line="221" w:lineRule="exact"/>
        <w:rPr>
          <w:sz w:val="20"/>
          <w:szCs w:val="20"/>
          <w:color w:val="auto"/>
        </w:rPr>
      </w:pPr>
    </w:p>
    <w:p>
      <w:pPr>
        <w:ind w:right="440" w:firstLine="486"/>
        <w:spacing w:after="0" w:line="282" w:lineRule="auto"/>
        <w:rPr>
          <w:sz w:val="20"/>
          <w:szCs w:val="20"/>
          <w:color w:val="auto"/>
        </w:rPr>
      </w:pPr>
      <w:r>
        <w:rPr>
          <w:rFonts w:ascii="Arial" w:cs="Arial" w:eastAsia="Arial" w:hAnsi="Arial"/>
          <w:sz w:val="18"/>
          <w:szCs w:val="18"/>
          <w:b w:val="1"/>
          <w:bCs w:val="1"/>
          <w:color w:val="auto"/>
        </w:rPr>
        <w:t>Fair Value Accounting</w:t>
      </w:r>
      <w:r>
        <w:rPr>
          <w:rFonts w:ascii="Arial" w:cs="Arial" w:eastAsia="Arial" w:hAnsi="Arial"/>
          <w:sz w:val="18"/>
          <w:szCs w:val="18"/>
          <w:color w:val="auto"/>
        </w:rPr>
        <w:t>—We apply ASC 820 which establishes a valuation hierarchy for disclosure of the inputs to fair value measurement. This</w:t>
      </w:r>
      <w:r>
        <w:rPr>
          <w:rFonts w:ascii="Arial" w:cs="Arial" w:eastAsia="Arial" w:hAnsi="Arial"/>
          <w:sz w:val="18"/>
          <w:szCs w:val="18"/>
          <w:b w:val="1"/>
          <w:bCs w:val="1"/>
          <w:color w:val="auto"/>
        </w:rPr>
        <w:t xml:space="preserve"> </w:t>
      </w:r>
      <w:r>
        <w:rPr>
          <w:rFonts w:ascii="Arial" w:cs="Arial" w:eastAsia="Arial" w:hAnsi="Arial"/>
          <w:sz w:val="18"/>
          <w:szCs w:val="18"/>
          <w:color w:val="auto"/>
        </w:rPr>
        <w:t>hierarchy prioritizes the inputs into three broad levels as follows: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Level 1—Inputs are unadjusted quoted prices in active markets for identical assets or liabilities.</w:t>
      </w:r>
    </w:p>
    <w:p>
      <w:pPr>
        <w:spacing w:after="0" w:line="225" w:lineRule="exact"/>
        <w:rPr>
          <w:sz w:val="20"/>
          <w:szCs w:val="20"/>
          <w:color w:val="auto"/>
        </w:rPr>
      </w:pPr>
    </w:p>
    <w:p>
      <w:pPr>
        <w:ind w:left="1220" w:right="440" w:hanging="728"/>
        <w:spacing w:after="0" w:line="308" w:lineRule="auto"/>
        <w:rPr>
          <w:sz w:val="20"/>
          <w:szCs w:val="20"/>
          <w:color w:val="auto"/>
        </w:rPr>
      </w:pPr>
      <w:r>
        <w:rPr>
          <w:rFonts w:ascii="Arial" w:cs="Arial" w:eastAsia="Arial" w:hAnsi="Arial"/>
          <w:sz w:val="17"/>
          <w:szCs w:val="17"/>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147" w:lineRule="exact"/>
        <w:rPr>
          <w:sz w:val="20"/>
          <w:szCs w:val="20"/>
          <w:color w:val="auto"/>
        </w:rPr>
      </w:pPr>
    </w:p>
    <w:p>
      <w:pPr>
        <w:ind w:left="1220" w:right="740" w:hanging="728"/>
        <w:spacing w:after="0" w:line="277" w:lineRule="auto"/>
        <w:rPr>
          <w:sz w:val="20"/>
          <w:szCs w:val="20"/>
          <w:color w:val="auto"/>
        </w:rPr>
      </w:pPr>
      <w:r>
        <w:rPr>
          <w:rFonts w:ascii="Arial" w:cs="Arial" w:eastAsia="Arial" w:hAnsi="Arial"/>
          <w:sz w:val="18"/>
          <w:szCs w:val="18"/>
          <w:color w:val="auto"/>
        </w:rPr>
        <w:t>Level 3—Inputs are unobservable inputs based on our own assumptions used to measure assets and liabilities at fair value. The inputs require significant management judgment or estimation.</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valuation techniques we use to measure the fair value of money market funds were derived from quoted prices in active markets for identical assets or liabilities. The valuation techniques used to measure the fair value of all other financial instruments, all of which have counterparties with high credit ratings, were valued based on quoted market prices or model driven valuations using significant inputs derived from or corroborated by observable market data.</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classify investments within Level 1 if quoted prices are available in active markets.</w:t>
      </w:r>
    </w:p>
    <w:p>
      <w:pPr>
        <w:spacing w:after="0" w:line="225"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We classify items in Level 2 if the investments are valued using quoted prices for identical assets in markets that are not active, using quoted prices for similar assets in an active market, or using model-based valuation techniques for which all significant assumptions are observable in the market or can be corroborated by observable market data for substantially the full term of the assets.</w:t>
      </w:r>
    </w:p>
    <w:p>
      <w:pPr>
        <w:spacing w:after="0" w:line="181"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The following table presents the fair value of our financial assets as of March 31, 2011 and December 31, 2010 using the ASC 820 input categories ($ amounts in 000's):</w:t>
      </w:r>
    </w:p>
    <w:p>
      <w:pPr>
        <w:spacing w:after="0" w:line="333"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3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March 31, 2011</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gridSpan w:val="5"/>
          </w:tcPr>
          <w:p>
            <w:pPr>
              <w:jc w:val="center"/>
              <w:ind w:right="20"/>
              <w:spacing w:after="0"/>
              <w:rPr>
                <w:sz w:val="20"/>
                <w:szCs w:val="20"/>
                <w:color w:val="auto"/>
              </w:rPr>
            </w:pPr>
            <w:r>
              <w:rPr>
                <w:rFonts w:ascii="Arial" w:cs="Arial" w:eastAsia="Arial" w:hAnsi="Arial"/>
                <w:sz w:val="16"/>
                <w:szCs w:val="16"/>
                <w:b w:val="1"/>
                <w:bCs w:val="1"/>
                <w:color w:val="auto"/>
                <w:w w:val="91"/>
              </w:rPr>
              <w:t>December 31, 2010</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Quoted</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9"/>
              </w:rPr>
              <w:t>Quoted</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6"/>
              </w:rPr>
              <w:t>Prices in</w:t>
            </w:r>
          </w:p>
        </w:tc>
        <w:tc>
          <w:tcPr>
            <w:tcW w:w="12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Significant</w:t>
            </w: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9"/>
              </w:rPr>
              <w:t>Prices in</w:t>
            </w:r>
          </w:p>
        </w:tc>
        <w:tc>
          <w:tcPr>
            <w:tcW w:w="1020" w:type="dxa"/>
            <w:vAlign w:val="bottom"/>
          </w:tcPr>
          <w:p>
            <w:pPr>
              <w:jc w:val="center"/>
              <w:ind w:right="14"/>
              <w:spacing w:after="0"/>
              <w:rPr>
                <w:sz w:val="20"/>
                <w:szCs w:val="20"/>
                <w:color w:val="auto"/>
              </w:rPr>
            </w:pPr>
            <w:r>
              <w:rPr>
                <w:rFonts w:ascii="Arial" w:cs="Arial" w:eastAsia="Arial" w:hAnsi="Arial"/>
                <w:sz w:val="16"/>
                <w:szCs w:val="16"/>
                <w:b w:val="1"/>
                <w:bCs w:val="1"/>
                <w:color w:val="auto"/>
                <w:w w:val="92"/>
              </w:rPr>
              <w:t>Significant</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Active</w:t>
            </w:r>
          </w:p>
        </w:tc>
        <w:tc>
          <w:tcPr>
            <w:tcW w:w="12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Other</w:t>
            </w: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1"/>
              </w:rPr>
              <w:t>Active</w:t>
            </w:r>
          </w:p>
        </w:tc>
        <w:tc>
          <w:tcPr>
            <w:tcW w:w="1020" w:type="dxa"/>
            <w:vAlign w:val="bottom"/>
          </w:tcPr>
          <w:p>
            <w:pPr>
              <w:jc w:val="center"/>
              <w:ind w:right="14"/>
              <w:spacing w:after="0"/>
              <w:rPr>
                <w:sz w:val="20"/>
                <w:szCs w:val="20"/>
                <w:color w:val="auto"/>
              </w:rPr>
            </w:pPr>
            <w:r>
              <w:rPr>
                <w:rFonts w:ascii="Arial" w:cs="Arial" w:eastAsia="Arial" w:hAnsi="Arial"/>
                <w:sz w:val="16"/>
                <w:szCs w:val="16"/>
                <w:b w:val="1"/>
                <w:bCs w:val="1"/>
                <w:color w:val="auto"/>
                <w:w w:val="93"/>
              </w:rPr>
              <w:t>Other</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0"/>
              </w:rPr>
              <w:t>Aggregate</w:t>
            </w:r>
          </w:p>
        </w:tc>
        <w:tc>
          <w:tcPr>
            <w:tcW w:w="140" w:type="dxa"/>
            <w:vAlign w:val="bottom"/>
          </w:tcPr>
          <w:p>
            <w:pPr>
              <w:spacing w:after="0"/>
              <w:rPr>
                <w:sz w:val="17"/>
                <w:szCs w:val="17"/>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Markets For</w:t>
            </w:r>
          </w:p>
        </w:tc>
        <w:tc>
          <w:tcPr>
            <w:tcW w:w="12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Observable</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0"/>
              </w:rPr>
              <w:t>Aggregate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4"/>
              </w:rPr>
              <w:t>Markets For</w:t>
            </w:r>
          </w:p>
        </w:tc>
        <w:tc>
          <w:tcPr>
            <w:tcW w:w="1020" w:type="dxa"/>
            <w:vAlign w:val="bottom"/>
          </w:tcPr>
          <w:p>
            <w:pPr>
              <w:jc w:val="center"/>
              <w:ind w:right="14"/>
              <w:spacing w:after="0"/>
              <w:rPr>
                <w:sz w:val="20"/>
                <w:szCs w:val="20"/>
                <w:color w:val="auto"/>
              </w:rPr>
            </w:pPr>
            <w:r>
              <w:rPr>
                <w:rFonts w:ascii="Arial" w:cs="Arial" w:eastAsia="Arial" w:hAnsi="Arial"/>
                <w:sz w:val="16"/>
                <w:szCs w:val="16"/>
                <w:b w:val="1"/>
                <w:bCs w:val="1"/>
                <w:color w:val="auto"/>
                <w:w w:val="91"/>
              </w:rPr>
              <w:t>Observable</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5"/>
              </w:rPr>
              <w:t>Fair</w:t>
            </w:r>
          </w:p>
        </w:tc>
        <w:tc>
          <w:tcPr>
            <w:tcW w:w="140" w:type="dxa"/>
            <w:vAlign w:val="bottom"/>
          </w:tcPr>
          <w:p>
            <w:pPr>
              <w:spacing w:after="0"/>
              <w:rPr>
                <w:sz w:val="17"/>
                <w:szCs w:val="17"/>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5"/>
              </w:rPr>
              <w:t>Identical</w:t>
            </w:r>
          </w:p>
        </w:tc>
        <w:tc>
          <w:tcPr>
            <w:tcW w:w="12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Remaining</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5"/>
              </w:rPr>
              <w:t>Fair</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5"/>
              </w:rPr>
              <w:t>Identical</w:t>
            </w:r>
          </w:p>
        </w:tc>
        <w:tc>
          <w:tcPr>
            <w:tcW w:w="1020" w:type="dxa"/>
            <w:vAlign w:val="bottom"/>
          </w:tcPr>
          <w:p>
            <w:pPr>
              <w:jc w:val="center"/>
              <w:ind w:right="14"/>
              <w:spacing w:after="0"/>
              <w:rPr>
                <w:sz w:val="20"/>
                <w:szCs w:val="20"/>
                <w:color w:val="auto"/>
              </w:rPr>
            </w:pPr>
            <w:r>
              <w:rPr>
                <w:rFonts w:ascii="Arial" w:cs="Arial" w:eastAsia="Arial" w:hAnsi="Arial"/>
                <w:sz w:val="16"/>
                <w:szCs w:val="16"/>
                <w:b w:val="1"/>
                <w:bCs w:val="1"/>
                <w:color w:val="auto"/>
                <w:w w:val="92"/>
              </w:rPr>
              <w:t>Remaining</w:t>
            </w:r>
          </w:p>
        </w:tc>
        <w:tc>
          <w:tcPr>
            <w:tcW w:w="0" w:type="dxa"/>
            <w:vAlign w:val="bottom"/>
          </w:tcPr>
          <w:p>
            <w:pPr>
              <w:spacing w:after="0"/>
              <w:rPr>
                <w:sz w:val="1"/>
                <w:szCs w:val="1"/>
                <w:color w:val="auto"/>
              </w:rPr>
            </w:pPr>
          </w:p>
        </w:tc>
      </w:tr>
      <w:tr>
        <w:trPr>
          <w:trHeight w:val="210"/>
        </w:trPr>
        <w:tc>
          <w:tcPr>
            <w:tcW w:w="39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3"/>
              </w:rPr>
              <w:t>Value</w:t>
            </w:r>
          </w:p>
        </w:tc>
        <w:tc>
          <w:tcPr>
            <w:tcW w:w="140" w:type="dxa"/>
            <w:vAlign w:val="bottom"/>
          </w:tcPr>
          <w:p>
            <w:pPr>
              <w:spacing w:after="0"/>
              <w:rPr>
                <w:sz w:val="18"/>
                <w:szCs w:val="18"/>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79"/>
              </w:rPr>
              <w:t>Assets</w:t>
            </w:r>
          </w:p>
        </w:tc>
        <w:tc>
          <w:tcPr>
            <w:tcW w:w="12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Inputs</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3"/>
              </w:rPr>
              <w:t>Value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79"/>
              </w:rPr>
              <w:t>Assets</w:t>
            </w:r>
          </w:p>
        </w:tc>
        <w:tc>
          <w:tcPr>
            <w:tcW w:w="1020" w:type="dxa"/>
            <w:vAlign w:val="bottom"/>
          </w:tcPr>
          <w:p>
            <w:pPr>
              <w:jc w:val="center"/>
              <w:ind w:right="14"/>
              <w:spacing w:after="0"/>
              <w:rPr>
                <w:sz w:val="20"/>
                <w:szCs w:val="20"/>
                <w:color w:val="auto"/>
              </w:rPr>
            </w:pPr>
            <w:r>
              <w:rPr>
                <w:rFonts w:ascii="Arial" w:cs="Arial" w:eastAsia="Arial" w:hAnsi="Arial"/>
                <w:sz w:val="16"/>
                <w:szCs w:val="16"/>
                <w:b w:val="1"/>
                <w:bCs w:val="1"/>
                <w:color w:val="auto"/>
                <w:w w:val="91"/>
              </w:rPr>
              <w:t>Inputs</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9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5"/>
              </w:rPr>
              <w:t>(Level 1)</w:t>
            </w:r>
          </w:p>
        </w:tc>
        <w:tc>
          <w:tcPr>
            <w:tcW w:w="12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(Level 2)</w:t>
            </w: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5"/>
              </w:rPr>
              <w:t>(Level 1)</w:t>
            </w:r>
          </w:p>
        </w:tc>
        <w:tc>
          <w:tcPr>
            <w:tcW w:w="1020" w:type="dxa"/>
            <w:vAlign w:val="bottom"/>
          </w:tcPr>
          <w:p>
            <w:pPr>
              <w:jc w:val="center"/>
              <w:ind w:right="14"/>
              <w:spacing w:after="0"/>
              <w:rPr>
                <w:sz w:val="20"/>
                <w:szCs w:val="20"/>
                <w:color w:val="auto"/>
              </w:rPr>
            </w:pPr>
            <w:r>
              <w:rPr>
                <w:rFonts w:ascii="Arial" w:cs="Arial" w:eastAsia="Arial" w:hAnsi="Arial"/>
                <w:sz w:val="16"/>
                <w:szCs w:val="16"/>
                <w:b w:val="1"/>
                <w:bCs w:val="1"/>
                <w:color w:val="auto"/>
                <w:w w:val="92"/>
              </w:rPr>
              <w:t>(Level 2)</w:t>
            </w:r>
          </w:p>
        </w:tc>
        <w:tc>
          <w:tcPr>
            <w:tcW w:w="0" w:type="dxa"/>
            <w:vAlign w:val="bottom"/>
          </w:tcPr>
          <w:p>
            <w:pPr>
              <w:spacing w:after="0"/>
              <w:rPr>
                <w:sz w:val="1"/>
                <w:szCs w:val="1"/>
                <w:color w:val="auto"/>
              </w:rPr>
            </w:pPr>
          </w:p>
        </w:tc>
      </w:tr>
      <w:tr>
        <w:trPr>
          <w:trHeight w:val="33"/>
        </w:trPr>
        <w:tc>
          <w:tcPr>
            <w:tcW w:w="39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Total cash, cash equivalents and available-for-sale</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securities:</w:t>
            </w:r>
          </w:p>
        </w:tc>
        <w:tc>
          <w:tcPr>
            <w:tcW w:w="1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260"/>
              <w:spacing w:after="0"/>
              <w:rPr>
                <w:sz w:val="20"/>
                <w:szCs w:val="20"/>
                <w:color w:val="auto"/>
              </w:rPr>
            </w:pPr>
            <w:r>
              <w:rPr>
                <w:rFonts w:ascii="Arial" w:cs="Arial" w:eastAsia="Arial" w:hAnsi="Arial"/>
                <w:sz w:val="18"/>
                <w:szCs w:val="18"/>
                <w:color w:val="auto"/>
              </w:rPr>
              <w:t>U.S. government and agency securities</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65,135</w:t>
            </w:r>
          </w:p>
        </w:tc>
        <w:tc>
          <w:tcPr>
            <w:tcW w:w="14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65,135</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51,943</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51,943</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Corporate debt securities</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273,768</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273,768</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213,396</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213,396</w:t>
            </w:r>
          </w:p>
        </w:tc>
        <w:tc>
          <w:tcPr>
            <w:tcW w:w="0" w:type="dxa"/>
            <w:vAlign w:val="bottom"/>
          </w:tcPr>
          <w:p>
            <w:pPr>
              <w:spacing w:after="0"/>
              <w:rPr>
                <w:sz w:val="1"/>
                <w:szCs w:val="1"/>
                <w:color w:val="auto"/>
              </w:rPr>
            </w:pPr>
          </w:p>
        </w:tc>
      </w:tr>
      <w:tr>
        <w:trPr>
          <w:trHeight w:val="243"/>
        </w:trPr>
        <w:tc>
          <w:tcPr>
            <w:tcW w:w="392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6,994</w:t>
            </w:r>
          </w:p>
        </w:tc>
        <w:tc>
          <w:tcPr>
            <w:tcW w:w="14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6,994</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52,415</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52,415</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Municipal bonds</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11,057</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11,057</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11,080</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11,080</w:t>
            </w:r>
          </w:p>
        </w:tc>
        <w:tc>
          <w:tcPr>
            <w:tcW w:w="0" w:type="dxa"/>
            <w:vAlign w:val="bottom"/>
          </w:tcPr>
          <w:p>
            <w:pPr>
              <w:spacing w:after="0"/>
              <w:rPr>
                <w:sz w:val="1"/>
                <w:szCs w:val="1"/>
                <w:color w:val="auto"/>
              </w:rPr>
            </w:pPr>
          </w:p>
        </w:tc>
      </w:tr>
      <w:tr>
        <w:trPr>
          <w:trHeight w:val="243"/>
        </w:trPr>
        <w:tc>
          <w:tcPr>
            <w:tcW w:w="3920" w:type="dxa"/>
            <w:vAlign w:val="bottom"/>
          </w:tcPr>
          <w:p>
            <w:pPr>
              <w:ind w:left="260"/>
              <w:spacing w:after="0"/>
              <w:rPr>
                <w:sz w:val="20"/>
                <w:szCs w:val="20"/>
                <w:color w:val="auto"/>
              </w:rPr>
            </w:pPr>
            <w:r>
              <w:rPr>
                <w:rFonts w:ascii="Arial" w:cs="Arial" w:eastAsia="Arial" w:hAnsi="Arial"/>
                <w:sz w:val="18"/>
                <w:szCs w:val="18"/>
                <w:color w:val="auto"/>
              </w:rPr>
              <w:t>Term deposits</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8,968</w:t>
            </w:r>
          </w:p>
        </w:tc>
        <w:tc>
          <w:tcPr>
            <w:tcW w:w="1120" w:type="dxa"/>
            <w:vAlign w:val="bottom"/>
            <w:gridSpan w:val="2"/>
          </w:tcPr>
          <w:p>
            <w:pPr>
              <w:jc w:val="right"/>
              <w:ind w:right="15"/>
              <w:spacing w:after="0"/>
              <w:rPr>
                <w:sz w:val="20"/>
                <w:szCs w:val="20"/>
                <w:color w:val="auto"/>
              </w:rPr>
            </w:pPr>
            <w:r>
              <w:rPr>
                <w:rFonts w:ascii="Arial" w:cs="Arial" w:eastAsia="Arial" w:hAnsi="Arial"/>
                <w:sz w:val="18"/>
                <w:szCs w:val="18"/>
                <w:color w:val="auto"/>
              </w:rPr>
              <w:t>8,968</w:t>
            </w:r>
          </w:p>
        </w:tc>
        <w:tc>
          <w:tcPr>
            <w:tcW w:w="16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5,263</w:t>
            </w:r>
          </w:p>
        </w:tc>
        <w:tc>
          <w:tcPr>
            <w:tcW w:w="1180" w:type="dxa"/>
            <w:vAlign w:val="bottom"/>
            <w:gridSpan w:val="3"/>
          </w:tcPr>
          <w:p>
            <w:pPr>
              <w:jc w:val="right"/>
              <w:ind w:right="15"/>
              <w:spacing w:after="0"/>
              <w:rPr>
                <w:sz w:val="20"/>
                <w:szCs w:val="20"/>
                <w:color w:val="auto"/>
              </w:rPr>
            </w:pPr>
            <w:r>
              <w:rPr>
                <w:rFonts w:ascii="Arial" w:cs="Arial" w:eastAsia="Arial" w:hAnsi="Arial"/>
                <w:sz w:val="18"/>
                <w:szCs w:val="18"/>
                <w:color w:val="auto"/>
              </w:rPr>
              <w:t>5,263</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Money market funds</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22,961</w:t>
            </w:r>
          </w:p>
        </w:tc>
        <w:tc>
          <w:tcPr>
            <w:tcW w:w="1120" w:type="dxa"/>
            <w:vAlign w:val="bottom"/>
            <w:tcBorders>
              <w:bottom w:val="single" w:sz="8" w:color="CCEEFF"/>
            </w:tcBorders>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22,961</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7,078</w:t>
            </w:r>
          </w:p>
        </w:tc>
        <w:tc>
          <w:tcPr>
            <w:tcW w:w="1180" w:type="dxa"/>
            <w:vAlign w:val="bottom"/>
            <w:tcBorders>
              <w:bottom w:val="single" w:sz="8" w:color="CCEEFF"/>
            </w:tcBorders>
            <w:gridSpan w:val="3"/>
            <w:shd w:val="clear" w:color="auto" w:fill="CCEEFF"/>
          </w:tcPr>
          <w:p>
            <w:pPr>
              <w:jc w:val="right"/>
              <w:ind w:right="15"/>
              <w:spacing w:after="0"/>
              <w:rPr>
                <w:sz w:val="20"/>
                <w:szCs w:val="20"/>
                <w:color w:val="auto"/>
              </w:rPr>
            </w:pPr>
            <w:r>
              <w:rPr>
                <w:rFonts w:ascii="Arial" w:cs="Arial" w:eastAsia="Arial" w:hAnsi="Arial"/>
                <w:sz w:val="18"/>
                <w:szCs w:val="18"/>
                <w:color w:val="auto"/>
              </w:rPr>
              <w:t>7,078</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20" w:type="dxa"/>
            <w:vAlign w:val="bottom"/>
          </w:tcPr>
          <w:p>
            <w:pPr>
              <w:ind w:left="260"/>
              <w:spacing w:after="0"/>
              <w:rPr>
                <w:sz w:val="20"/>
                <w:szCs w:val="20"/>
                <w:color w:val="auto"/>
              </w:rPr>
            </w:pPr>
            <w:r>
              <w:rPr>
                <w:rFonts w:ascii="Arial" w:cs="Arial" w:eastAsia="Arial" w:hAnsi="Arial"/>
                <w:sz w:val="18"/>
                <w:szCs w:val="18"/>
                <w:color w:val="auto"/>
              </w:rPr>
              <w:t>Foreign currency contracts</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388,883</w:t>
            </w:r>
          </w:p>
        </w:tc>
        <w:tc>
          <w:tcPr>
            <w:tcW w:w="112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31,929</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356,954</w:t>
            </w: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341,249</w:t>
            </w:r>
          </w:p>
        </w:tc>
        <w:tc>
          <w:tcPr>
            <w:tcW w:w="1180" w:type="dxa"/>
            <w:vAlign w:val="bottom"/>
            <w:gridSpan w:val="3"/>
            <w:shd w:val="clear" w:color="auto" w:fill="CCEEFF"/>
          </w:tcPr>
          <w:p>
            <w:pPr>
              <w:jc w:val="right"/>
              <w:ind w:right="15"/>
              <w:spacing w:after="0"/>
              <w:rPr>
                <w:sz w:val="20"/>
                <w:szCs w:val="20"/>
                <w:color w:val="auto"/>
              </w:rPr>
            </w:pPr>
            <w:r>
              <w:rPr>
                <w:rFonts w:ascii="Arial" w:cs="Arial" w:eastAsia="Arial" w:hAnsi="Arial"/>
                <w:sz w:val="18"/>
                <w:szCs w:val="18"/>
                <w:color w:val="auto"/>
              </w:rPr>
              <w:t>12,341</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328,908</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Reported as:</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20" w:type="dxa"/>
            <w:vAlign w:val="bottom"/>
            <w:vMerge w:val="continue"/>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Cash and cash equivalents</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25,161</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20,574</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232,617</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246,651</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260"/>
              <w:spacing w:after="0"/>
              <w:rPr>
                <w:sz w:val="20"/>
                <w:szCs w:val="20"/>
                <w:color w:val="auto"/>
              </w:rPr>
            </w:pPr>
            <w:r>
              <w:rPr>
                <w:rFonts w:ascii="Arial" w:cs="Arial" w:eastAsia="Arial" w:hAnsi="Arial"/>
                <w:sz w:val="18"/>
                <w:szCs w:val="18"/>
                <w:color w:val="auto"/>
              </w:rPr>
              <w:t>Long-term investments</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131,105</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73,950</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388,883</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341,249</w:t>
            </w:r>
          </w:p>
        </w:tc>
        <w:tc>
          <w:tcPr>
            <w:tcW w:w="6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80" w:firstLine="486"/>
        <w:spacing w:after="0" w:line="277" w:lineRule="auto"/>
        <w:rPr>
          <w:sz w:val="20"/>
          <w:szCs w:val="20"/>
          <w:color w:val="auto"/>
        </w:rPr>
      </w:pPr>
      <w:r>
        <w:rPr>
          <w:rFonts w:ascii="Arial" w:cs="Arial" w:eastAsia="Arial" w:hAnsi="Arial"/>
          <w:sz w:val="18"/>
          <w:szCs w:val="18"/>
          <w:color w:val="auto"/>
        </w:rPr>
        <w:t>We did not hold financial assets or liabilities which were recorded at fair value using inputs in the Level 3 category as of March 31, 2011 or December 31,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INVENTORY</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Inventory consisted of the following ($ amounts in 000's):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0" w:type="dxa"/>
            <w:vAlign w:val="bottom"/>
          </w:tcPr>
          <w:p>
            <w:pPr>
              <w:spacing w:after="0"/>
              <w:rPr>
                <w:sz w:val="17"/>
                <w:szCs w:val="17"/>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March 31,</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89"/>
              </w:rPr>
              <w:t>2011</w:t>
            </w:r>
          </w:p>
        </w:tc>
        <w:tc>
          <w:tcPr>
            <w:tcW w:w="2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5"/>
              </w:rPr>
              <w:t>2010</w:t>
            </w:r>
          </w:p>
        </w:tc>
        <w:tc>
          <w:tcPr>
            <w:tcW w:w="0" w:type="dxa"/>
            <w:vAlign w:val="bottom"/>
          </w:tcPr>
          <w:p>
            <w:pPr>
              <w:spacing w:after="0"/>
              <w:rPr>
                <w:sz w:val="1"/>
                <w:szCs w:val="1"/>
                <w:color w:val="auto"/>
              </w:rPr>
            </w:pPr>
          </w:p>
        </w:tc>
      </w:tr>
      <w:tr>
        <w:trPr>
          <w:trHeight w:val="33"/>
        </w:trPr>
        <w:tc>
          <w:tcPr>
            <w:tcW w:w="80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6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2,939</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2,593</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1620" w:type="dxa"/>
            <w:vAlign w:val="bottom"/>
          </w:tcPr>
          <w:p>
            <w:pPr>
              <w:jc w:val="right"/>
              <w:ind w:right="53"/>
              <w:spacing w:after="0"/>
              <w:rPr>
                <w:sz w:val="20"/>
                <w:szCs w:val="20"/>
                <w:color w:val="auto"/>
              </w:rPr>
            </w:pPr>
            <w:r>
              <w:rPr>
                <w:rFonts w:ascii="Arial" w:cs="Arial" w:eastAsia="Arial" w:hAnsi="Arial"/>
                <w:sz w:val="18"/>
                <w:szCs w:val="18"/>
                <w:color w:val="auto"/>
              </w:rPr>
              <w:t>9,186</w:t>
            </w:r>
          </w:p>
        </w:tc>
        <w:tc>
          <w:tcPr>
            <w:tcW w:w="22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10,924</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16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12,125</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13,517</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8"/>
                <w:szCs w:val="18"/>
                <w:b w:val="1"/>
                <w:bCs w:val="1"/>
                <w:color w:val="auto"/>
              </w:rPr>
              <w:t>4. PROPERTY AND EQUIPMENT—Net</w:t>
            </w: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00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Pr>
          <w:p>
            <w:pPr>
              <w:ind w:left="500"/>
              <w:spacing w:after="0"/>
              <w:rPr>
                <w:sz w:val="20"/>
                <w:szCs w:val="20"/>
                <w:color w:val="auto"/>
              </w:rPr>
            </w:pPr>
            <w:r>
              <w:rPr>
                <w:rFonts w:ascii="Arial" w:cs="Arial" w:eastAsia="Arial" w:hAnsi="Arial"/>
                <w:sz w:val="18"/>
                <w:szCs w:val="18"/>
                <w:color w:val="auto"/>
              </w:rPr>
              <w:t>Property and equipment consisted of the following ($ amounts in 000's):</w:t>
            </w: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000" w:type="dxa"/>
            <w:vAlign w:val="bottom"/>
          </w:tcPr>
          <w:p>
            <w:pPr>
              <w:spacing w:after="0"/>
              <w:rPr>
                <w:sz w:val="24"/>
                <w:szCs w:val="24"/>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March 31,</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89"/>
              </w:rPr>
              <w:t>2011</w:t>
            </w:r>
          </w:p>
        </w:tc>
        <w:tc>
          <w:tcPr>
            <w:tcW w:w="2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5"/>
              </w:rPr>
              <w:t>2010</w:t>
            </w:r>
          </w:p>
        </w:tc>
        <w:tc>
          <w:tcPr>
            <w:tcW w:w="0" w:type="dxa"/>
            <w:vAlign w:val="bottom"/>
          </w:tcPr>
          <w:p>
            <w:pPr>
              <w:spacing w:after="0"/>
              <w:rPr>
                <w:sz w:val="1"/>
                <w:szCs w:val="1"/>
                <w:color w:val="auto"/>
              </w:rPr>
            </w:pPr>
          </w:p>
        </w:tc>
      </w:tr>
      <w:tr>
        <w:trPr>
          <w:trHeight w:val="33"/>
        </w:trPr>
        <w:tc>
          <w:tcPr>
            <w:tcW w:w="80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Evaluation units</w:t>
            </w:r>
          </w:p>
        </w:tc>
        <w:tc>
          <w:tcPr>
            <w:tcW w:w="16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11,208</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10,607</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Computer equipment and software</w:t>
            </w:r>
          </w:p>
        </w:tc>
        <w:tc>
          <w:tcPr>
            <w:tcW w:w="1620" w:type="dxa"/>
            <w:vAlign w:val="bottom"/>
          </w:tcPr>
          <w:p>
            <w:pPr>
              <w:jc w:val="right"/>
              <w:ind w:right="53"/>
              <w:spacing w:after="0"/>
              <w:rPr>
                <w:sz w:val="20"/>
                <w:szCs w:val="20"/>
                <w:color w:val="auto"/>
              </w:rPr>
            </w:pPr>
            <w:r>
              <w:rPr>
                <w:rFonts w:ascii="Arial" w:cs="Arial" w:eastAsia="Arial" w:hAnsi="Arial"/>
                <w:sz w:val="18"/>
                <w:szCs w:val="18"/>
                <w:color w:val="auto"/>
              </w:rPr>
              <w:t>10,367</w:t>
            </w:r>
          </w:p>
        </w:tc>
        <w:tc>
          <w:tcPr>
            <w:tcW w:w="22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9,561</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16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1,179</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Leasehold improvements and tooling</w:t>
            </w:r>
          </w:p>
        </w:tc>
        <w:tc>
          <w:tcPr>
            <w:tcW w:w="1620" w:type="dxa"/>
            <w:vAlign w:val="bottom"/>
          </w:tcPr>
          <w:p>
            <w:pPr>
              <w:jc w:val="right"/>
              <w:ind w:right="53"/>
              <w:spacing w:after="0"/>
              <w:rPr>
                <w:sz w:val="20"/>
                <w:szCs w:val="20"/>
                <w:color w:val="auto"/>
              </w:rPr>
            </w:pPr>
            <w:r>
              <w:rPr>
                <w:rFonts w:ascii="Arial" w:cs="Arial" w:eastAsia="Arial" w:hAnsi="Arial"/>
                <w:sz w:val="18"/>
                <w:szCs w:val="18"/>
                <w:color w:val="auto"/>
              </w:rPr>
              <w:t>4,682</w:t>
            </w:r>
          </w:p>
        </w:tc>
        <w:tc>
          <w:tcPr>
            <w:tcW w:w="22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4,548</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property and equipment</w:t>
            </w:r>
          </w:p>
        </w:tc>
        <w:tc>
          <w:tcPr>
            <w:tcW w:w="16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27,436</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25,803</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620" w:type="dxa"/>
            <w:vAlign w:val="bottom"/>
          </w:tcPr>
          <w:p>
            <w:pPr>
              <w:jc w:val="right"/>
              <w:spacing w:after="0"/>
              <w:rPr>
                <w:sz w:val="20"/>
                <w:szCs w:val="20"/>
                <w:color w:val="auto"/>
              </w:rPr>
            </w:pPr>
            <w:r>
              <w:rPr>
                <w:rFonts w:ascii="Arial" w:cs="Arial" w:eastAsia="Arial" w:hAnsi="Arial"/>
                <w:sz w:val="18"/>
                <w:szCs w:val="18"/>
                <w:color w:val="auto"/>
              </w:rPr>
              <w:t>(20,338)</w:t>
            </w: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(18,747)</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equipment—net</w:t>
            </w:r>
          </w:p>
        </w:tc>
        <w:tc>
          <w:tcPr>
            <w:tcW w:w="16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7,098</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7,056</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Depreciation expense was $1.6 million and $1.4 million for the three months ended March 31, 2011 and March 31, 2010,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PER SHARE</w:t>
      </w:r>
    </w:p>
    <w:p>
      <w:pPr>
        <w:spacing w:after="0" w:line="229"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Basic net income per share is computed by dividing net income by the weighted-average number of common shares outstanding during the period. Diluted net income per share is computed by dividing net income by the weighted-average number of common shares outstanding, plus the dilutive effects of stock options and warrants.</w:t>
      </w:r>
    </w:p>
    <w:p>
      <w:pPr>
        <w:spacing w:after="0" w:line="181"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income per share is as follows ($ and share amounts in 000's, except per share amounts):</w:t>
      </w:r>
    </w:p>
    <w:p>
      <w:pPr>
        <w:spacing w:after="0" w:line="347" w:lineRule="exact"/>
        <w:rPr>
          <w:sz w:val="20"/>
          <w:szCs w:val="20"/>
          <w:color w:val="auto"/>
        </w:rPr>
      </w:pPr>
    </w:p>
    <w:p>
      <w:pPr>
        <w:ind w:left="916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37465</wp:posOffset>
            </wp:positionV>
            <wp:extent cx="19640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20" w:type="dxa"/>
            <w:vAlign w:val="bottom"/>
          </w:tcPr>
          <w:p>
            <w:pPr>
              <w:spacing w:after="0"/>
              <w:rPr>
                <w:sz w:val="17"/>
                <w:szCs w:val="17"/>
                <w:color w:val="auto"/>
              </w:rPr>
            </w:pPr>
          </w:p>
        </w:tc>
        <w:tc>
          <w:tcPr>
            <w:tcW w:w="1620" w:type="dxa"/>
            <w:vAlign w:val="bottom"/>
            <w:gridSpan w:val="2"/>
          </w:tcPr>
          <w:p>
            <w:pPr>
              <w:ind w:left="360"/>
              <w:spacing w:after="0"/>
              <w:rPr>
                <w:sz w:val="20"/>
                <w:szCs w:val="20"/>
                <w:color w:val="auto"/>
              </w:rPr>
            </w:pPr>
            <w:r>
              <w:rPr>
                <w:rFonts w:ascii="Arial" w:cs="Arial" w:eastAsia="Arial" w:hAnsi="Arial"/>
                <w:sz w:val="16"/>
                <w:szCs w:val="16"/>
                <w:b w:val="1"/>
                <w:bCs w:val="1"/>
                <w:color w:val="auto"/>
              </w:rPr>
              <w:t>March 31,</w:t>
            </w:r>
          </w:p>
        </w:tc>
        <w:tc>
          <w:tcPr>
            <w:tcW w:w="1480" w:type="dxa"/>
            <w:vAlign w:val="bottom"/>
          </w:tcPr>
          <w:p>
            <w:pPr>
              <w:jc w:val="right"/>
              <w:ind w:right="312"/>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0"/>
        </w:trPr>
        <w:tc>
          <w:tcPr>
            <w:tcW w:w="8320" w:type="dxa"/>
            <w:vAlign w:val="bottom"/>
          </w:tcPr>
          <w:p>
            <w:pPr>
              <w:spacing w:after="0"/>
              <w:rPr>
                <w:sz w:val="18"/>
                <w:szCs w:val="18"/>
                <w:color w:val="auto"/>
              </w:rPr>
            </w:pPr>
          </w:p>
        </w:tc>
        <w:tc>
          <w:tcPr>
            <w:tcW w:w="1480" w:type="dxa"/>
            <w:vAlign w:val="bottom"/>
          </w:tcPr>
          <w:p>
            <w:pPr>
              <w:jc w:val="right"/>
              <w:ind w:right="492"/>
              <w:spacing w:after="0"/>
              <w:rPr>
                <w:sz w:val="20"/>
                <w:szCs w:val="20"/>
                <w:color w:val="auto"/>
              </w:rPr>
            </w:pPr>
            <w:r>
              <w:rPr>
                <w:rFonts w:ascii="Arial" w:cs="Arial" w:eastAsia="Arial" w:hAnsi="Arial"/>
                <w:sz w:val="16"/>
                <w:szCs w:val="16"/>
                <w:b w:val="1"/>
                <w:bCs w:val="1"/>
                <w:color w:val="auto"/>
              </w:rPr>
              <w:t>2011</w:t>
            </w:r>
          </w:p>
        </w:tc>
        <w:tc>
          <w:tcPr>
            <w:tcW w:w="140" w:type="dxa"/>
            <w:vAlign w:val="bottom"/>
          </w:tcPr>
          <w:p>
            <w:pPr>
              <w:spacing w:after="0"/>
              <w:rPr>
                <w:sz w:val="18"/>
                <w:szCs w:val="18"/>
                <w:color w:val="auto"/>
              </w:rPr>
            </w:pPr>
          </w:p>
        </w:tc>
        <w:tc>
          <w:tcPr>
            <w:tcW w:w="1480" w:type="dxa"/>
            <w:vAlign w:val="bottom"/>
          </w:tcPr>
          <w:p>
            <w:pPr>
              <w:jc w:val="right"/>
              <w:ind w:right="492"/>
              <w:spacing w:after="0"/>
              <w:rPr>
                <w:sz w:val="20"/>
                <w:szCs w:val="20"/>
                <w:color w:val="auto"/>
              </w:rPr>
            </w:pPr>
            <w:r>
              <w:rPr>
                <w:rFonts w:ascii="Arial" w:cs="Arial" w:eastAsia="Arial" w:hAnsi="Arial"/>
                <w:sz w:val="16"/>
                <w:szCs w:val="16"/>
                <w:b w:val="1"/>
                <w:bCs w:val="1"/>
                <w:color w:val="auto"/>
              </w:rPr>
              <w:t>2010</w:t>
            </w:r>
          </w:p>
        </w:tc>
        <w:tc>
          <w:tcPr>
            <w:tcW w:w="0" w:type="dxa"/>
            <w:vAlign w:val="bottom"/>
          </w:tcPr>
          <w:p>
            <w:pPr>
              <w:spacing w:after="0"/>
              <w:rPr>
                <w:sz w:val="1"/>
                <w:szCs w:val="1"/>
                <w:color w:val="auto"/>
              </w:rPr>
            </w:pPr>
          </w:p>
        </w:tc>
      </w:tr>
      <w:tr>
        <w:trPr>
          <w:trHeight w:val="33"/>
        </w:trPr>
        <w:tc>
          <w:tcPr>
            <w:tcW w:w="83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1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8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1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13,587</w:t>
            </w:r>
          </w:p>
        </w:tc>
        <w:tc>
          <w:tcPr>
            <w:tcW w:w="14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4,218</w:t>
            </w:r>
          </w:p>
        </w:tc>
        <w:tc>
          <w:tcPr>
            <w:tcW w:w="0" w:type="dxa"/>
            <w:vAlign w:val="bottom"/>
          </w:tcPr>
          <w:p>
            <w:pPr>
              <w:spacing w:after="0"/>
              <w:rPr>
                <w:sz w:val="1"/>
                <w:szCs w:val="1"/>
                <w:color w:val="auto"/>
              </w:rPr>
            </w:pPr>
          </w:p>
        </w:tc>
      </w:tr>
      <w:tr>
        <w:trPr>
          <w:trHeight w:val="163"/>
        </w:trPr>
        <w:tc>
          <w:tcPr>
            <w:tcW w:w="83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Denominator:</w:t>
            </w:r>
          </w:p>
        </w:tc>
        <w:tc>
          <w:tcPr>
            <w:tcW w:w="1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shares:</w:t>
            </w:r>
          </w:p>
        </w:tc>
        <w:tc>
          <w:tcPr>
            <w:tcW w:w="1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83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Weighted-average common shares outstanding - basic</w:t>
            </w:r>
          </w:p>
        </w:tc>
        <w:tc>
          <w:tcPr>
            <w:tcW w:w="1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75,154</w:t>
            </w:r>
          </w:p>
        </w:tc>
        <w:tc>
          <w:tcPr>
            <w:tcW w:w="14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67,181</w:t>
            </w:r>
          </w:p>
        </w:tc>
        <w:tc>
          <w:tcPr>
            <w:tcW w:w="0" w:type="dxa"/>
            <w:vAlign w:val="bottom"/>
          </w:tcPr>
          <w:p>
            <w:pPr>
              <w:spacing w:after="0"/>
              <w:rPr>
                <w:sz w:val="1"/>
                <w:szCs w:val="1"/>
                <w:color w:val="auto"/>
              </w:rPr>
            </w:pPr>
          </w:p>
        </w:tc>
      </w:tr>
      <w:tr>
        <w:trPr>
          <w:trHeight w:val="163"/>
        </w:trPr>
        <w:tc>
          <w:tcPr>
            <w:tcW w:w="83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Diluted shares:</w:t>
            </w:r>
          </w:p>
        </w:tc>
        <w:tc>
          <w:tcPr>
            <w:tcW w:w="1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Weighted-average common shares outstanding - basic</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75,154</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67,181</w:t>
            </w: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Effect of potentially dilutive securities:</w:t>
            </w:r>
          </w:p>
        </w:tc>
        <w:tc>
          <w:tcPr>
            <w:tcW w:w="1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Employee stock options</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6,278</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7,610</w:t>
            </w:r>
          </w:p>
        </w:tc>
        <w:tc>
          <w:tcPr>
            <w:tcW w:w="0" w:type="dxa"/>
            <w:vAlign w:val="bottom"/>
          </w:tcPr>
          <w:p>
            <w:pPr>
              <w:spacing w:after="0"/>
              <w:rPr>
                <w:sz w:val="1"/>
                <w:szCs w:val="1"/>
                <w:color w:val="auto"/>
              </w:rPr>
            </w:pPr>
          </w:p>
        </w:tc>
      </w:tr>
      <w:tr>
        <w:trPr>
          <w:trHeight w:val="243"/>
        </w:trPr>
        <w:tc>
          <w:tcPr>
            <w:tcW w:w="8320" w:type="dxa"/>
            <w:vAlign w:val="bottom"/>
          </w:tcPr>
          <w:p>
            <w:pPr>
              <w:ind w:left="500"/>
              <w:spacing w:after="0"/>
              <w:rPr>
                <w:sz w:val="20"/>
                <w:szCs w:val="20"/>
                <w:color w:val="auto"/>
              </w:rPr>
            </w:pPr>
            <w:r>
              <w:rPr>
                <w:rFonts w:ascii="Arial" w:cs="Arial" w:eastAsia="Arial" w:hAnsi="Arial"/>
                <w:sz w:val="18"/>
                <w:szCs w:val="18"/>
                <w:color w:val="auto"/>
              </w:rPr>
              <w:t>Warrants to purchase common stock</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used to compute diluted net income per share</w:t>
            </w: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81,432</w:t>
            </w:r>
          </w:p>
        </w:tc>
        <w:tc>
          <w:tcPr>
            <w:tcW w:w="1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74,878</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40"/>
              <w:spacing w:after="0"/>
              <w:rPr>
                <w:sz w:val="20"/>
                <w:szCs w:val="20"/>
                <w:color w:val="auto"/>
              </w:rPr>
            </w:pPr>
            <w:r>
              <w:rPr>
                <w:rFonts w:ascii="Arial" w:cs="Arial" w:eastAsia="Arial" w:hAnsi="Arial"/>
                <w:sz w:val="18"/>
                <w:szCs w:val="18"/>
                <w:color w:val="auto"/>
              </w:rPr>
              <w:t>Net income per share:</w:t>
            </w: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20" w:type="dxa"/>
            <w:vAlign w:val="bottom"/>
            <w:vMerge w:val="continue"/>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0.18</w:t>
            </w:r>
          </w:p>
        </w:tc>
        <w:tc>
          <w:tcPr>
            <w:tcW w:w="1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320" w:type="dxa"/>
            <w:vAlign w:val="bottom"/>
          </w:tcPr>
          <w:p>
            <w:pPr>
              <w:ind w:left="500"/>
              <w:spacing w:after="0"/>
              <w:rPr>
                <w:sz w:val="20"/>
                <w:szCs w:val="20"/>
                <w:color w:val="auto"/>
              </w:rPr>
            </w:pPr>
            <w:r>
              <w:rPr>
                <w:rFonts w:ascii="Arial" w:cs="Arial" w:eastAsia="Arial" w:hAnsi="Arial"/>
                <w:sz w:val="18"/>
                <w:szCs w:val="18"/>
                <w:color w:val="auto"/>
              </w:rPr>
              <w:t>Diluted</w:t>
            </w:r>
          </w:p>
        </w:tc>
        <w:tc>
          <w:tcPr>
            <w:tcW w:w="1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0.17</w:t>
            </w:r>
          </w:p>
        </w:tc>
        <w:tc>
          <w:tcPr>
            <w:tcW w:w="140" w:type="dxa"/>
            <w:vAlign w:val="bottom"/>
          </w:tcPr>
          <w:p>
            <w:pPr>
              <w:spacing w:after="0"/>
              <w:rPr>
                <w:sz w:val="21"/>
                <w:szCs w:val="21"/>
                <w:color w:val="auto"/>
              </w:rPr>
            </w:pPr>
          </w:p>
        </w:tc>
        <w:tc>
          <w:tcPr>
            <w:tcW w:w="1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outstanding options were excluded from the computation of diluted net income per common share</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applicable to common stockholders for the periods presented as their effect would have been antidilutive (in 000's):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gridSpan w:val="5"/>
          </w:tcPr>
          <w:p>
            <w:pPr>
              <w:jc w:val="right"/>
              <w:ind w:right="713"/>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8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9"/>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4"/>
          </w:tcPr>
          <w:p>
            <w:pPr>
              <w:ind w:left="360"/>
              <w:spacing w:after="0"/>
              <w:rPr>
                <w:sz w:val="20"/>
                <w:szCs w:val="20"/>
                <w:color w:val="auto"/>
              </w:rPr>
            </w:pPr>
            <w:r>
              <w:rPr>
                <w:rFonts w:ascii="Arial" w:cs="Arial" w:eastAsia="Arial" w:hAnsi="Arial"/>
                <w:sz w:val="16"/>
                <w:szCs w:val="16"/>
                <w:b w:val="1"/>
                <w:bCs w:val="1"/>
                <w:color w:val="auto"/>
              </w:rPr>
              <w:t>March 31,</w:t>
            </w:r>
          </w:p>
        </w:tc>
        <w:tc>
          <w:tcPr>
            <w:tcW w:w="1480" w:type="dxa"/>
            <w:vAlign w:val="bottom"/>
          </w:tcPr>
          <w:p>
            <w:pPr>
              <w:jc w:val="right"/>
              <w:ind w:right="313"/>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ind w:right="313"/>
              <w:spacing w:after="0"/>
              <w:rPr>
                <w:sz w:val="20"/>
                <w:szCs w:val="20"/>
                <w:color w:val="auto"/>
              </w:rPr>
            </w:pPr>
            <w:r>
              <w:rPr>
                <w:rFonts w:ascii="Arial" w:cs="Arial" w:eastAsia="Arial" w:hAnsi="Arial"/>
                <w:sz w:val="16"/>
                <w:szCs w:val="16"/>
                <w:b w:val="1"/>
                <w:bCs w:val="1"/>
                <w:color w:val="auto"/>
              </w:rPr>
              <w:t>2011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493"/>
              <w:spacing w:after="0"/>
              <w:rPr>
                <w:sz w:val="20"/>
                <w:szCs w:val="20"/>
                <w:color w:val="auto"/>
              </w:rPr>
            </w:pPr>
            <w:r>
              <w:rPr>
                <w:rFonts w:ascii="Arial" w:cs="Arial" w:eastAsia="Arial" w:hAnsi="Arial"/>
                <w:sz w:val="16"/>
                <w:szCs w:val="16"/>
                <w:b w:val="1"/>
                <w:bCs w:val="1"/>
                <w:color w:val="auto"/>
              </w:rPr>
              <w:t>2010</w:t>
            </w:r>
          </w:p>
        </w:tc>
      </w:tr>
      <w:tr>
        <w:trPr>
          <w:trHeight w:val="33"/>
        </w:trPr>
        <w:tc>
          <w:tcPr>
            <w:tcW w:w="80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Options to purchase common stock</w:t>
            </w:r>
          </w:p>
        </w:tc>
        <w:tc>
          <w:tcPr>
            <w:tcW w:w="1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723</w:t>
            </w:r>
          </w:p>
        </w:tc>
      </w:tr>
      <w:tr>
        <w:trPr>
          <w:trHeight w:val="432"/>
        </w:trPr>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6. DEFERRED REVENUES</w:t>
            </w: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32"/>
        </w:trPr>
        <w:tc>
          <w:tcPr>
            <w:tcW w:w="8320" w:type="dxa"/>
            <w:vAlign w:val="bottom"/>
            <w:gridSpan w:val="2"/>
          </w:tcPr>
          <w:p>
            <w:pPr>
              <w:ind w:left="500"/>
              <w:spacing w:after="0"/>
              <w:rPr>
                <w:sz w:val="20"/>
                <w:szCs w:val="20"/>
                <w:color w:val="auto"/>
              </w:rPr>
            </w:pPr>
            <w:r>
              <w:rPr>
                <w:rFonts w:ascii="Arial" w:cs="Arial" w:eastAsia="Arial" w:hAnsi="Arial"/>
                <w:sz w:val="18"/>
                <w:szCs w:val="18"/>
                <w:color w:val="auto"/>
              </w:rPr>
              <w:t>Deferred revenues consisted of the following ($ amounts in 000's):</w:t>
            </w: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567"/>
        </w:trPr>
        <w:tc>
          <w:tcPr>
            <w:tcW w:w="8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gridSpan w:val="4"/>
          </w:tcPr>
          <w:p>
            <w:pPr>
              <w:ind w:left="120"/>
              <w:spacing w:after="0"/>
              <w:rPr>
                <w:sz w:val="20"/>
                <w:szCs w:val="20"/>
                <w:color w:val="auto"/>
              </w:rPr>
            </w:pPr>
            <w:r>
              <w:rPr>
                <w:rFonts w:ascii="Arial" w:cs="Arial" w:eastAsia="Arial" w:hAnsi="Arial"/>
                <w:sz w:val="16"/>
                <w:szCs w:val="16"/>
                <w:b w:val="1"/>
                <w:bCs w:val="1"/>
                <w:color w:val="auto"/>
              </w:rPr>
              <w:t>March 31,</w:t>
            </w:r>
          </w:p>
        </w:tc>
        <w:tc>
          <w:tcPr>
            <w:tcW w:w="1480" w:type="dxa"/>
            <w:vAlign w:val="bottom"/>
          </w:tcPr>
          <w:p>
            <w:pPr>
              <w:jc w:val="right"/>
              <w:ind w:right="253"/>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ind w:right="573"/>
              <w:spacing w:after="0"/>
              <w:rPr>
                <w:sz w:val="20"/>
                <w:szCs w:val="20"/>
                <w:color w:val="auto"/>
              </w:rPr>
            </w:pPr>
            <w:r>
              <w:rPr>
                <w:rFonts w:ascii="Arial" w:cs="Arial" w:eastAsia="Arial" w:hAnsi="Arial"/>
                <w:sz w:val="16"/>
                <w:szCs w:val="16"/>
                <w:b w:val="1"/>
                <w:bCs w:val="1"/>
                <w:color w:val="auto"/>
              </w:rPr>
              <w:t>2011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533"/>
              <w:spacing w:after="0"/>
              <w:rPr>
                <w:sz w:val="20"/>
                <w:szCs w:val="20"/>
                <w:color w:val="auto"/>
              </w:rPr>
            </w:pPr>
            <w:r>
              <w:rPr>
                <w:rFonts w:ascii="Arial" w:cs="Arial" w:eastAsia="Arial" w:hAnsi="Arial"/>
                <w:sz w:val="16"/>
                <w:szCs w:val="16"/>
                <w:b w:val="1"/>
                <w:bCs w:val="1"/>
                <w:color w:val="auto"/>
              </w:rPr>
              <w:t>2010</w:t>
            </w:r>
          </w:p>
        </w:tc>
      </w:tr>
      <w:tr>
        <w:trPr>
          <w:trHeight w:val="33"/>
        </w:trPr>
        <w:tc>
          <w:tcPr>
            <w:tcW w:w="8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Product</w:t>
            </w:r>
          </w:p>
        </w:tc>
        <w:tc>
          <w:tcPr>
            <w:tcW w:w="13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4,646</w:t>
            </w: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4,466</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Services</w:t>
            </w: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236,290</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219,022</w:t>
            </w:r>
          </w:p>
        </w:tc>
      </w:tr>
      <w:tr>
        <w:trPr>
          <w:trHeight w:val="27"/>
        </w:trPr>
        <w:tc>
          <w:tcPr>
            <w:tcW w:w="8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Ratable products and services</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25,093</w:t>
            </w:r>
          </w:p>
        </w:tc>
        <w:tc>
          <w:tcPr>
            <w:tcW w:w="1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29,143</w:t>
            </w:r>
          </w:p>
        </w:tc>
      </w:tr>
      <w:tr>
        <w:trPr>
          <w:trHeight w:val="297"/>
        </w:trPr>
        <w:tc>
          <w:tcPr>
            <w:tcW w:w="8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deferred revenues</w:t>
            </w:r>
          </w:p>
        </w:tc>
        <w:tc>
          <w:tcPr>
            <w:tcW w:w="32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266,029</w:t>
            </w:r>
          </w:p>
        </w:tc>
        <w:tc>
          <w:tcPr>
            <w:tcW w:w="1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4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252,631</w:t>
            </w:r>
          </w:p>
        </w:tc>
      </w:tr>
      <w:tr>
        <w:trPr>
          <w:trHeight w:val="237"/>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Reported As:</w:t>
            </w:r>
          </w:p>
        </w:tc>
        <w:tc>
          <w:tcPr>
            <w:tcW w:w="13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43"/>
        </w:trPr>
        <w:tc>
          <w:tcPr>
            <w:tcW w:w="8320" w:type="dxa"/>
            <w:vAlign w:val="bottom"/>
            <w:gridSpan w:val="2"/>
          </w:tcPr>
          <w:p>
            <w:pPr>
              <w:ind w:left="180"/>
              <w:spacing w:after="0"/>
              <w:rPr>
                <w:sz w:val="20"/>
                <w:szCs w:val="20"/>
                <w:color w:val="auto"/>
              </w:rPr>
            </w:pPr>
            <w:r>
              <w:rPr>
                <w:rFonts w:ascii="Arial" w:cs="Arial" w:eastAsia="Arial" w:hAnsi="Arial"/>
                <w:sz w:val="18"/>
                <w:szCs w:val="18"/>
                <w:color w:val="auto"/>
              </w:rPr>
              <w:t>Current</w:t>
            </w: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187,517</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169,648</w:t>
            </w:r>
          </w:p>
        </w:tc>
      </w:tr>
      <w:tr>
        <w:trPr>
          <w:trHeight w:val="27"/>
        </w:trPr>
        <w:tc>
          <w:tcPr>
            <w:tcW w:w="8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Non-current</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78,512</w:t>
            </w:r>
          </w:p>
        </w:tc>
        <w:tc>
          <w:tcPr>
            <w:tcW w:w="1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82,983</w:t>
            </w:r>
          </w:p>
        </w:tc>
      </w:tr>
      <w:tr>
        <w:trPr>
          <w:trHeight w:val="257"/>
        </w:trPr>
        <w:tc>
          <w:tcPr>
            <w:tcW w:w="8000" w:type="dxa"/>
            <w:vAlign w:val="bottom"/>
          </w:tcPr>
          <w:p>
            <w:pPr>
              <w:ind w:left="40"/>
              <w:spacing w:after="0"/>
              <w:rPr>
                <w:sz w:val="20"/>
                <w:szCs w:val="20"/>
                <w:color w:val="auto"/>
              </w:rPr>
            </w:pPr>
            <w:r>
              <w:rPr>
                <w:rFonts w:ascii="Arial" w:cs="Arial" w:eastAsia="Arial" w:hAnsi="Arial"/>
                <w:sz w:val="18"/>
                <w:szCs w:val="18"/>
                <w:color w:val="auto"/>
              </w:rPr>
              <w:t>Total deferred revenues</w:t>
            </w:r>
          </w:p>
        </w:tc>
        <w:tc>
          <w:tcPr>
            <w:tcW w:w="32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266,029</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252,631</w:t>
            </w: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25" w:lineRule="exact"/>
        <w:rPr>
          <w:sz w:val="20"/>
          <w:szCs w:val="20"/>
          <w:color w:val="auto"/>
        </w:rPr>
      </w:pPr>
    </w:p>
    <w:p>
      <w:pPr>
        <w:jc w:val="both"/>
        <w:ind w:right="20" w:firstLine="486"/>
        <w:spacing w:after="0" w:line="266" w:lineRule="auto"/>
        <w:rPr>
          <w:sz w:val="20"/>
          <w:szCs w:val="20"/>
          <w:color w:val="auto"/>
        </w:rPr>
      </w:pPr>
      <w:r>
        <w:rPr>
          <w:rFonts w:ascii="Arial" w:cs="Arial" w:eastAsia="Arial" w:hAnsi="Arial"/>
          <w:sz w:val="18"/>
          <w:szCs w:val="18"/>
          <w:b w:val="1"/>
          <w:bCs w:val="1"/>
          <w:color w:val="auto"/>
        </w:rPr>
        <w:t>Leases and Minimum Royalties—</w:t>
      </w:r>
      <w:r>
        <w:rPr>
          <w:rFonts w:ascii="Arial" w:cs="Arial" w:eastAsia="Arial" w:hAnsi="Arial"/>
          <w:sz w:val="18"/>
          <w:szCs w:val="18"/>
          <w:color w:val="auto"/>
        </w:rPr>
        <w:t>We lease our facilities under various noncancelable operating leases, which expire through 2015. Rent expense was</w:t>
      </w:r>
      <w:r>
        <w:rPr>
          <w:rFonts w:ascii="Arial" w:cs="Arial" w:eastAsia="Arial" w:hAnsi="Arial"/>
          <w:sz w:val="18"/>
          <w:szCs w:val="18"/>
          <w:b w:val="1"/>
          <w:bCs w:val="1"/>
          <w:color w:val="auto"/>
        </w:rPr>
        <w:t xml:space="preserve"> </w:t>
      </w:r>
      <w:r>
        <w:rPr>
          <w:rFonts w:ascii="Arial" w:cs="Arial" w:eastAsia="Arial" w:hAnsi="Arial"/>
          <w:sz w:val="18"/>
          <w:szCs w:val="18"/>
          <w:color w:val="auto"/>
        </w:rPr>
        <w:t>$1.9 million and $1.7 million for the three months ended March 31, 2011 and March 31, 2010, respectively. Rent expense is recognized using the straight-line method over the term of the lease.</w:t>
      </w:r>
    </w:p>
    <w:p>
      <w:pPr>
        <w:spacing w:after="0" w:line="180"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We entered into a Settlement and Patent License Agreement with Trend Micro Incorporated ("Trend Micro") in January 2006 (see "Litigation" below). The aggregate future noncancelable minimum rental payments on operating leases and minimum royalties payable if we continued paying under the Trend Micro Settlement and License Agreement as of March 31, 2011 are as follows ($ amounts in 000's):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0" w:type="dxa"/>
            <w:vAlign w:val="bottom"/>
          </w:tcPr>
          <w:p>
            <w:pPr>
              <w:spacing w:after="0"/>
              <w:rPr>
                <w:sz w:val="17"/>
                <w:szCs w:val="17"/>
                <w:color w:val="auto"/>
              </w:rPr>
            </w:pPr>
          </w:p>
        </w:tc>
        <w:tc>
          <w:tcPr>
            <w:tcW w:w="18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Rental</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1"/>
                <w:szCs w:val="21"/>
                <w:color w:val="auto"/>
              </w:rPr>
            </w:pPr>
          </w:p>
        </w:tc>
        <w:tc>
          <w:tcPr>
            <w:tcW w:w="18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Payment</w:t>
            </w:r>
          </w:p>
        </w:tc>
        <w:tc>
          <w:tcPr>
            <w:tcW w:w="1580" w:type="dxa"/>
            <w:vAlign w:val="bottom"/>
          </w:tcPr>
          <w:p>
            <w:pPr>
              <w:jc w:val="right"/>
              <w:ind w:right="351"/>
              <w:spacing w:after="0"/>
              <w:rPr>
                <w:sz w:val="20"/>
                <w:szCs w:val="20"/>
                <w:color w:val="auto"/>
              </w:rPr>
            </w:pPr>
            <w:r>
              <w:rPr>
                <w:rFonts w:ascii="Arial" w:cs="Arial" w:eastAsia="Arial" w:hAnsi="Arial"/>
                <w:sz w:val="16"/>
                <w:szCs w:val="16"/>
                <w:b w:val="1"/>
                <w:bCs w:val="1"/>
                <w:color w:val="auto"/>
              </w:rPr>
              <w:t xml:space="preserve">Royalty </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230"/>
        </w:trPr>
        <w:tc>
          <w:tcPr>
            <w:tcW w:w="8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Years:</w:t>
            </w:r>
          </w:p>
        </w:tc>
        <w:tc>
          <w:tcPr>
            <w:tcW w:w="1620" w:type="dxa"/>
            <w:vAlign w:val="bottom"/>
            <w:tcBorders>
              <w:top w:val="single" w:sz="8" w:color="auto"/>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5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2011 (remainder)</w:t>
            </w: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5,705</w:t>
            </w:r>
          </w:p>
        </w:tc>
        <w:tc>
          <w:tcPr>
            <w:tcW w:w="2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2012</w:t>
            </w: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5,519</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2013</w:t>
            </w: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3,674</w:t>
            </w:r>
          </w:p>
        </w:tc>
        <w:tc>
          <w:tcPr>
            <w:tcW w:w="2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2014</w:t>
            </w: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2,416</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2015</w:t>
            </w: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1,396</w:t>
            </w:r>
          </w:p>
        </w:tc>
        <w:tc>
          <w:tcPr>
            <w:tcW w:w="2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18,710</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00" w:type="dxa"/>
            <w:vAlign w:val="bottom"/>
            <w:vMerge w:val="continue"/>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right="40" w:firstLine="8"/>
        <w:spacing w:after="0" w:line="291" w:lineRule="auto"/>
        <w:tabs>
          <w:tab w:leader="none" w:pos="255"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Consists of minimum royalties claimed by Trend Micro pursuant to the January 2006 settlement and license agreement between Trend Micro and Fortinet, which are subject to dispute (see "Litigation" below). The $750,000 listed in the chart above as the "2011 (remainder)" represents the minimum</w:t>
      </w:r>
    </w:p>
    <w:p>
      <w:pPr>
        <w:ind w:right="160"/>
        <w:spacing w:after="0" w:line="255" w:lineRule="auto"/>
        <w:rPr>
          <w:rFonts w:ascii="Arial" w:cs="Arial" w:eastAsia="Arial" w:hAnsi="Arial"/>
          <w:sz w:val="16"/>
          <w:szCs w:val="16"/>
          <w:color w:val="auto"/>
        </w:rPr>
      </w:pPr>
      <w:r>
        <w:rPr>
          <w:rFonts w:ascii="Arial" w:cs="Arial" w:eastAsia="Arial" w:hAnsi="Arial"/>
          <w:sz w:val="18"/>
          <w:szCs w:val="18"/>
          <w:color w:val="auto"/>
        </w:rPr>
        <w:t>royalties, pursuant to the settlement and license agreement, for the second through fourth quarters of fiscal 2011. We have accrued a total payment including interest of $4.9 million as of March 31, 2011, related to amounts under the settlement and license agreement with Trend Micro which have not been paid pursuant to the dispute.</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Contract Manufacturer Commitments—</w:t>
      </w:r>
      <w:r>
        <w:rPr>
          <w:rFonts w:ascii="Arial" w:cs="Arial" w:eastAsia="Arial" w:hAnsi="Arial"/>
          <w:sz w:val="18"/>
          <w:szCs w:val="18"/>
          <w:color w:val="auto"/>
        </w:rPr>
        <w:t>Our independent contract manufacturers procure components and build our</w:t>
      </w:r>
    </w:p>
    <w:p>
      <w:pPr>
        <w:sectPr>
          <w:pgSz w:w="11900" w:h="16838" w:orient="portrait"/>
          <w:cols w:equalWidth="0" w:num="1">
            <w:col w:w="11420"/>
          </w:cols>
          <w:pgMar w:left="240" w:top="125" w:right="239"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products based on our forecasts. These forecasts are based on estimates of future demand for our products, which are in turn based on historical trends and an analysis from our sales and marketing organizations, adjusted for overall market conditions. In order to reduce manufacturing lead times and plan for adequate component supply, we may issue purchase orders to some of our independent contract manufacturers which may not be cancelable. As of March 31, 2011, we had $6.1 million of open purchase orders with our independent contract manufacturers that may not be cancelable.</w:t>
      </w:r>
    </w:p>
    <w:p>
      <w:pPr>
        <w:spacing w:after="0" w:line="150" w:lineRule="exact"/>
        <w:rPr>
          <w:sz w:val="20"/>
          <w:szCs w:val="20"/>
          <w:color w:val="auto"/>
        </w:rPr>
      </w:pPr>
    </w:p>
    <w:p>
      <w:pPr>
        <w:ind w:right="100" w:firstLine="486"/>
        <w:spacing w:after="0" w:line="291" w:lineRule="auto"/>
        <w:rPr>
          <w:sz w:val="20"/>
          <w:szCs w:val="20"/>
          <w:color w:val="auto"/>
        </w:rPr>
      </w:pPr>
      <w:r>
        <w:rPr>
          <w:rFonts w:ascii="Arial" w:cs="Arial" w:eastAsia="Arial" w:hAnsi="Arial"/>
          <w:sz w:val="16"/>
          <w:szCs w:val="16"/>
          <w:b w:val="1"/>
          <w:bCs w:val="1"/>
          <w:color w:val="auto"/>
        </w:rPr>
        <w:t>Litigation</w:t>
      </w:r>
      <w:r>
        <w:rPr>
          <w:rFonts w:ascii="Arial" w:cs="Arial" w:eastAsia="Arial" w:hAnsi="Arial"/>
          <w:sz w:val="16"/>
          <w:szCs w:val="16"/>
          <w:color w:val="auto"/>
        </w:rPr>
        <w:t>—In August 2009, Trend Micro filed a complaint against us in the Superior Court of the State of California for Santa Clara County alleging</w:t>
      </w:r>
      <w:r>
        <w:rPr>
          <w:rFonts w:ascii="Arial" w:cs="Arial" w:eastAsia="Arial" w:hAnsi="Arial"/>
          <w:sz w:val="16"/>
          <w:szCs w:val="16"/>
          <w:b w:val="1"/>
          <w:bCs w:val="1"/>
          <w:color w:val="auto"/>
        </w:rPr>
        <w:t xml:space="preserve"> </w:t>
      </w:r>
      <w:r>
        <w:rPr>
          <w:rFonts w:ascii="Arial" w:cs="Arial" w:eastAsia="Arial" w:hAnsi="Arial"/>
          <w:sz w:val="16"/>
          <w:szCs w:val="16"/>
          <w:color w:val="auto"/>
        </w:rPr>
        <w:t>breach of contract and seeking a declaratory judgment that we are obligated to make certain royalty payments to Trend Micro pursuant to a settlement and license agreement entered into in January 2006. We maintain that the patents that are the basis for the royalty payments are invalid and consequently that we have no contractual obligation to pay the royalties. We filed an action in the U.S. District Court for the Northern District of California that is stayed pending the resolution of the state court action. We have continued to accrue expense based on the quarterly royalties provided for in the settlement and license agreement. In January 2011, in response to petitions for re-examination we filed with the U.S. Patent and Trademark Office (“PTO”), the PTO issued an initial office action that the Trend Micro patents allegedly forming the basis for the royalty payments are invalid. Trend Micro has responded disputing this initial office action. We cannot currently predict the outcome of this dispute nor determine the amount or a reasonable range of potential loss, if any.</w:t>
      </w:r>
    </w:p>
    <w:p>
      <w:pPr>
        <w:spacing w:after="0" w:line="164"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 January 2009, we filed a complaint against Palo Alto Networks, Inc. (“PAN”) in the United States District Court for the Northern District of California alleging, among other claims, patent infringement. In November 2010, we filed a second complaint against PAN in the U. S. District Court for the Northern District of California alleging infringement of three additional patents. On January 20, 2011, we entered into a settlement and patent license agreement with PAN pursuant to which we agreed to license certain asserted patents and certain related patents in return for a settlement payment of $6 million, with $3 million upfront and ongoing quarterly payments of $250,000 over the next three years. The parties also agreed upon a three year covenant not to sue for patent related claims. We deferred the settlement income and are amortizing to "litigation settlement income” within operations over the three year covenant period.</w:t>
      </w:r>
    </w:p>
    <w:p>
      <w:pPr>
        <w:spacing w:after="0" w:line="189"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In August 2009, Enhanced Security Research, LLC and Security Research Holdings LLC (collectively “ESR”), a non-practicing entity, filed a complaint against us in the United States District Court for the District of Delaware alleging infringement by us and other defendants of two patents. In June 2010, the Court granted our motion to stay pending the outcome of reexamination proceedings on both asserted patents. There is a related action that was dismissed by the Court, and that dismissal has been appealed by ESR to the Federal Circuit. We cannot currently predict the outcome of this dispute nor determine the amount or a reasonable range of potential loss, if any.</w:t>
      </w:r>
    </w:p>
    <w:p>
      <w:pPr>
        <w:spacing w:after="0" w:line="188"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In July 2010, Network Protection Sciences, LLC ("NPS"), a non-practicing entity, filed a complaint in the United States District Court for the Eastern District of Texas alleging patent infringement by us and other defendants. Currently the case is in the early stages. We cannot currently predict the outcome of this dispute nor determine the amount or a reasonable range of potential loss, if any. In January 2011, we filed with the PTO a petition for re-examination of the patent asserted by NPS.</w:t>
      </w:r>
    </w:p>
    <w:p>
      <w:pPr>
        <w:spacing w:after="0" w:line="187"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In April 2010, an individual, a former stockholder of Fortinet, filed a class action lawsuit against us in the Superior Court of the State of California for the County of Los Angeles alleging violation of various California Corporations' Code sections and related tort claims alleging misrepresentation and breach of fiduciary duty regarding the 2009 repurchase by Fortinet of shares of its stock while we were a privately-held company. In September 2010, the Court granted our motion to transfer the case to the California Superior Court for Santa Clara County and the plaintiff has filed an amended complaint in the Superior Court to add individual defendants, among other amendments. We cannot currently predict the outcome of this dispute nor determine the amount or a reasonable range of potential loss, if any.</w:t>
      </w:r>
    </w:p>
    <w:p>
      <w:pPr>
        <w:spacing w:after="0" w:line="193" w:lineRule="exact"/>
        <w:rPr>
          <w:sz w:val="20"/>
          <w:szCs w:val="20"/>
          <w:color w:val="auto"/>
        </w:rPr>
      </w:pPr>
    </w:p>
    <w:p>
      <w:pPr>
        <w:ind w:right="380" w:firstLine="486"/>
        <w:spacing w:after="0" w:line="264" w:lineRule="auto"/>
        <w:rPr>
          <w:sz w:val="20"/>
          <w:szCs w:val="20"/>
          <w:color w:val="auto"/>
        </w:rPr>
      </w:pPr>
      <w:r>
        <w:rPr>
          <w:rFonts w:ascii="Arial" w:cs="Arial" w:eastAsia="Arial" w:hAnsi="Arial"/>
          <w:sz w:val="18"/>
          <w:szCs w:val="18"/>
          <w:color w:val="auto"/>
        </w:rPr>
        <w:t>In addition to the above matters, we are subject to other litigation in the ordinary course of business. The results of legal proceedings cannot be predicted with certainty. If we do not prevail in any of these legal matters, our operating results may be materially affected. At this time, we are unable to estimate the financial impact these actions will likely have on us.</w:t>
      </w:r>
    </w:p>
    <w:p>
      <w:pPr>
        <w:spacing w:after="0" w:line="177" w:lineRule="exact"/>
        <w:rPr>
          <w:sz w:val="20"/>
          <w:szCs w:val="20"/>
          <w:color w:val="auto"/>
        </w:rPr>
      </w:pPr>
    </w:p>
    <w:p>
      <w:pPr>
        <w:ind w:right="80" w:firstLine="486"/>
        <w:spacing w:after="0" w:line="258" w:lineRule="auto"/>
        <w:rPr>
          <w:sz w:val="20"/>
          <w:szCs w:val="20"/>
          <w:color w:val="auto"/>
        </w:rPr>
      </w:pPr>
      <w:r>
        <w:rPr>
          <w:rFonts w:ascii="Arial" w:cs="Arial" w:eastAsia="Arial" w:hAnsi="Arial"/>
          <w:sz w:val="18"/>
          <w:szCs w:val="18"/>
          <w:b w:val="1"/>
          <w:bCs w:val="1"/>
          <w:color w:val="auto"/>
        </w:rPr>
        <w:t>Indemnification</w:t>
      </w:r>
      <w:r>
        <w:rPr>
          <w:rFonts w:ascii="Arial" w:cs="Arial" w:eastAsia="Arial" w:hAnsi="Arial"/>
          <w:sz w:val="18"/>
          <w:szCs w:val="18"/>
          <w:color w:val="auto"/>
        </w:rPr>
        <w:t>—Under the indemnification provisions of our standard sales contracts, we agree to defend our customers against third-party claims</w:t>
      </w:r>
      <w:r>
        <w:rPr>
          <w:rFonts w:ascii="Arial" w:cs="Arial" w:eastAsia="Arial" w:hAnsi="Arial"/>
          <w:sz w:val="18"/>
          <w:szCs w:val="18"/>
          <w:b w:val="1"/>
          <w:bCs w:val="1"/>
          <w:color w:val="auto"/>
        </w:rPr>
        <w:t xml:space="preserve"> </w:t>
      </w:r>
      <w:r>
        <w:rPr>
          <w:rFonts w:ascii="Arial" w:cs="Arial" w:eastAsia="Arial" w:hAnsi="Arial"/>
          <w:sz w:val="18"/>
          <w:szCs w:val="18"/>
          <w:color w:val="auto"/>
        </w:rPr>
        <w:t>asserting infringement of certain intellectual property rights, which may include patents, copyrights, trademarks, or trade secrets, and to pay judgments entered on such claims. Our exposure under these indemnification provisions is generally limited to the total amount paid by our customer under the agreement. However, certain agreements include indemnification provisions that could potentially expose us to losses in excess of the amount received under the agreement. To date, there have been no claims under such indemnification provisions.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225" w:lineRule="exact"/>
        <w:rPr>
          <w:sz w:val="20"/>
          <w:szCs w:val="20"/>
          <w:color w:val="auto"/>
        </w:rPr>
      </w:pPr>
    </w:p>
    <w:p>
      <w:pPr>
        <w:ind w:right="20" w:firstLine="486"/>
        <w:spacing w:after="0" w:line="266" w:lineRule="auto"/>
        <w:rPr>
          <w:sz w:val="20"/>
          <w:szCs w:val="20"/>
          <w:color w:val="auto"/>
        </w:rPr>
      </w:pPr>
      <w:r>
        <w:rPr>
          <w:rFonts w:ascii="Arial" w:cs="Arial" w:eastAsia="Arial" w:hAnsi="Arial"/>
          <w:sz w:val="18"/>
          <w:szCs w:val="18"/>
          <w:b w:val="1"/>
          <w:bCs w:val="1"/>
          <w:color w:val="auto"/>
        </w:rPr>
        <w:t>Stock Plans</w:t>
      </w:r>
      <w:r>
        <w:rPr>
          <w:rFonts w:ascii="Arial" w:cs="Arial" w:eastAsia="Arial" w:hAnsi="Arial"/>
          <w:sz w:val="18"/>
          <w:szCs w:val="18"/>
          <w:color w:val="auto"/>
        </w:rPr>
        <w:t>—The Company grants equity compensation awards to acquire the Company's ordinary shares from three plans, and which collectively are</w:t>
      </w:r>
      <w:r>
        <w:rPr>
          <w:rFonts w:ascii="Arial" w:cs="Arial" w:eastAsia="Arial" w:hAnsi="Arial"/>
          <w:sz w:val="18"/>
          <w:szCs w:val="18"/>
          <w:b w:val="1"/>
          <w:bCs w:val="1"/>
          <w:color w:val="auto"/>
        </w:rPr>
        <w:t xml:space="preserve"> </w:t>
      </w:r>
      <w:r>
        <w:rPr>
          <w:rFonts w:ascii="Arial" w:cs="Arial" w:eastAsia="Arial" w:hAnsi="Arial"/>
          <w:sz w:val="18"/>
          <w:szCs w:val="18"/>
          <w:color w:val="auto"/>
        </w:rPr>
        <w:t>referred to as the Company's stock plans below. For further discussion of these Plans, refer to the Note 11, "Stock Plans," of the Notes to Consolidated Financial Statements in the Company's Annual Report on Form 10-K for the year ended December 31, 2010.</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Common Shares Reserved for Issuance</w:t>
      </w:r>
      <w:r>
        <w:rPr>
          <w:rFonts w:ascii="Arial" w:cs="Arial" w:eastAsia="Arial" w:hAnsi="Arial"/>
          <w:sz w:val="18"/>
          <w:szCs w:val="18"/>
          <w:color w:val="auto"/>
        </w:rPr>
        <w:t>—At March 31, 2011, we had reserved 21.1 million shares of common stock for issuance.</w:t>
      </w:r>
    </w:p>
    <w:p>
      <w:pPr>
        <w:spacing w:after="0" w:line="225" w:lineRule="exact"/>
        <w:rPr>
          <w:sz w:val="20"/>
          <w:szCs w:val="20"/>
          <w:color w:val="auto"/>
        </w:rPr>
      </w:pPr>
    </w:p>
    <w:p>
      <w:pPr>
        <w:ind w:right="100" w:firstLine="486"/>
        <w:spacing w:after="0" w:line="261" w:lineRule="auto"/>
        <w:rPr>
          <w:sz w:val="20"/>
          <w:szCs w:val="20"/>
          <w:color w:val="auto"/>
        </w:rPr>
      </w:pPr>
      <w:r>
        <w:rPr>
          <w:rFonts w:ascii="Arial" w:cs="Arial" w:eastAsia="Arial" w:hAnsi="Arial"/>
          <w:sz w:val="18"/>
          <w:szCs w:val="18"/>
          <w:b w:val="1"/>
          <w:bCs w:val="1"/>
          <w:color w:val="auto"/>
        </w:rPr>
        <w:t>Stock-based compensation under ASC 718</w:t>
      </w:r>
      <w:r>
        <w:rPr>
          <w:rFonts w:ascii="Arial" w:cs="Arial" w:eastAsia="Arial" w:hAnsi="Arial"/>
          <w:sz w:val="18"/>
          <w:szCs w:val="18"/>
          <w:color w:val="auto"/>
        </w:rPr>
        <w:t>—Stock-based compensation is accounted for in accordance to ASC 718, which requires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costs related to share-based transactions, including employee stock options, to be recognized in the financial statements based on fair value. Under ASC 718, the fair value of each option award is estimated on the grant date using the Black-Scholes option pricing model. We determined weighted-average valuation assumptions as follows:</w:t>
      </w:r>
    </w:p>
    <w:p>
      <w:pPr>
        <w:spacing w:after="0" w:line="184" w:lineRule="exact"/>
        <w:rPr>
          <w:sz w:val="20"/>
          <w:szCs w:val="20"/>
          <w:color w:val="auto"/>
        </w:rPr>
      </w:pPr>
    </w:p>
    <w:p>
      <w:pPr>
        <w:ind w:right="360" w:firstLine="486"/>
        <w:spacing w:after="0" w:line="264"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our stock-based awards are expected to be outstanding. As we do not have sufficient</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experience for determining the expected term of the stock option awards granted, we have based our expected term on the simplified method available under ASC 718-10 (formerly referred to as Staff Accounting Bulletin 110).</w:t>
      </w:r>
    </w:p>
    <w:p>
      <w:pPr>
        <w:spacing w:after="0" w:line="181" w:lineRule="exact"/>
        <w:rPr>
          <w:sz w:val="20"/>
          <w:szCs w:val="20"/>
          <w:color w:val="auto"/>
        </w:rPr>
      </w:pPr>
    </w:p>
    <w:p>
      <w:pPr>
        <w:jc w:val="both"/>
        <w:ind w:right="40" w:firstLine="486"/>
        <w:spacing w:after="0" w:line="264"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—The computation of expected volatility for the periods presented includes the historical and implied stock volatility of comparable</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from a representative peer group selected based on industry and market capitalization data and to a lesser extent, our weighted historical volatility following our IPO in November 2009.</w:t>
      </w:r>
    </w:p>
    <w:p>
      <w:pPr>
        <w:spacing w:after="0" w:line="181"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—The fair value of our common stock is the closing sales price of the Common Stock (or the closing bid, if no sales were</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on the effective grant date.</w:t>
      </w:r>
    </w:p>
    <w:p>
      <w:pPr>
        <w:spacing w:after="0" w:line="170"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—We base the risk-free interest rate used in the Black-Scholes valuation model on the implied yield available on U.S. Treasury</w:t>
      </w:r>
      <w:r>
        <w:rPr>
          <w:rFonts w:ascii="Arial" w:cs="Arial" w:eastAsia="Arial" w:hAnsi="Arial"/>
          <w:sz w:val="18"/>
          <w:szCs w:val="18"/>
          <w:i w:val="1"/>
          <w:iCs w:val="1"/>
          <w:color w:val="auto"/>
        </w:rPr>
        <w:t xml:space="preserve"> </w:t>
      </w:r>
      <w:r>
        <w:rPr>
          <w:rFonts w:ascii="Arial" w:cs="Arial" w:eastAsia="Arial" w:hAnsi="Arial"/>
          <w:sz w:val="18"/>
          <w:szCs w:val="18"/>
          <w:color w:val="auto"/>
        </w:rPr>
        <w:t>zero-coupon issues with an equivalent remaining term.</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Expected Dividend</w:t>
      </w:r>
      <w:r>
        <w:rPr>
          <w:rFonts w:ascii="Arial" w:cs="Arial" w:eastAsia="Arial" w:hAnsi="Arial"/>
          <w:sz w:val="16"/>
          <w:szCs w:val="16"/>
          <w:color w:val="auto"/>
        </w:rPr>
        <w:t>—The expected dividend weighted-average assumption is based on our current expectations about our anticipated dividend policy.</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weighted-average assumptions relating to our stock options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080" w:type="dxa"/>
            <w:vAlign w:val="bottom"/>
            <w:gridSpan w:val="3"/>
          </w:tcPr>
          <w:p>
            <w:pPr>
              <w:jc w:val="right"/>
              <w:ind w:right="693"/>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834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1600" w:type="dxa"/>
            <w:vAlign w:val="bottom"/>
            <w:gridSpan w:val="2"/>
          </w:tcPr>
          <w:p>
            <w:pPr>
              <w:ind w:left="380"/>
              <w:spacing w:after="0"/>
              <w:rPr>
                <w:sz w:val="20"/>
                <w:szCs w:val="20"/>
                <w:color w:val="auto"/>
              </w:rPr>
            </w:pPr>
            <w:r>
              <w:rPr>
                <w:rFonts w:ascii="Arial" w:cs="Arial" w:eastAsia="Arial" w:hAnsi="Arial"/>
                <w:sz w:val="16"/>
                <w:szCs w:val="16"/>
                <w:b w:val="1"/>
                <w:bCs w:val="1"/>
                <w:color w:val="auto"/>
              </w:rPr>
              <w:t>March 31,</w:t>
            </w:r>
          </w:p>
        </w:tc>
        <w:tc>
          <w:tcPr>
            <w:tcW w:w="1480" w:type="dxa"/>
            <w:vAlign w:val="bottom"/>
          </w:tcPr>
          <w:p>
            <w:pPr>
              <w:jc w:val="right"/>
              <w:ind w:right="313"/>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8340" w:type="dxa"/>
            <w:vAlign w:val="bottom"/>
          </w:tcPr>
          <w:p>
            <w:pPr>
              <w:spacing w:after="0"/>
              <w:rPr>
                <w:sz w:val="18"/>
                <w:szCs w:val="18"/>
                <w:color w:val="auto"/>
              </w:rPr>
            </w:pPr>
          </w:p>
        </w:tc>
        <w:tc>
          <w:tcPr>
            <w:tcW w:w="1500" w:type="dxa"/>
            <w:vAlign w:val="bottom"/>
          </w:tcPr>
          <w:p>
            <w:pPr>
              <w:jc w:val="right"/>
              <w:ind w:right="514"/>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c>
          <w:tcPr>
            <w:tcW w:w="1480" w:type="dxa"/>
            <w:vAlign w:val="bottom"/>
          </w:tcPr>
          <w:p>
            <w:pPr>
              <w:jc w:val="right"/>
              <w:ind w:right="493"/>
              <w:spacing w:after="0"/>
              <w:rPr>
                <w:sz w:val="20"/>
                <w:szCs w:val="20"/>
                <w:color w:val="auto"/>
              </w:rPr>
            </w:pPr>
            <w:r>
              <w:rPr>
                <w:rFonts w:ascii="Arial" w:cs="Arial" w:eastAsia="Arial" w:hAnsi="Arial"/>
                <w:sz w:val="16"/>
                <w:szCs w:val="16"/>
                <w:b w:val="1"/>
                <w:bCs w:val="1"/>
                <w:color w:val="auto"/>
              </w:rPr>
              <w:t>2010</w:t>
            </w:r>
          </w:p>
        </w:tc>
      </w:tr>
      <w:tr>
        <w:trPr>
          <w:trHeight w:val="33"/>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Volatility (%)</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40.5</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 (%)</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Dividend rate (%)</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Stock-based compensation expense is included in costs and expenses as follows ($ amounts in 000's):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080" w:type="dxa"/>
            <w:vAlign w:val="bottom"/>
            <w:gridSpan w:val="3"/>
          </w:tcPr>
          <w:p>
            <w:pPr>
              <w:jc w:val="right"/>
              <w:ind w:right="692"/>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834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1600" w:type="dxa"/>
            <w:vAlign w:val="bottom"/>
            <w:gridSpan w:val="2"/>
          </w:tcPr>
          <w:p>
            <w:pPr>
              <w:ind w:left="360"/>
              <w:spacing w:after="0"/>
              <w:rPr>
                <w:sz w:val="20"/>
                <w:szCs w:val="20"/>
                <w:color w:val="auto"/>
              </w:rPr>
            </w:pPr>
            <w:r>
              <w:rPr>
                <w:rFonts w:ascii="Arial" w:cs="Arial" w:eastAsia="Arial" w:hAnsi="Arial"/>
                <w:sz w:val="16"/>
                <w:szCs w:val="16"/>
                <w:b w:val="1"/>
                <w:bCs w:val="1"/>
                <w:color w:val="auto"/>
              </w:rPr>
              <w:t>March 31,</w:t>
            </w:r>
          </w:p>
        </w:tc>
        <w:tc>
          <w:tcPr>
            <w:tcW w:w="1480" w:type="dxa"/>
            <w:vAlign w:val="bottom"/>
          </w:tcPr>
          <w:p>
            <w:pPr>
              <w:jc w:val="right"/>
              <w:ind w:right="312"/>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8340" w:type="dxa"/>
            <w:vAlign w:val="bottom"/>
          </w:tcPr>
          <w:p>
            <w:pPr>
              <w:spacing w:after="0"/>
              <w:rPr>
                <w:sz w:val="18"/>
                <w:szCs w:val="18"/>
                <w:color w:val="auto"/>
              </w:rPr>
            </w:pPr>
          </w:p>
        </w:tc>
        <w:tc>
          <w:tcPr>
            <w:tcW w:w="1480" w:type="dxa"/>
            <w:vAlign w:val="bottom"/>
          </w:tcPr>
          <w:p>
            <w:pPr>
              <w:jc w:val="right"/>
              <w:ind w:right="493"/>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c>
          <w:tcPr>
            <w:tcW w:w="1480" w:type="dxa"/>
            <w:vAlign w:val="bottom"/>
          </w:tcPr>
          <w:p>
            <w:pPr>
              <w:jc w:val="right"/>
              <w:ind w:right="492"/>
              <w:spacing w:after="0"/>
              <w:rPr>
                <w:sz w:val="20"/>
                <w:szCs w:val="20"/>
                <w:color w:val="auto"/>
              </w:rPr>
            </w:pPr>
            <w:r>
              <w:rPr>
                <w:rFonts w:ascii="Arial" w:cs="Arial" w:eastAsia="Arial" w:hAnsi="Arial"/>
                <w:sz w:val="16"/>
                <w:szCs w:val="16"/>
                <w:b w:val="1"/>
                <w:bCs w:val="1"/>
                <w:color w:val="auto"/>
              </w:rPr>
              <w:t>2010</w:t>
            </w:r>
          </w:p>
        </w:tc>
      </w:tr>
      <w:tr>
        <w:trPr>
          <w:trHeight w:val="33"/>
        </w:trPr>
        <w:tc>
          <w:tcPr>
            <w:tcW w:w="83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Cost of services revenue</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208</w:t>
            </w:r>
          </w:p>
        </w:tc>
      </w:tr>
      <w:tr>
        <w:trPr>
          <w:trHeight w:val="27"/>
        </w:trPr>
        <w:tc>
          <w:tcPr>
            <w:tcW w:w="8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1,900</w:t>
            </w:r>
          </w:p>
        </w:tc>
        <w:tc>
          <w:tcPr>
            <w:tcW w:w="1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866</w:t>
            </w:r>
          </w:p>
        </w:tc>
      </w:tr>
      <w:tr>
        <w:trPr>
          <w:trHeight w:val="27"/>
        </w:trPr>
        <w:tc>
          <w:tcPr>
            <w:tcW w:w="8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497</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496</w:t>
            </w:r>
          </w:p>
        </w:tc>
      </w:tr>
      <w:tr>
        <w:trPr>
          <w:trHeight w:val="237"/>
        </w:trPr>
        <w:tc>
          <w:tcPr>
            <w:tcW w:w="8340" w:type="dxa"/>
            <w:vAlign w:val="bottom"/>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3,070</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2,148</w:t>
            </w:r>
          </w:p>
        </w:tc>
      </w:tr>
      <w:tr>
        <w:trPr>
          <w:trHeight w:val="27"/>
        </w:trPr>
        <w:tc>
          <w:tcPr>
            <w:tcW w:w="83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A summary of the option activity under our stock plans and changes during the reporting periods are presented below (in 000's, except per share amounts):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4"/>
          </w:tcPr>
          <w:p>
            <w:pPr>
              <w:ind w:left="500"/>
              <w:spacing w:after="0"/>
              <w:rPr>
                <w:sz w:val="20"/>
                <w:szCs w:val="20"/>
                <w:color w:val="auto"/>
              </w:rPr>
            </w:pPr>
            <w:r>
              <w:rPr>
                <w:rFonts w:ascii="Arial" w:cs="Arial" w:eastAsia="Arial" w:hAnsi="Arial"/>
                <w:sz w:val="16"/>
                <w:szCs w:val="16"/>
                <w:b w:val="1"/>
                <w:bCs w:val="1"/>
                <w:color w:val="auto"/>
              </w:rPr>
              <w:t>Options Outstanding</w:t>
            </w:r>
          </w:p>
        </w:tc>
        <w:tc>
          <w:tcPr>
            <w:tcW w:w="102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5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Weighted-</w:t>
            </w:r>
          </w:p>
        </w:tc>
        <w:tc>
          <w:tcPr>
            <w:tcW w:w="1020" w:type="dxa"/>
            <w:vAlign w:val="bottom"/>
          </w:tcPr>
          <w:p>
            <w:pPr>
              <w:spacing w:after="0"/>
              <w:rPr>
                <w:sz w:val="18"/>
                <w:szCs w:val="18"/>
                <w:color w:val="auto"/>
              </w:rPr>
            </w:pPr>
          </w:p>
        </w:tc>
      </w:tr>
      <w:tr>
        <w:trPr>
          <w:trHeight w:val="203"/>
        </w:trPr>
        <w:tc>
          <w:tcPr>
            <w:tcW w:w="5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Weighted-</w:t>
            </w: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Average</w:t>
            </w:r>
          </w:p>
        </w:tc>
        <w:tc>
          <w:tcPr>
            <w:tcW w:w="102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Shares</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Average</w:t>
            </w: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Remaining</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8"/>
              </w:rPr>
              <w:t>Aggregate</w:t>
            </w:r>
          </w:p>
        </w:tc>
      </w:tr>
      <w:tr>
        <w:trPr>
          <w:trHeight w:val="203"/>
        </w:trPr>
        <w:tc>
          <w:tcPr>
            <w:tcW w:w="562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Available</w:t>
            </w:r>
          </w:p>
        </w:tc>
        <w:tc>
          <w:tcPr>
            <w:tcW w:w="1000" w:type="dxa"/>
            <w:vAlign w:val="bottom"/>
          </w:tcPr>
          <w:p>
            <w:pPr>
              <w:jc w:val="right"/>
              <w:ind w:right="132"/>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7"/>
                <w:szCs w:val="17"/>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Exercise</w:t>
            </w: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Contractual</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6"/>
              </w:rPr>
              <w:t>Intrinsic</w:t>
            </w:r>
          </w:p>
        </w:tc>
      </w:tr>
      <w:tr>
        <w:trPr>
          <w:trHeight w:val="210"/>
        </w:trPr>
        <w:tc>
          <w:tcPr>
            <w:tcW w:w="56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For Grant</w:t>
            </w:r>
          </w:p>
        </w:tc>
        <w:tc>
          <w:tcPr>
            <w:tcW w:w="1000" w:type="dxa"/>
            <w:vAlign w:val="bottom"/>
          </w:tcPr>
          <w:p>
            <w:pPr>
              <w:jc w:val="right"/>
              <w:ind w:right="72"/>
              <w:spacing w:after="0"/>
              <w:rPr>
                <w:sz w:val="20"/>
                <w:szCs w:val="20"/>
                <w:color w:val="auto"/>
              </w:rPr>
            </w:pPr>
            <w:r>
              <w:rPr>
                <w:rFonts w:ascii="Arial" w:cs="Arial" w:eastAsia="Arial" w:hAnsi="Arial"/>
                <w:sz w:val="16"/>
                <w:szCs w:val="16"/>
                <w:b w:val="1"/>
                <w:bCs w:val="1"/>
                <w:color w:val="auto"/>
              </w:rPr>
              <w:t>Of Shares</w:t>
            </w:r>
          </w:p>
        </w:tc>
        <w:tc>
          <w:tcPr>
            <w:tcW w:w="120" w:type="dxa"/>
            <w:vAlign w:val="bottom"/>
          </w:tcPr>
          <w:p>
            <w:pPr>
              <w:spacing w:after="0"/>
              <w:rPr>
                <w:sz w:val="18"/>
                <w:szCs w:val="18"/>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Price ($)</w:t>
            </w: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Life (Years)</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2"/>
              </w:rPr>
              <w:t>Value ($)</w:t>
            </w:r>
          </w:p>
        </w:tc>
      </w:tr>
      <w:tr>
        <w:trPr>
          <w:trHeight w:val="33"/>
        </w:trPr>
        <w:tc>
          <w:tcPr>
            <w:tcW w:w="56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2010</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7,545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11,245</w:t>
            </w:r>
          </w:p>
        </w:tc>
        <w:tc>
          <w:tcPr>
            <w:tcW w:w="112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8.42</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Authorized</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3,719</w:t>
            </w: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1,522</w:t>
            </w:r>
          </w:p>
        </w:tc>
        <w:tc>
          <w:tcPr>
            <w:tcW w:w="112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40.47</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w:t>
            </w:r>
          </w:p>
        </w:tc>
        <w:tc>
          <w:tcPr>
            <w:tcW w:w="1120" w:type="dxa"/>
            <w:vAlign w:val="bottom"/>
            <w:gridSpan w:val="2"/>
          </w:tcPr>
          <w:p>
            <w:pPr>
              <w:jc w:val="right"/>
              <w:ind w:right="17"/>
              <w:spacing w:after="0"/>
              <w:rPr>
                <w:sz w:val="20"/>
                <w:szCs w:val="20"/>
                <w:color w:val="auto"/>
              </w:rPr>
            </w:pPr>
            <w:r>
              <w:rPr>
                <w:rFonts w:ascii="Arial" w:cs="Arial" w:eastAsia="Arial" w:hAnsi="Arial"/>
                <w:sz w:val="18"/>
                <w:szCs w:val="18"/>
                <w:color w:val="auto"/>
              </w:rPr>
              <w:t>15.51</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 (aggregate intrinsic value of $49,755)</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12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4.88</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Balance—March 31, 2011</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9,948</w:t>
            </w:r>
          </w:p>
        </w:tc>
        <w:tc>
          <w:tcPr>
            <w:tcW w:w="120" w:type="dxa"/>
            <w:vAlign w:val="bottom"/>
            <w:tcBorders>
              <w:bottom w:val="single" w:sz="8" w:color="CCEEFF"/>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11,134</w:t>
            </w:r>
          </w:p>
        </w:tc>
        <w:tc>
          <w:tcPr>
            <w:tcW w:w="1120" w:type="dxa"/>
            <w:vAlign w:val="bottom"/>
            <w:tcBorders>
              <w:bottom w:val="single" w:sz="8" w:color="CCEEFF"/>
            </w:tcBorders>
            <w:gridSpan w:val="2"/>
          </w:tcPr>
          <w:p>
            <w:pPr>
              <w:jc w:val="right"/>
              <w:ind w:right="17"/>
              <w:spacing w:after="0"/>
              <w:rPr>
                <w:sz w:val="20"/>
                <w:szCs w:val="20"/>
                <w:color w:val="auto"/>
              </w:rPr>
            </w:pPr>
            <w:r>
              <w:rPr>
                <w:rFonts w:ascii="Arial" w:cs="Arial" w:eastAsia="Arial" w:hAnsi="Arial"/>
                <w:sz w:val="18"/>
                <w:szCs w:val="18"/>
                <w:color w:val="auto"/>
              </w:rPr>
              <w:t>13.12</w:t>
            </w:r>
          </w:p>
        </w:tc>
        <w:tc>
          <w:tcPr>
            <w:tcW w:w="16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vested and expected to vest—March 31, 2011</w:t>
            </w: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10,517</w:t>
            </w:r>
          </w:p>
        </w:tc>
        <w:tc>
          <w:tcPr>
            <w:tcW w:w="112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12.85</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4.97</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329,172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Options exercisable—March 31, 2011</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5,437</w:t>
            </w:r>
          </w:p>
        </w:tc>
        <w:tc>
          <w:tcPr>
            <w:tcW w:w="1120" w:type="dxa"/>
            <w:vAlign w:val="bottom"/>
            <w:gridSpan w:val="2"/>
          </w:tcPr>
          <w:p>
            <w:pPr>
              <w:jc w:val="right"/>
              <w:ind w:right="17"/>
              <w:spacing w:after="0"/>
              <w:rPr>
                <w:sz w:val="20"/>
                <w:szCs w:val="20"/>
                <w:color w:val="auto"/>
              </w:rPr>
            </w:pPr>
            <w:r>
              <w:rPr>
                <w:rFonts w:ascii="Arial" w:cs="Arial" w:eastAsia="Arial" w:hAnsi="Arial"/>
                <w:sz w:val="18"/>
                <w:szCs w:val="18"/>
                <w:color w:val="auto"/>
              </w:rPr>
              <w:t>5.81</w:t>
            </w:r>
          </w:p>
        </w:tc>
        <w:tc>
          <w:tcPr>
            <w:tcW w:w="16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4.23</w:t>
            </w:r>
          </w:p>
        </w:tc>
        <w:tc>
          <w:tcPr>
            <w:tcW w:w="1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208,427</w:t>
            </w:r>
          </w:p>
        </w:tc>
      </w:tr>
    </w:tbl>
    <w:p>
      <w:pPr>
        <w:spacing w:after="0" w:line="229" w:lineRule="exact"/>
        <w:rPr>
          <w:sz w:val="20"/>
          <w:szCs w:val="20"/>
          <w:color w:val="auto"/>
        </w:rPr>
      </w:pPr>
    </w:p>
    <w:p>
      <w:pPr>
        <w:ind w:right="100" w:firstLine="486"/>
        <w:spacing w:after="0" w:line="286" w:lineRule="auto"/>
        <w:rPr>
          <w:sz w:val="20"/>
          <w:szCs w:val="20"/>
          <w:color w:val="auto"/>
        </w:rPr>
      </w:pPr>
      <w:r>
        <w:rPr>
          <w:rFonts w:ascii="Arial" w:cs="Arial" w:eastAsia="Arial" w:hAnsi="Arial"/>
          <w:sz w:val="17"/>
          <w:szCs w:val="17"/>
          <w:color w:val="auto"/>
        </w:rPr>
        <w:t>At March 31, 2011, total compensation cost related to unvested stock-based awards granted to employees under our stock plans but not yet recognized was $41.1 million, net of estimated forfeitures. This cost is expected to be amortized on a straight-line basis over a weighted-average period of 2.67 years. Future option grants will increase the amount of compensation expense to be recorded in these periods.</w:t>
      </w:r>
    </w:p>
    <w:p>
      <w:pPr>
        <w:spacing w:after="0" w:line="166" w:lineRule="exact"/>
        <w:rPr>
          <w:sz w:val="20"/>
          <w:szCs w:val="20"/>
          <w:color w:val="auto"/>
        </w:rPr>
      </w:pPr>
    </w:p>
    <w:p>
      <w:pPr>
        <w:ind w:right="300" w:firstLine="486"/>
        <w:spacing w:after="0" w:line="264" w:lineRule="auto"/>
        <w:rPr>
          <w:sz w:val="20"/>
          <w:szCs w:val="20"/>
          <w:color w:val="auto"/>
        </w:rPr>
      </w:pPr>
      <w:r>
        <w:rPr>
          <w:rFonts w:ascii="Arial" w:cs="Arial" w:eastAsia="Arial" w:hAnsi="Arial"/>
          <w:sz w:val="18"/>
          <w:szCs w:val="18"/>
          <w:color w:val="auto"/>
        </w:rPr>
        <w:t>The total fair value of awards vested under our stock plans was $3.5 million and $3.3 million for the three months ended March 31, 2011 and March 31, 2010, respectively. The weighted-average fair value of options granted during the three months ended March 31, 2011 and March 31, 2010 was $14.50 and $6.28 per share, respectively.</w:t>
      </w:r>
    </w:p>
    <w:p>
      <w:pPr>
        <w:spacing w:after="0" w:line="177" w:lineRule="exact"/>
        <w:rPr>
          <w:sz w:val="20"/>
          <w:szCs w:val="20"/>
          <w:color w:val="auto"/>
        </w:rPr>
      </w:pPr>
    </w:p>
    <w:p>
      <w:pPr>
        <w:ind w:right="140" w:firstLine="486"/>
        <w:spacing w:after="0" w:line="256" w:lineRule="auto"/>
        <w:rPr>
          <w:sz w:val="20"/>
          <w:szCs w:val="20"/>
          <w:color w:val="auto"/>
        </w:rPr>
      </w:pPr>
      <w:r>
        <w:rPr>
          <w:rFonts w:ascii="Arial" w:cs="Arial" w:eastAsia="Arial" w:hAnsi="Arial"/>
          <w:sz w:val="18"/>
          <w:szCs w:val="18"/>
          <w:b w:val="1"/>
          <w:bCs w:val="1"/>
          <w:color w:val="auto"/>
        </w:rPr>
        <w:t>Non-employees</w:t>
      </w:r>
      <w:r>
        <w:rPr>
          <w:rFonts w:ascii="Arial" w:cs="Arial" w:eastAsia="Arial" w:hAnsi="Arial"/>
          <w:sz w:val="18"/>
          <w:szCs w:val="18"/>
          <w:color w:val="auto"/>
        </w:rPr>
        <w:t>—During the three months ended March 31, 2011, we granted 12,562 options to non-employees at an exercise price of $40.47 per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share, in exchange for services. During the three months ended March 31, 2010, we issued options to purchase 9,400 shares of common stock, at an exercise price of $16.86 per share, to non-employees in exchange for services. These options vest over periods of up to 48 months, and in accordance with ASC 505-50 (formerly referred to as EITF Issue No. 96-18, </w:t>
      </w:r>
      <w:r>
        <w:rPr>
          <w:rFonts w:ascii="Arial" w:cs="Arial" w:eastAsia="Arial" w:hAnsi="Arial"/>
          <w:sz w:val="18"/>
          <w:szCs w:val="18"/>
          <w:i w:val="1"/>
          <w:iCs w:val="1"/>
          <w:color w:val="auto"/>
        </w:rPr>
        <w:t>Accounting for Equity Instruments that are Issued to Other Than Employees for Acquiring, or in</w:t>
      </w:r>
      <w:r>
        <w:rPr>
          <w:rFonts w:ascii="Arial" w:cs="Arial" w:eastAsia="Arial" w:hAnsi="Arial"/>
          <w:sz w:val="18"/>
          <w:szCs w:val="18"/>
          <w:color w:val="auto"/>
        </w:rPr>
        <w:t xml:space="preserve"> </w:t>
      </w:r>
      <w:r>
        <w:rPr>
          <w:rFonts w:ascii="Arial" w:cs="Arial" w:eastAsia="Arial" w:hAnsi="Arial"/>
          <w:sz w:val="18"/>
          <w:szCs w:val="18"/>
          <w:i w:val="1"/>
          <w:iCs w:val="1"/>
          <w:color w:val="auto"/>
        </w:rPr>
        <w:t>Conjunction with Selling Goods or Services</w:t>
      </w:r>
      <w:r>
        <w:rPr>
          <w:rFonts w:ascii="Arial" w:cs="Arial" w:eastAsia="Arial" w:hAnsi="Arial"/>
          <w:sz w:val="18"/>
          <w:szCs w:val="18"/>
          <w:color w:val="auto"/>
        </w:rPr>
        <w:t>), we accounted for these options as variable awards. The options were valued using the Black-Scholes option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model with the following weighted-average assumptions: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080" w:type="dxa"/>
            <w:vAlign w:val="bottom"/>
            <w:gridSpan w:val="3"/>
          </w:tcPr>
          <w:p>
            <w:pPr>
              <w:jc w:val="right"/>
              <w:ind w:right="693"/>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834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1600" w:type="dxa"/>
            <w:vAlign w:val="bottom"/>
            <w:gridSpan w:val="2"/>
          </w:tcPr>
          <w:p>
            <w:pPr>
              <w:ind w:left="380"/>
              <w:spacing w:after="0"/>
              <w:rPr>
                <w:sz w:val="20"/>
                <w:szCs w:val="20"/>
                <w:color w:val="auto"/>
              </w:rPr>
            </w:pPr>
            <w:r>
              <w:rPr>
                <w:rFonts w:ascii="Arial" w:cs="Arial" w:eastAsia="Arial" w:hAnsi="Arial"/>
                <w:sz w:val="16"/>
                <w:szCs w:val="16"/>
                <w:b w:val="1"/>
                <w:bCs w:val="1"/>
                <w:color w:val="auto"/>
              </w:rPr>
              <w:t>March 31,</w:t>
            </w:r>
          </w:p>
        </w:tc>
        <w:tc>
          <w:tcPr>
            <w:tcW w:w="1480" w:type="dxa"/>
            <w:vAlign w:val="bottom"/>
          </w:tcPr>
          <w:p>
            <w:pPr>
              <w:jc w:val="right"/>
              <w:ind w:right="313"/>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8340" w:type="dxa"/>
            <w:vAlign w:val="bottom"/>
          </w:tcPr>
          <w:p>
            <w:pPr>
              <w:spacing w:after="0"/>
              <w:rPr>
                <w:sz w:val="18"/>
                <w:szCs w:val="18"/>
                <w:color w:val="auto"/>
              </w:rPr>
            </w:pPr>
          </w:p>
        </w:tc>
        <w:tc>
          <w:tcPr>
            <w:tcW w:w="1500" w:type="dxa"/>
            <w:vAlign w:val="bottom"/>
          </w:tcPr>
          <w:p>
            <w:pPr>
              <w:jc w:val="right"/>
              <w:ind w:right="514"/>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c>
          <w:tcPr>
            <w:tcW w:w="1480" w:type="dxa"/>
            <w:vAlign w:val="bottom"/>
          </w:tcPr>
          <w:p>
            <w:pPr>
              <w:jc w:val="right"/>
              <w:ind w:right="493"/>
              <w:spacing w:after="0"/>
              <w:rPr>
                <w:sz w:val="20"/>
                <w:szCs w:val="20"/>
                <w:color w:val="auto"/>
              </w:rPr>
            </w:pPr>
            <w:r>
              <w:rPr>
                <w:rFonts w:ascii="Arial" w:cs="Arial" w:eastAsia="Arial" w:hAnsi="Arial"/>
                <w:sz w:val="16"/>
                <w:szCs w:val="16"/>
                <w:b w:val="1"/>
                <w:bCs w:val="1"/>
                <w:color w:val="auto"/>
              </w:rPr>
              <w:t>2010</w:t>
            </w:r>
          </w:p>
        </w:tc>
      </w:tr>
      <w:tr>
        <w:trPr>
          <w:trHeight w:val="33"/>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4.2 - 6.3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5.1 - 6.8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Volatility (%)</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40.5</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 (%)</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Dividend rate (%)</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The effective tax rate was 25.1% for the three months ended March 31, 2011, compared to an effective tax rate of 37.3% for the three months ended March 31, 2010. The provision for income taxes for the three months ended March 31, 2011 is comprised of foreign income taxes, U.S. federal and state taxes, and withholding tax. The provision for income taxes for the three months ended March 31, 2010 is comprised primarily of foreign income taxes, U.S. federal alternative minimum tax, state income taxes, and withholding tax.</w:t>
      </w:r>
    </w:p>
    <w:p>
      <w:pPr>
        <w:spacing w:after="0" w:line="187"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As of March 31, 2011 and December 31, 2010, unrecognized tax benefits determined in accordance with authoritative guidance on accounting for uncertainty in income taxes, approximated $15.9 million and $12.1 million, respectively. The total amount of unrecognized tax benefits, if recognized, would favorably impact the effective tax rate.</w:t>
      </w:r>
    </w:p>
    <w:p>
      <w:pPr>
        <w:spacing w:after="0" w:line="181"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It is our policy to classify accrued interest and penalties related to unrecognized tax benefits in the provision for income taxes. As of March 31, 2011, we had approximately $0.3 million accrued for estimated interest related to uncertain tax positions, and $0.2 million accrued as of December 31, 2010. Penalties related to unrecognized tax benefits for both March 31, 2011 and March 31, 2010 were immaterial. We do not expect any material unrecognized tax benefits to expire within the next twelve months.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w:t>
      </w:r>
    </w:p>
    <w:p>
      <w:pPr>
        <w:spacing w:after="0" w:line="229"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We have established a 401(k) tax-deferred savings plan (the “401(k) Plan”) which permits participants to make contributions by salary deduction pursuant to Section 401(k) of the Internal Revenue Code. Under the 401(k) Plan, participating employees may defer a portion of their pre-tax earnings, up to the IRS annual contribution limit ($16,500 for the calendar year 2011). In Canada, we have established a Group RRSP program (the "RRSP Plan") which permits participants to make tax deductible contributions up to the maximum RRSP contribution limits under the Income Tax Act. As of January 1, 2011, our board of directors approved 50% matching contributions on employee contributions, up to 4% of the employee's eligible earnings. Our matching contribution to the RRSP and 401(k) Plans were $366,214 during the first quarter of 2011.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229"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 xml:space="preserve">ASC 280 (formerly referred to as SFAS No. 131, </w:t>
      </w:r>
      <w:r>
        <w:rPr>
          <w:rFonts w:ascii="Arial" w:cs="Arial" w:eastAsia="Arial" w:hAnsi="Arial"/>
          <w:sz w:val="16"/>
          <w:szCs w:val="16"/>
          <w:i w:val="1"/>
          <w:iCs w:val="1"/>
          <w:color w:val="auto"/>
        </w:rPr>
        <w:t>Disclosures about Segments of an Enterprise and Related Information)</w:t>
      </w:r>
      <w:r>
        <w:rPr>
          <w:rFonts w:ascii="Arial" w:cs="Arial" w:eastAsia="Arial" w:hAnsi="Arial"/>
          <w:sz w:val="16"/>
          <w:szCs w:val="16"/>
          <w:color w:val="auto"/>
        </w:rPr>
        <w:t xml:space="preserve"> establishes standards for reporting information about operating segments. Operating segments are defined as components of an enterprise about which separate financial information is available that is evaluated regularly by the chief operating decision maker in deciding how to allocate resources and in assessing performance. Our chief operating decision maker is our chief executive officer. Our chief executive officer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or components below the consolidated unit level. Accordingly, we are considered to be in a single reportable segment and operating unit structure.</w:t>
      </w:r>
    </w:p>
    <w:p>
      <w:pPr>
        <w:spacing w:after="0" w:line="167"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Revenue by geographic region is based on the billing address of the customer. The following tables set forth revenue, interest income and property and equipment by geographic region ($ amounts in 000's):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3100" w:type="dxa"/>
            <w:vAlign w:val="bottom"/>
            <w:gridSpan w:val="3"/>
          </w:tcPr>
          <w:p>
            <w:pPr>
              <w:jc w:val="right"/>
              <w:ind w:right="713"/>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70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1620" w:type="dxa"/>
            <w:vAlign w:val="bottom"/>
            <w:gridSpan w:val="2"/>
          </w:tcPr>
          <w:p>
            <w:pPr>
              <w:ind w:left="360"/>
              <w:spacing w:after="0"/>
              <w:rPr>
                <w:sz w:val="20"/>
                <w:szCs w:val="20"/>
                <w:color w:val="auto"/>
              </w:rPr>
            </w:pPr>
            <w:r>
              <w:rPr>
                <w:rFonts w:ascii="Arial" w:cs="Arial" w:eastAsia="Arial" w:hAnsi="Arial"/>
                <w:sz w:val="16"/>
                <w:szCs w:val="16"/>
                <w:b w:val="1"/>
                <w:bCs w:val="1"/>
                <w:color w:val="auto"/>
              </w:rPr>
              <w:t>March 31,</w:t>
            </w:r>
          </w:p>
        </w:tc>
        <w:tc>
          <w:tcPr>
            <w:tcW w:w="1480" w:type="dxa"/>
            <w:vAlign w:val="bottom"/>
          </w:tcPr>
          <w:p>
            <w:pPr>
              <w:jc w:val="right"/>
              <w:ind w:right="313"/>
              <w:spacing w:after="0"/>
              <w:rPr>
                <w:sz w:val="20"/>
                <w:szCs w:val="20"/>
                <w:color w:val="auto"/>
              </w:rPr>
            </w:pPr>
            <w:r>
              <w:rPr>
                <w:rFonts w:ascii="Arial" w:cs="Arial" w:eastAsia="Arial" w:hAnsi="Arial"/>
                <w:sz w:val="16"/>
                <w:szCs w:val="16"/>
                <w:b w:val="1"/>
                <w:bCs w:val="1"/>
                <w:color w:val="auto"/>
              </w:rPr>
              <w:t>March 31,</w:t>
            </w:r>
          </w:p>
        </w:tc>
      </w:tr>
      <w:tr>
        <w:trPr>
          <w:trHeight w:val="176"/>
        </w:trPr>
        <w:tc>
          <w:tcPr>
            <w:tcW w:w="8320" w:type="dxa"/>
            <w:vAlign w:val="bottom"/>
            <w:gridSpan w:val="3"/>
          </w:tcPr>
          <w:p>
            <w:pPr>
              <w:ind w:left="40"/>
              <w:spacing w:after="0" w:line="176" w:lineRule="exact"/>
              <w:rPr>
                <w:sz w:val="20"/>
                <w:szCs w:val="20"/>
                <w:color w:val="auto"/>
              </w:rPr>
            </w:pPr>
            <w:r>
              <w:rPr>
                <w:rFonts w:ascii="Arial" w:cs="Arial" w:eastAsia="Arial" w:hAnsi="Arial"/>
                <w:sz w:val="16"/>
                <w:szCs w:val="16"/>
                <w:b w:val="1"/>
                <w:bCs w:val="1"/>
                <w:color w:val="auto"/>
              </w:rPr>
              <w:t>Revenue</w:t>
            </w:r>
          </w:p>
        </w:tc>
        <w:tc>
          <w:tcPr>
            <w:tcW w:w="1480" w:type="dxa"/>
            <w:vAlign w:val="bottom"/>
          </w:tcPr>
          <w:p>
            <w:pPr>
              <w:jc w:val="right"/>
              <w:ind w:right="494"/>
              <w:spacing w:after="0" w:line="176" w:lineRule="exact"/>
              <w:rPr>
                <w:sz w:val="20"/>
                <w:szCs w:val="20"/>
                <w:color w:val="auto"/>
              </w:rPr>
            </w:pPr>
            <w:r>
              <w:rPr>
                <w:rFonts w:ascii="Arial" w:cs="Arial" w:eastAsia="Arial" w:hAnsi="Arial"/>
                <w:sz w:val="16"/>
                <w:szCs w:val="16"/>
                <w:b w:val="1"/>
                <w:bCs w:val="1"/>
                <w:color w:val="auto"/>
              </w:rPr>
              <w:t>2011</w:t>
            </w:r>
          </w:p>
        </w:tc>
        <w:tc>
          <w:tcPr>
            <w:tcW w:w="140" w:type="dxa"/>
            <w:vAlign w:val="bottom"/>
          </w:tcPr>
          <w:p>
            <w:pPr>
              <w:spacing w:after="0"/>
              <w:rPr>
                <w:sz w:val="15"/>
                <w:szCs w:val="15"/>
                <w:color w:val="auto"/>
              </w:rPr>
            </w:pPr>
          </w:p>
        </w:tc>
        <w:tc>
          <w:tcPr>
            <w:tcW w:w="1480" w:type="dxa"/>
            <w:vAlign w:val="bottom"/>
          </w:tcPr>
          <w:p>
            <w:pPr>
              <w:jc w:val="right"/>
              <w:ind w:right="493"/>
              <w:spacing w:after="0" w:line="176" w:lineRule="exact"/>
              <w:rPr>
                <w:sz w:val="20"/>
                <w:szCs w:val="20"/>
                <w:color w:val="auto"/>
              </w:rPr>
            </w:pPr>
            <w:r>
              <w:rPr>
                <w:rFonts w:ascii="Arial" w:cs="Arial" w:eastAsia="Arial" w:hAnsi="Arial"/>
                <w:sz w:val="16"/>
                <w:szCs w:val="16"/>
                <w:b w:val="1"/>
                <w:bCs w:val="1"/>
                <w:color w:val="auto"/>
              </w:rPr>
              <w:t>2010</w:t>
            </w:r>
          </w:p>
        </w:tc>
      </w:tr>
      <w:tr>
        <w:trPr>
          <w:trHeight w:val="48"/>
        </w:trPr>
        <w:tc>
          <w:tcPr>
            <w:tcW w:w="40" w:type="dxa"/>
            <w:vAlign w:val="bottom"/>
            <w:tcBorders>
              <w:bottom w:val="single" w:sz="8" w:color="CCEEFF"/>
            </w:tcBorders>
          </w:tcPr>
          <w:p>
            <w:pPr>
              <w:spacing w:after="0"/>
              <w:rPr>
                <w:sz w:val="4"/>
                <w:szCs w:val="4"/>
                <w:color w:val="auto"/>
              </w:rPr>
            </w:pPr>
          </w:p>
        </w:tc>
        <w:tc>
          <w:tcPr>
            <w:tcW w:w="580" w:type="dxa"/>
            <w:vAlign w:val="bottom"/>
            <w:tcBorders>
              <w:top w:val="single" w:sz="8" w:color="auto"/>
              <w:bottom w:val="single" w:sz="8" w:color="CCEEFF"/>
            </w:tcBorders>
          </w:tcPr>
          <w:p>
            <w:pPr>
              <w:spacing w:after="0"/>
              <w:rPr>
                <w:sz w:val="4"/>
                <w:szCs w:val="4"/>
                <w:color w:val="auto"/>
              </w:rPr>
            </w:pPr>
          </w:p>
        </w:tc>
        <w:tc>
          <w:tcPr>
            <w:tcW w:w="7700" w:type="dxa"/>
            <w:vAlign w:val="bottom"/>
            <w:tcBorders>
              <w:bottom w:val="single" w:sz="8" w:color="CCEEFF"/>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r>
        <w:trPr>
          <w:trHeight w:val="244"/>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35,645</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23,817</w:t>
            </w:r>
          </w:p>
        </w:tc>
      </w:tr>
      <w:tr>
        <w:trPr>
          <w:trHeight w:val="243"/>
        </w:trPr>
        <w:tc>
          <w:tcPr>
            <w:tcW w:w="8320" w:type="dxa"/>
            <w:vAlign w:val="bottom"/>
            <w:gridSpan w:val="3"/>
          </w:tcPr>
          <w:p>
            <w:pPr>
              <w:ind w:left="40"/>
              <w:spacing w:after="0"/>
              <w:rPr>
                <w:sz w:val="20"/>
                <w:szCs w:val="20"/>
                <w:color w:val="auto"/>
              </w:rPr>
            </w:pPr>
            <w:r>
              <w:rPr>
                <w:rFonts w:ascii="Arial" w:cs="Arial" w:eastAsia="Arial" w:hAnsi="Arial"/>
                <w:sz w:val="18"/>
                <w:szCs w:val="18"/>
                <w:color w:val="auto"/>
              </w:rPr>
              <w:t>Europe, Middle East and Africa (EMEA)</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33,641</w:t>
            </w:r>
          </w:p>
        </w:tc>
        <w:tc>
          <w:tcPr>
            <w:tcW w:w="14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27,074</w:t>
            </w: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Asia Pacific and Japan (APAC)</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23,980</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18,904</w:t>
            </w:r>
          </w:p>
        </w:tc>
      </w:tr>
      <w:tr>
        <w:trPr>
          <w:trHeight w:val="257"/>
        </w:trPr>
        <w:tc>
          <w:tcPr>
            <w:tcW w:w="40" w:type="dxa"/>
            <w:vAlign w:val="bottom"/>
          </w:tcPr>
          <w:p>
            <w:pPr>
              <w:spacing w:after="0"/>
              <w:rPr>
                <w:sz w:val="22"/>
                <w:szCs w:val="22"/>
                <w:color w:val="auto"/>
              </w:rPr>
            </w:pPr>
          </w:p>
        </w:tc>
        <w:tc>
          <w:tcPr>
            <w:tcW w:w="8280" w:type="dxa"/>
            <w:vAlign w:val="bottom"/>
            <w:gridSpan w:val="2"/>
          </w:tcPr>
          <w:p>
            <w:pPr>
              <w:ind w:left="140"/>
              <w:spacing w:after="0"/>
              <w:rPr>
                <w:sz w:val="20"/>
                <w:szCs w:val="20"/>
                <w:color w:val="auto"/>
              </w:rPr>
            </w:pPr>
            <w:r>
              <w:rPr>
                <w:rFonts w:ascii="Arial" w:cs="Arial" w:eastAsia="Arial" w:hAnsi="Arial"/>
                <w:sz w:val="18"/>
                <w:szCs w:val="18"/>
                <w:color w:val="auto"/>
              </w:rPr>
              <w:t>Total revenue</w:t>
            </w:r>
          </w:p>
        </w:tc>
        <w:tc>
          <w:tcPr>
            <w:tcW w:w="14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93,266</w:t>
            </w:r>
          </w:p>
        </w:tc>
        <w:tc>
          <w:tcPr>
            <w:tcW w:w="14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69,795</w:t>
            </w:r>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1620" w:type="dxa"/>
            <w:vAlign w:val="bottom"/>
            <w:gridSpan w:val="2"/>
          </w:tcPr>
          <w:p>
            <w:pPr>
              <w:ind w:left="360"/>
              <w:spacing w:after="0"/>
              <w:rPr>
                <w:sz w:val="20"/>
                <w:szCs w:val="20"/>
                <w:color w:val="auto"/>
              </w:rPr>
            </w:pPr>
            <w:r>
              <w:rPr>
                <w:rFonts w:ascii="Arial" w:cs="Arial" w:eastAsia="Arial" w:hAnsi="Arial"/>
                <w:sz w:val="16"/>
                <w:szCs w:val="16"/>
                <w:b w:val="1"/>
                <w:bCs w:val="1"/>
                <w:color w:val="auto"/>
              </w:rPr>
              <w:t>March 31,</w:t>
            </w:r>
          </w:p>
        </w:tc>
        <w:tc>
          <w:tcPr>
            <w:tcW w:w="1480" w:type="dxa"/>
            <w:vAlign w:val="bottom"/>
          </w:tcPr>
          <w:p>
            <w:pPr>
              <w:jc w:val="right"/>
              <w:ind w:right="193"/>
              <w:spacing w:after="0"/>
              <w:rPr>
                <w:sz w:val="20"/>
                <w:szCs w:val="20"/>
                <w:color w:val="auto"/>
              </w:rPr>
            </w:pPr>
            <w:r>
              <w:rPr>
                <w:rFonts w:ascii="Arial" w:cs="Arial" w:eastAsia="Arial" w:hAnsi="Arial"/>
                <w:sz w:val="16"/>
                <w:szCs w:val="16"/>
                <w:b w:val="1"/>
                <w:bCs w:val="1"/>
                <w:color w:val="auto"/>
              </w:rPr>
              <w:t>December 31,</w:t>
            </w:r>
          </w:p>
        </w:tc>
      </w:tr>
      <w:tr>
        <w:trPr>
          <w:trHeight w:val="176"/>
        </w:trPr>
        <w:tc>
          <w:tcPr>
            <w:tcW w:w="8320" w:type="dxa"/>
            <w:vAlign w:val="bottom"/>
            <w:gridSpan w:val="3"/>
          </w:tcPr>
          <w:p>
            <w:pPr>
              <w:ind w:left="40"/>
              <w:spacing w:after="0" w:line="176" w:lineRule="exact"/>
              <w:rPr>
                <w:sz w:val="20"/>
                <w:szCs w:val="20"/>
                <w:color w:val="auto"/>
              </w:rPr>
            </w:pPr>
            <w:r>
              <w:rPr>
                <w:rFonts w:ascii="Arial" w:cs="Arial" w:eastAsia="Arial" w:hAnsi="Arial"/>
                <w:sz w:val="16"/>
                <w:szCs w:val="16"/>
                <w:b w:val="1"/>
                <w:bCs w:val="1"/>
                <w:color w:val="auto"/>
              </w:rPr>
              <w:t>Property and Equipment</w:t>
            </w:r>
          </w:p>
        </w:tc>
        <w:tc>
          <w:tcPr>
            <w:tcW w:w="1480" w:type="dxa"/>
            <w:vAlign w:val="bottom"/>
          </w:tcPr>
          <w:p>
            <w:pPr>
              <w:jc w:val="right"/>
              <w:ind w:right="493"/>
              <w:spacing w:after="0" w:line="176" w:lineRule="exact"/>
              <w:rPr>
                <w:sz w:val="20"/>
                <w:szCs w:val="20"/>
                <w:color w:val="auto"/>
              </w:rPr>
            </w:pPr>
            <w:r>
              <w:rPr>
                <w:rFonts w:ascii="Arial" w:cs="Arial" w:eastAsia="Arial" w:hAnsi="Arial"/>
                <w:sz w:val="16"/>
                <w:szCs w:val="16"/>
                <w:b w:val="1"/>
                <w:bCs w:val="1"/>
                <w:color w:val="auto"/>
              </w:rPr>
              <w:t>2011</w:t>
            </w:r>
          </w:p>
        </w:tc>
        <w:tc>
          <w:tcPr>
            <w:tcW w:w="140" w:type="dxa"/>
            <w:vAlign w:val="bottom"/>
          </w:tcPr>
          <w:p>
            <w:pPr>
              <w:spacing w:after="0"/>
              <w:rPr>
                <w:sz w:val="15"/>
                <w:szCs w:val="15"/>
                <w:color w:val="auto"/>
              </w:rPr>
            </w:pPr>
          </w:p>
        </w:tc>
        <w:tc>
          <w:tcPr>
            <w:tcW w:w="1480" w:type="dxa"/>
            <w:vAlign w:val="bottom"/>
          </w:tcPr>
          <w:p>
            <w:pPr>
              <w:jc w:val="right"/>
              <w:ind w:right="493"/>
              <w:spacing w:after="0" w:line="176" w:lineRule="exact"/>
              <w:rPr>
                <w:sz w:val="20"/>
                <w:szCs w:val="20"/>
                <w:color w:val="auto"/>
              </w:rPr>
            </w:pPr>
            <w:r>
              <w:rPr>
                <w:rFonts w:ascii="Arial" w:cs="Arial" w:eastAsia="Arial" w:hAnsi="Arial"/>
                <w:sz w:val="16"/>
                <w:szCs w:val="16"/>
                <w:b w:val="1"/>
                <w:bCs w:val="1"/>
                <w:color w:val="auto"/>
              </w:rPr>
              <w:t>2010</w:t>
            </w:r>
          </w:p>
        </w:tc>
      </w:tr>
      <w:tr>
        <w:trPr>
          <w:trHeight w:val="48"/>
        </w:trPr>
        <w:tc>
          <w:tcPr>
            <w:tcW w:w="40" w:type="dxa"/>
            <w:vAlign w:val="bottom"/>
            <w:tcBorders>
              <w:bottom w:val="single" w:sz="8" w:color="CCEEFF"/>
            </w:tcBorders>
          </w:tcPr>
          <w:p>
            <w:pPr>
              <w:spacing w:after="0"/>
              <w:rPr>
                <w:sz w:val="4"/>
                <w:szCs w:val="4"/>
                <w:color w:val="auto"/>
              </w:rPr>
            </w:pPr>
          </w:p>
        </w:tc>
        <w:tc>
          <w:tcPr>
            <w:tcW w:w="1720" w:type="dxa"/>
            <w:vAlign w:val="bottom"/>
            <w:tcBorders>
              <w:top w:val="single" w:sz="8" w:color="auto"/>
              <w:bottom w:val="single" w:sz="8" w:color="CCEEFF"/>
            </w:tcBorders>
          </w:tcPr>
          <w:p>
            <w:pPr>
              <w:spacing w:after="0"/>
              <w:rPr>
                <w:sz w:val="4"/>
                <w:szCs w:val="4"/>
                <w:color w:val="auto"/>
              </w:rPr>
            </w:pPr>
          </w:p>
        </w:tc>
        <w:tc>
          <w:tcPr>
            <w:tcW w:w="6560" w:type="dxa"/>
            <w:vAlign w:val="bottom"/>
            <w:tcBorders>
              <w:bottom w:val="single" w:sz="8" w:color="CCEEFF"/>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r>
        <w:trPr>
          <w:trHeight w:val="244"/>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5,526</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5,585</w:t>
            </w:r>
          </w:p>
        </w:tc>
      </w:tr>
      <w:tr>
        <w:trPr>
          <w:trHeight w:val="243"/>
        </w:trPr>
        <w:tc>
          <w:tcPr>
            <w:tcW w:w="8320" w:type="dxa"/>
            <w:vAlign w:val="bottom"/>
            <w:gridSpan w:val="3"/>
          </w:tcPr>
          <w:p>
            <w:pPr>
              <w:ind w:left="40"/>
              <w:spacing w:after="0"/>
              <w:rPr>
                <w:sz w:val="20"/>
                <w:szCs w:val="20"/>
                <w:color w:val="auto"/>
              </w:rPr>
            </w:pPr>
            <w:r>
              <w:rPr>
                <w:rFonts w:ascii="Arial" w:cs="Arial" w:eastAsia="Arial" w:hAnsi="Arial"/>
                <w:sz w:val="18"/>
                <w:szCs w:val="18"/>
                <w:color w:val="auto"/>
              </w:rPr>
              <w:t>EMEA</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844</w:t>
            </w:r>
          </w:p>
        </w:tc>
        <w:tc>
          <w:tcPr>
            <w:tcW w:w="14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616</w:t>
            </w:r>
          </w:p>
        </w:tc>
      </w:tr>
      <w:tr>
        <w:trPr>
          <w:trHeight w:val="27"/>
        </w:trPr>
        <w:tc>
          <w:tcPr>
            <w:tcW w:w="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APAC</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728</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855</w:t>
            </w:r>
          </w:p>
        </w:tc>
      </w:tr>
      <w:tr>
        <w:trPr>
          <w:trHeight w:val="257"/>
        </w:trPr>
        <w:tc>
          <w:tcPr>
            <w:tcW w:w="40" w:type="dxa"/>
            <w:vAlign w:val="bottom"/>
          </w:tcPr>
          <w:p>
            <w:pPr>
              <w:spacing w:after="0"/>
              <w:rPr>
                <w:sz w:val="22"/>
                <w:szCs w:val="22"/>
                <w:color w:val="auto"/>
              </w:rPr>
            </w:pPr>
          </w:p>
        </w:tc>
        <w:tc>
          <w:tcPr>
            <w:tcW w:w="8280" w:type="dxa"/>
            <w:vAlign w:val="bottom"/>
            <w:gridSpan w:val="2"/>
          </w:tcPr>
          <w:p>
            <w:pPr>
              <w:ind w:left="140"/>
              <w:spacing w:after="0"/>
              <w:rPr>
                <w:sz w:val="20"/>
                <w:szCs w:val="20"/>
                <w:color w:val="auto"/>
              </w:rPr>
            </w:pPr>
            <w:r>
              <w:rPr>
                <w:rFonts w:ascii="Arial" w:cs="Arial" w:eastAsia="Arial" w:hAnsi="Arial"/>
                <w:sz w:val="18"/>
                <w:szCs w:val="18"/>
                <w:color w:val="auto"/>
              </w:rPr>
              <w:t>Total property and equipment—net</w:t>
            </w:r>
          </w:p>
        </w:tc>
        <w:tc>
          <w:tcPr>
            <w:tcW w:w="14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7,098</w:t>
            </w:r>
          </w:p>
        </w:tc>
        <w:tc>
          <w:tcPr>
            <w:tcW w:w="14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7,056</w:t>
            </w:r>
          </w:p>
        </w:tc>
      </w:tr>
      <w:tr>
        <w:trPr>
          <w:trHeight w:val="20"/>
        </w:trPr>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29"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On April 7, 2011, we completed the acquisition of certain technology assets of TalkSwitch, a privately-held company that develops VoIP telephone systems, for a cash payment of $2.6 million. We are currently in the process of finalizing the accounting for this transaction.</w:t>
      </w:r>
    </w:p>
    <w:p>
      <w:pPr>
        <w:spacing w:after="0" w:line="170" w:lineRule="exact"/>
        <w:rPr>
          <w:sz w:val="20"/>
          <w:szCs w:val="20"/>
          <w:color w:val="auto"/>
        </w:rPr>
      </w:pPr>
    </w:p>
    <w:p>
      <w:pPr>
        <w:ind w:right="60" w:firstLine="486"/>
        <w:spacing w:after="0" w:line="297" w:lineRule="auto"/>
        <w:rPr>
          <w:sz w:val="20"/>
          <w:szCs w:val="20"/>
          <w:color w:val="auto"/>
        </w:rPr>
      </w:pPr>
      <w:r>
        <w:rPr>
          <w:rFonts w:ascii="Arial" w:cs="Arial" w:eastAsia="Arial" w:hAnsi="Arial"/>
          <w:sz w:val="16"/>
          <w:szCs w:val="16"/>
          <w:color w:val="auto"/>
        </w:rPr>
        <w:t>On April 27, 2011, we announced a two-for-one stock split of our outstanding shares of common stock to be effected in the form of a stock dividend. The stock split will entitle each stockholder of record at the close of business on May 9, 2011, to receive one additional share for every one share owned as of that date. The additional shares resulting from the stock split are expected to be distributed by the transfer agent on or about June 1, 2011. We currently estimate, that upon the completion of the stock split, we will have approximately 153 million shares of common stock outstanding. Information presented in our condensed consolidated financial statements and notes thereto has not been restated to reflect this authorized stock split.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right="80" w:firstLine="486"/>
        <w:spacing w:after="0" w:line="264" w:lineRule="auto"/>
        <w:rPr>
          <w:sz w:val="20"/>
          <w:szCs w:val="20"/>
          <w:color w:val="auto"/>
        </w:rPr>
      </w:pPr>
      <w:r>
        <w:rPr>
          <w:rFonts w:ascii="Arial" w:cs="Arial" w:eastAsia="Arial" w:hAnsi="Arial"/>
          <w:sz w:val="18"/>
          <w:szCs w:val="18"/>
          <w:i w:val="1"/>
          <w:iCs w:val="1"/>
          <w:color w:val="auto"/>
        </w:rPr>
        <w:t>In addition to historical information, this Quarterly Report on Form 10-Q contains forward-looking statements within the meaning of Section 27A of the Securities Act of 1933 and Section 21E of the Securities Exchange Act of 1934. These statements include, among other things, statements concerning our expectations regarding:</w:t>
      </w:r>
    </w:p>
    <w:p>
      <w:pPr>
        <w:spacing w:after="0" w:line="181"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growth in sales of multi-year support and subscription contracts;</w:t>
      </w:r>
    </w:p>
    <w:p>
      <w:pPr>
        <w:spacing w:after="0" w:line="225"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continued realization of efficiency gains in our sales and marketing organization as well as efficiency gains in our overall headcount measured by revenue per employee;</w:t>
      </w:r>
    </w:p>
    <w:p>
      <w:pPr>
        <w:spacing w:after="0" w:line="170" w:lineRule="exact"/>
        <w:rPr>
          <w:rFonts w:ascii="Arial" w:cs="Arial" w:eastAsia="Arial" w:hAnsi="Arial"/>
          <w:sz w:val="18"/>
          <w:szCs w:val="18"/>
          <w:i w:val="1"/>
          <w:iCs w:val="1"/>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growth in our high-end business and further penetration in certain verticals;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significance of stock compensation as an expense;</w:t>
      </w:r>
    </w:p>
    <w:p>
      <w:pPr>
        <w:spacing w:after="0" w:line="225"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proportion of our revenue that consists of our product and service revenues and future trends with respect to service revenue as we renew existing services contracts and expands our customer base;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royalty payments to Trend Micro;</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impact of our product innovation strategy;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impact of the newly-adopted revenue recognition rules;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trends in product revenues, costs of services revenue, service gross margin and overall gross margin;</w:t>
      </w:r>
    </w:p>
    <w:p>
      <w:pPr>
        <w:spacing w:after="0" w:line="225"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trends in our operating expenses, including personnel costs, research and development expense, sales and marketing expense and general and administrative expense;</w:t>
      </w:r>
    </w:p>
    <w:p>
      <w:pPr>
        <w:spacing w:after="0" w:line="170"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investments in research and development and sales and marketing staff to address market opportunities and to position ourselves for future growth;</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effective tax rate;</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impact of seasonality on our business;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sufficiency of our existing cash and cash equivalents to meet our cash needs for at least the next 12 months;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impact of inflation and foreign currency exchange rates;</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as well as other statements regarding our future operations, financial condition and prospects and business strategies. 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Quarterly Report on Form 10-Q and, in particular, the risks discussed under the heading “Risk Factors” included elsewhere in this Quarterly Report on Form 10-Q and in our other Securities and Exchange Commission filings, including our Annual Report on Form 10-K for the year ended December 31, 2010, which was filed on February 25, 2011. We undertake no obligation to revise or publicly release the results of any revision to these forward-looking statements. Given these risks and uncertainties, readers are cautioned not to place undue reliance on such forward-looking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25"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provide network security solutions, which enable broad, integrated and high performance protection against dynamic security threats while simplifying the IT security infrastructure for enterprises, service providers and government entities worldwide. As of March 31, 2011, we had shipped over 700,000 appliances to more than 5,000 channel partners and to more than 100,000 end-customers worldwide, including a majority of the 2010 Fortune Global 100.</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core UTM product line of FortiGate appliances ships with a set of security and networking capabilities, including</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125" w:right="27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firewall, VPN, antivirus, intrusion prevention, application control, Web filtering, antispam and WAN acceleration functionality. We derive a substantial majority of product sales from our FortiGate appliances, which range from the FortiGate-30, designed for small businesses and branch offices, to the FortiGate-5000 series for large enterprises and service providers. Our UTM solution also includes our FortiGuard security subscription services, which end-customers can subscribe to in order to obtain access to dynamic updates to the antivirus, intrusion prevention/application control, Web filtering and antispam functionality included in our appliances. End-customers can also choose to purchase FortiCare technical support services for our products. We complement our core FortiGate product line with other appliances and software that offer additional protection from security threats to other critical areas of the enterprise, such as messaging, Web application firewalls, databases, employee computers and mobile devices. Sales of these complimentary products have grown in recent quarters, although these products still represent less than 10% of our total revenue. During the fourth quarter of 2010, we began shipping virtual appliances for our FortiGate and FortiManager product lines, which help secure the end-customer's "cloud-based" network infrastructures with the same functionality as the traditional physical appliance in their respective product lines. In the first quarter of 2011, we expanded and enhanced our FortiGate UTM and FortiAP secure wireless access product lines.</w:t>
      </w:r>
    </w:p>
    <w:p>
      <w:pPr>
        <w:spacing w:after="0" w:line="183"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Our sales strategy is based on a distribution model whereby we primarily sell our products and services directly to distributors who sell to resellers and service providers, who, in turn, sell to our end-customers. In certain cases, we sell directly to government-focused resellers, large service providers and major systems integrators, who have significant purchasing power and unique customer deployment requirements. Typically, FortiGuard security subscription services and FortiCare technical support services are purchased along with our appliances. We invoice at the time of our sale for the total price of the products and subscription and support services, and the invoice generally becomes payable within 30 to 90 days. We generally recognize product revenue up-front based on the allocated revenue value and defer revenue for the sale of new and renewal subscription and support services contracts. We recognize the related services revenue over the service period, which is typically one year from the date the end-customer registers for these services (the date on which the services can first be used by the customer); although, it could be longer as we are experiencing growth in sales of multi-year support and subscription contracts. Sales of new and renewal services increase our deferred revenue balance, which contributes significantly to our positive cash flow from operations.</w:t>
      </w:r>
    </w:p>
    <w:p>
      <w:pPr>
        <w:spacing w:after="0" w:line="126"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During the first quarter of 2011, we achieved strong growth in billings and revenues as a result of investments made in our sales infrastructure, especially the expansion of our Americas sales force and the build out of our vertical-focused sales team in the United States. Sales of FortiGate products continued to be generally balanced across entry-level (FortiGate-30 to -100 series), mid-range (FortiGate-200 to -800 series) and high-end (FortiGate-1000 to -5000 series) models with each product category representing approximately one-third of FortiGate sales. At times we do experience some degree of variability from year to year and between quarters. During the first quarter of 2011, we successfully executed our strategy to grow the high-end segment of our business, consisting of sales to large enterprises and service providers. The percentage of our FortiGate related billings from the high-end category increased to 37% in first quarter of 2011 from 27% in the first quarter of 2010, while the entry-level category decreased from 40% to 33%, and the mid-range category decreased from 33% to 30% over the same period.</w:t>
      </w:r>
    </w:p>
    <w:p>
      <w:pPr>
        <w:spacing w:after="0" w:line="179" w:lineRule="exact"/>
        <w:rPr>
          <w:sz w:val="20"/>
          <w:szCs w:val="20"/>
          <w:color w:val="auto"/>
        </w:rPr>
      </w:pPr>
    </w:p>
    <w:p>
      <w:pPr>
        <w:ind w:right="100" w:firstLine="486"/>
        <w:spacing w:after="0" w:line="271" w:lineRule="auto"/>
        <w:rPr>
          <w:sz w:val="20"/>
          <w:szCs w:val="20"/>
          <w:color w:val="auto"/>
        </w:rPr>
      </w:pPr>
      <w:r>
        <w:rPr>
          <w:rFonts w:ascii="Arial" w:cs="Arial" w:eastAsia="Arial" w:hAnsi="Arial"/>
          <w:sz w:val="17"/>
          <w:szCs w:val="17"/>
          <w:color w:val="auto"/>
        </w:rPr>
        <w:t>We also believe continued product innovation, as evidenced by the increased demand for our recently introduced FortiGate appliance models such as the FortiGate-3040B, FortiGate-3140B, as well as our FortiAP secure wireless access devices, are reinforcing our competitive edge and driving market share gains. During the first quarter of 2011, we also continued to expand and enhance our sales teams, and focus on key verticals and emerging markets. We had continued traction in the enterprise and service provider verticals and made advances into the healthcare vertical. We believe these investments in both product innovation and the expansion of our sales team have allowed us to penetrate into larger enterprise and service provider accounts as evidenced by the increase in the number of deals involving sales greater than $100,000 and a sizable increase in the number of deals greater than $250,000 and $500,000 compared to the first quarter of 2010. We remain focused on investing in our sales and research and development resources in order to expand our reach into new high growth verticals and emerging markets.</w:t>
      </w:r>
    </w:p>
    <w:p>
      <w:pPr>
        <w:spacing w:after="0" w:line="179"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Billings, a non-GAAP financial measure that we define as total revenue plus the change in deferred revenue (further described under "Non-GAAP Financial Measures"), were $106.7 million in the first quarter of 2011, an increase of 34% compared to the first quarter of 2010. Total revenue was $93.3 million for the first quarter of 2011, an increase of 34% compared to the first quarter of 2010. Revenue includes a $3.3 million, or 3.5%, positive impact related to the adoption of the new revenue recognition rules, as described in our "Summary of Significant Accounting Policies included in - Footnote 1 of our Condensed Consolidated Financial Statements." Product revenue was $40.2 million, an increase of 48% compared to the first quarter of 2010, and a greater percentage of total revenue (43% in the first quarter of 2011, compared to 39% in the first quarter of 2010). A factor in the product revenue growth was the introduction of new products over the past year, including some non-FortiGate products. Services revenue in the first quarter of 2011 was $48.7 million, an increase of 26% compared to the first quarter of 2010. Services revenue is important to our future revenue and profitability as it provides a source of recurring</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revenue for us, representing 52% and 55% of total revenue for the first quarter of 2011 and 2010, respectively. Ratable product and services revenue in the first quarter of 2011 was $4.4 million, an increase of 9% compared to the first quarter of 2010. Adoption of the new revenue recognition rules is expected to result in a decline in ratable revenue over time.</w:t>
      </w:r>
    </w:p>
    <w:p>
      <w:pPr>
        <w:spacing w:after="0" w:line="181" w:lineRule="exact"/>
        <w:rPr>
          <w:sz w:val="20"/>
          <w:szCs w:val="20"/>
          <w:color w:val="auto"/>
        </w:rPr>
      </w:pPr>
    </w:p>
    <w:p>
      <w:pPr>
        <w:ind w:right="160" w:firstLine="486"/>
        <w:spacing w:after="0" w:line="255" w:lineRule="auto"/>
        <w:rPr>
          <w:sz w:val="20"/>
          <w:szCs w:val="20"/>
          <w:color w:val="auto"/>
        </w:rPr>
      </w:pPr>
      <w:r>
        <w:rPr>
          <w:rFonts w:ascii="Arial" w:cs="Arial" w:eastAsia="Arial" w:hAnsi="Arial"/>
          <w:sz w:val="18"/>
          <w:szCs w:val="18"/>
          <w:color w:val="auto"/>
        </w:rPr>
        <w:t>We are a global, geographically diversified business, with 61.8% of our total revenue generated outside of the Americas region in the first quarter of 2011. Our strong operating results were driven by an excellent performance across all geographies. During the quarter, $35.6 million, or 38%, of our total revenue was generated from the Americas, representing an increase of 50% from the first quarter of 2010. Europe, Middle East and Africa ("EMEA") generated $33.6 million, or 36%, of our total revenue during the first quarter of 2011, representing an increase of 24% from the first quarter of 2010. Asia Pacific and Japan ("APAC") generated $24.0 million, or 26%, of our total revenue during the first quarter of 2011, representing an increase of 27% from the first quarter of 2010.</w:t>
      </w:r>
    </w:p>
    <w:p>
      <w:pPr>
        <w:spacing w:after="0" w:line="193"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Our total operating expenses were $52.4 million for the first quarter of 2011, an increase of 20% compared to the same period in the prior year. The 34% increase in revenues compared to the 22% increase in sales and marketing expense from the first quarter of 2010 (as discussed under "Results of Operations" below) demonstrates the leverage that we are achieving from the investment in our sales force during the past year. Despite the negative impact of foreign currency fluctuations experienced during the quarter, operating expenses as a percentage of revenue decreased to 56% from 63% during the first quarter last year. We are also seeing improvements in productivity and efficiencies in our overall headcount as our annualized first quarter 2011 revenue per employee, defined as quarterly revenue, annualized and divided by average headcount, reached $274,000, up from $226,000 for the first quarter of 2010. Headcount increased during the first quarter of 2011 from 1,336 at the end of 2010 to 1,389, as our pace of hiring picked up this quarter (particularly in sales), following a ramp up in our recruiting efforts over the past few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Metrics</w:t>
      </w:r>
    </w:p>
    <w:p>
      <w:pPr>
        <w:spacing w:after="0" w:line="225"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We monitor the key financial metrics set forth below on a quarterly basis to help us evaluate growth trends, establish budgets, measure the effectiveness of our sales and marketing efforts and assess operational efficiencies. Our total deferred revenue increased by $13.4 million from $252.6 million at December 31, 2010 to $266.0 million at March 31, 2011. Revenue recognized plus the change in deferred revenue from the beginning to the end of the period is a useful metric that management identifies as billings. Billings for services drive deferred revenue, which is an important indicator of the health and visibility of our business, and has historically represented a majority of the quarterly revenue that we recognize. We also ended the first quarter of 2011 with $432.7 million in cash, cash equivalents and investments and have had positive cash flow from operations for every fiscal year since 2005. We discuss revenue, gross margin, and the components of operating income and margin below under “Components of Operating Results,” and we discuss our cash, cash equivalents, and investments under “Liquidity and Capital Resources.” Deferred revenue and cash flow from operations are discussed immediately below the following table.</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20" w:type="dxa"/>
            <w:vAlign w:val="bottom"/>
          </w:tcPr>
          <w:p>
            <w:pPr>
              <w:spacing w:after="0"/>
              <w:rPr>
                <w:sz w:val="18"/>
                <w:szCs w:val="18"/>
                <w:color w:val="auto"/>
              </w:rPr>
            </w:pPr>
          </w:p>
        </w:tc>
        <w:tc>
          <w:tcPr>
            <w:tcW w:w="4000" w:type="dxa"/>
            <w:vAlign w:val="bottom"/>
            <w:gridSpan w:val="2"/>
          </w:tcPr>
          <w:p>
            <w:pPr>
              <w:jc w:val="right"/>
              <w:ind w:right="531"/>
              <w:spacing w:after="0"/>
              <w:rPr>
                <w:sz w:val="20"/>
                <w:szCs w:val="20"/>
                <w:color w:val="auto"/>
              </w:rPr>
            </w:pPr>
            <w:r>
              <w:rPr>
                <w:rFonts w:ascii="Arial" w:cs="Arial" w:eastAsia="Arial" w:hAnsi="Arial"/>
                <w:sz w:val="16"/>
                <w:szCs w:val="16"/>
                <w:b w:val="1"/>
                <w:bCs w:val="1"/>
                <w:color w:val="auto"/>
              </w:rPr>
              <w:t>For The Three Months Ended Or As Of</w:t>
            </w:r>
          </w:p>
        </w:tc>
      </w:tr>
      <w:tr>
        <w:trPr>
          <w:trHeight w:val="33"/>
        </w:trPr>
        <w:tc>
          <w:tcPr>
            <w:tcW w:w="742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17"/>
        </w:trPr>
        <w:tc>
          <w:tcPr>
            <w:tcW w:w="7420" w:type="dxa"/>
            <w:vAlign w:val="bottom"/>
          </w:tcPr>
          <w:p>
            <w:pPr>
              <w:spacing w:after="0"/>
              <w:rPr>
                <w:sz w:val="18"/>
                <w:szCs w:val="18"/>
                <w:color w:val="auto"/>
              </w:rPr>
            </w:pPr>
          </w:p>
        </w:tc>
        <w:tc>
          <w:tcPr>
            <w:tcW w:w="2180" w:type="dxa"/>
            <w:vAlign w:val="bottom"/>
          </w:tcPr>
          <w:p>
            <w:pPr>
              <w:jc w:val="right"/>
              <w:ind w:right="612"/>
              <w:spacing w:after="0"/>
              <w:rPr>
                <w:sz w:val="20"/>
                <w:szCs w:val="20"/>
                <w:color w:val="auto"/>
              </w:rPr>
            </w:pPr>
            <w:r>
              <w:rPr>
                <w:rFonts w:ascii="Arial" w:cs="Arial" w:eastAsia="Arial" w:hAnsi="Arial"/>
                <w:sz w:val="16"/>
                <w:szCs w:val="16"/>
                <w:b w:val="1"/>
                <w:bCs w:val="1"/>
                <w:color w:val="auto"/>
              </w:rPr>
              <w:t>March 31, 2011</w:t>
            </w:r>
          </w:p>
        </w:tc>
        <w:tc>
          <w:tcPr>
            <w:tcW w:w="1820" w:type="dxa"/>
            <w:vAlign w:val="bottom"/>
          </w:tcPr>
          <w:p>
            <w:pPr>
              <w:jc w:val="right"/>
              <w:ind w:right="311"/>
              <w:spacing w:after="0"/>
              <w:rPr>
                <w:sz w:val="20"/>
                <w:szCs w:val="20"/>
                <w:color w:val="auto"/>
              </w:rPr>
            </w:pPr>
            <w:r>
              <w:rPr>
                <w:rFonts w:ascii="Arial" w:cs="Arial" w:eastAsia="Arial" w:hAnsi="Arial"/>
                <w:sz w:val="16"/>
                <w:szCs w:val="16"/>
                <w:b w:val="1"/>
                <w:bCs w:val="1"/>
                <w:color w:val="auto"/>
              </w:rPr>
              <w:t>March 31, 2010</w:t>
            </w:r>
          </w:p>
        </w:tc>
      </w:tr>
      <w:tr>
        <w:trPr>
          <w:trHeight w:val="33"/>
        </w:trPr>
        <w:tc>
          <w:tcPr>
            <w:tcW w:w="7420" w:type="dxa"/>
            <w:vAlign w:val="bottom"/>
          </w:tcPr>
          <w:p>
            <w:pPr>
              <w:spacing w:after="0"/>
              <w:rPr>
                <w:sz w:val="2"/>
                <w:szCs w:val="2"/>
                <w:color w:val="auto"/>
              </w:rPr>
            </w:pPr>
          </w:p>
        </w:tc>
        <w:tc>
          <w:tcPr>
            <w:tcW w:w="4000" w:type="dxa"/>
            <w:vAlign w:val="bottom"/>
            <w:tcBorders>
              <w:bottom w:val="single" w:sz="8" w:color="auto"/>
            </w:tcBorders>
            <w:gridSpan w:val="2"/>
          </w:tcPr>
          <w:p>
            <w:pPr>
              <w:spacing w:after="0"/>
              <w:rPr>
                <w:sz w:val="2"/>
                <w:szCs w:val="2"/>
                <w:color w:val="auto"/>
              </w:rPr>
            </w:pPr>
          </w:p>
        </w:tc>
      </w:tr>
      <w:tr>
        <w:trPr>
          <w:trHeight w:val="217"/>
        </w:trPr>
        <w:tc>
          <w:tcPr>
            <w:tcW w:w="7420" w:type="dxa"/>
            <w:vAlign w:val="bottom"/>
          </w:tcPr>
          <w:p>
            <w:pPr>
              <w:spacing w:after="0"/>
              <w:rPr>
                <w:sz w:val="18"/>
                <w:szCs w:val="18"/>
                <w:color w:val="auto"/>
              </w:rPr>
            </w:pPr>
          </w:p>
        </w:tc>
        <w:tc>
          <w:tcPr>
            <w:tcW w:w="4000" w:type="dxa"/>
            <w:vAlign w:val="bottom"/>
            <w:gridSpan w:val="2"/>
          </w:tcPr>
          <w:p>
            <w:pPr>
              <w:jc w:val="right"/>
              <w:ind w:right="1191"/>
              <w:spacing w:after="0"/>
              <w:rPr>
                <w:sz w:val="20"/>
                <w:szCs w:val="20"/>
                <w:color w:val="auto"/>
              </w:rPr>
            </w:pPr>
            <w:r>
              <w:rPr>
                <w:rFonts w:ascii="Arial" w:cs="Arial" w:eastAsia="Arial" w:hAnsi="Arial"/>
                <w:sz w:val="16"/>
                <w:szCs w:val="16"/>
                <w:b w:val="1"/>
                <w:bCs w:val="1"/>
                <w:color w:val="auto"/>
              </w:rPr>
              <w:t>($ amounts in 000's)</w:t>
            </w:r>
          </w:p>
        </w:tc>
      </w:tr>
      <w:tr>
        <w:trPr>
          <w:trHeight w:val="33"/>
        </w:trPr>
        <w:tc>
          <w:tcPr>
            <w:tcW w:w="74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180" w:type="dxa"/>
            <w:vAlign w:val="bottom"/>
            <w:tcBorders>
              <w:bottom w:val="single" w:sz="8" w:color="CCEEFF"/>
            </w:tcBorders>
            <w:shd w:val="clear" w:color="auto" w:fill="CCEEFF"/>
          </w:tcPr>
          <w:p>
            <w:pPr>
              <w:jc w:val="right"/>
              <w:ind w:right="392"/>
              <w:spacing w:after="0"/>
              <w:rPr>
                <w:sz w:val="20"/>
                <w:szCs w:val="20"/>
                <w:color w:val="auto"/>
              </w:rPr>
            </w:pPr>
            <w:r>
              <w:rPr>
                <w:rFonts w:ascii="Arial" w:cs="Arial" w:eastAsia="Arial" w:hAnsi="Arial"/>
                <w:sz w:val="18"/>
                <w:szCs w:val="18"/>
                <w:color w:val="auto"/>
              </w:rPr>
              <w:t>93,266</w:t>
            </w:r>
          </w:p>
        </w:tc>
        <w:tc>
          <w:tcPr>
            <w:tcW w:w="18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69,795</w:t>
            </w:r>
          </w:p>
        </w:tc>
      </w:tr>
      <w:tr>
        <w:trPr>
          <w:trHeight w:val="243"/>
        </w:trPr>
        <w:tc>
          <w:tcPr>
            <w:tcW w:w="7420" w:type="dxa"/>
            <w:vAlign w:val="bottom"/>
          </w:tcPr>
          <w:p>
            <w:pPr>
              <w:ind w:left="500"/>
              <w:spacing w:after="0"/>
              <w:rPr>
                <w:sz w:val="20"/>
                <w:szCs w:val="20"/>
                <w:color w:val="auto"/>
              </w:rPr>
            </w:pPr>
            <w:r>
              <w:rPr>
                <w:rFonts w:ascii="Arial" w:cs="Arial" w:eastAsia="Arial" w:hAnsi="Arial"/>
                <w:sz w:val="18"/>
                <w:szCs w:val="18"/>
                <w:color w:val="auto"/>
              </w:rPr>
              <w:t>Gross margin</w:t>
            </w:r>
          </w:p>
        </w:tc>
        <w:tc>
          <w:tcPr>
            <w:tcW w:w="2180" w:type="dxa"/>
            <w:vAlign w:val="bottom"/>
          </w:tcPr>
          <w:p>
            <w:pPr>
              <w:jc w:val="right"/>
              <w:ind w:right="232"/>
              <w:spacing w:after="0"/>
              <w:rPr>
                <w:sz w:val="20"/>
                <w:szCs w:val="20"/>
                <w:color w:val="auto"/>
              </w:rPr>
            </w:pPr>
            <w:r>
              <w:rPr>
                <w:rFonts w:ascii="Arial" w:cs="Arial" w:eastAsia="Arial" w:hAnsi="Arial"/>
                <w:sz w:val="18"/>
                <w:szCs w:val="18"/>
                <w:color w:val="auto"/>
              </w:rPr>
              <w:t>74.9%</w:t>
            </w:r>
          </w:p>
        </w:tc>
        <w:tc>
          <w:tcPr>
            <w:tcW w:w="1820" w:type="dxa"/>
            <w:vAlign w:val="bottom"/>
          </w:tcPr>
          <w:p>
            <w:pPr>
              <w:jc w:val="right"/>
              <w:spacing w:after="0"/>
              <w:rPr>
                <w:sz w:val="20"/>
                <w:szCs w:val="20"/>
                <w:color w:val="auto"/>
              </w:rPr>
            </w:pPr>
            <w:r>
              <w:rPr>
                <w:rFonts w:ascii="Arial" w:cs="Arial" w:eastAsia="Arial" w:hAnsi="Arial"/>
                <w:sz w:val="18"/>
                <w:szCs w:val="18"/>
                <w:color w:val="auto"/>
              </w:rPr>
              <w:t>72.2%</w:t>
            </w:r>
          </w:p>
        </w:tc>
      </w:tr>
      <w:tr>
        <w:trPr>
          <w:trHeight w:val="27"/>
        </w:trPr>
        <w:tc>
          <w:tcPr>
            <w:tcW w:w="74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4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Operating income</w:t>
            </w:r>
            <w:r>
              <w:rPr>
                <w:rFonts w:ascii="Arial" w:cs="Arial" w:eastAsia="Arial" w:hAnsi="Arial"/>
                <w:sz w:val="25"/>
                <w:szCs w:val="25"/>
                <w:color w:val="auto"/>
                <w:vertAlign w:val="superscript"/>
              </w:rPr>
              <w:t>(1)</w:t>
            </w:r>
          </w:p>
        </w:tc>
        <w:tc>
          <w:tcPr>
            <w:tcW w:w="21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17,445</w:t>
            </w:r>
          </w:p>
        </w:tc>
        <w:tc>
          <w:tcPr>
            <w:tcW w:w="18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6,704</w:t>
            </w:r>
          </w:p>
        </w:tc>
      </w:tr>
      <w:tr>
        <w:trPr>
          <w:trHeight w:val="243"/>
        </w:trPr>
        <w:tc>
          <w:tcPr>
            <w:tcW w:w="7420" w:type="dxa"/>
            <w:vAlign w:val="bottom"/>
          </w:tcPr>
          <w:p>
            <w:pPr>
              <w:ind w:left="500"/>
              <w:spacing w:after="0"/>
              <w:rPr>
                <w:sz w:val="20"/>
                <w:szCs w:val="20"/>
                <w:color w:val="auto"/>
              </w:rPr>
            </w:pPr>
            <w:r>
              <w:rPr>
                <w:rFonts w:ascii="Arial" w:cs="Arial" w:eastAsia="Arial" w:hAnsi="Arial"/>
                <w:sz w:val="18"/>
                <w:szCs w:val="18"/>
                <w:color w:val="auto"/>
              </w:rPr>
              <w:t>Operating margin</w:t>
            </w:r>
          </w:p>
        </w:tc>
        <w:tc>
          <w:tcPr>
            <w:tcW w:w="2180" w:type="dxa"/>
            <w:vAlign w:val="bottom"/>
          </w:tcPr>
          <w:p>
            <w:pPr>
              <w:jc w:val="right"/>
              <w:ind w:right="232"/>
              <w:spacing w:after="0"/>
              <w:rPr>
                <w:sz w:val="20"/>
                <w:szCs w:val="20"/>
                <w:color w:val="auto"/>
              </w:rPr>
            </w:pPr>
            <w:r>
              <w:rPr>
                <w:rFonts w:ascii="Arial" w:cs="Arial" w:eastAsia="Arial" w:hAnsi="Arial"/>
                <w:sz w:val="18"/>
                <w:szCs w:val="18"/>
                <w:color w:val="auto"/>
              </w:rPr>
              <w:t>18.7%</w:t>
            </w:r>
          </w:p>
        </w:tc>
        <w:tc>
          <w:tcPr>
            <w:tcW w:w="18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7"/>
        </w:trPr>
        <w:tc>
          <w:tcPr>
            <w:tcW w:w="74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revenue</w:t>
            </w:r>
          </w:p>
        </w:tc>
        <w:tc>
          <w:tcPr>
            <w:tcW w:w="2180" w:type="dxa"/>
            <w:vAlign w:val="bottom"/>
            <w:tcBorders>
              <w:bottom w:val="single" w:sz="8" w:color="CCEEFF"/>
            </w:tcBorders>
            <w:shd w:val="clear" w:color="auto" w:fill="CCEEFF"/>
          </w:tcPr>
          <w:p>
            <w:pPr>
              <w:jc w:val="right"/>
              <w:ind w:right="392"/>
              <w:spacing w:after="0"/>
              <w:rPr>
                <w:sz w:val="20"/>
                <w:szCs w:val="20"/>
                <w:color w:val="auto"/>
              </w:rPr>
            </w:pPr>
            <w:r>
              <w:rPr>
                <w:rFonts w:ascii="Arial" w:cs="Arial" w:eastAsia="Arial" w:hAnsi="Arial"/>
                <w:sz w:val="18"/>
                <w:szCs w:val="18"/>
                <w:color w:val="auto"/>
              </w:rPr>
              <w:t>266,029</w:t>
            </w:r>
          </w:p>
        </w:tc>
        <w:tc>
          <w:tcPr>
            <w:tcW w:w="18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211,537</w:t>
            </w:r>
          </w:p>
        </w:tc>
      </w:tr>
      <w:tr>
        <w:trPr>
          <w:trHeight w:val="243"/>
        </w:trPr>
        <w:tc>
          <w:tcPr>
            <w:tcW w:w="7420" w:type="dxa"/>
            <w:vAlign w:val="bottom"/>
          </w:tcPr>
          <w:p>
            <w:pPr>
              <w:ind w:left="500"/>
              <w:spacing w:after="0"/>
              <w:rPr>
                <w:sz w:val="20"/>
                <w:szCs w:val="20"/>
                <w:color w:val="auto"/>
              </w:rPr>
            </w:pPr>
            <w:r>
              <w:rPr>
                <w:rFonts w:ascii="Arial" w:cs="Arial" w:eastAsia="Arial" w:hAnsi="Arial"/>
                <w:sz w:val="18"/>
                <w:szCs w:val="18"/>
                <w:color w:val="auto"/>
              </w:rPr>
              <w:t>Increase in total deferred revenue</w:t>
            </w:r>
          </w:p>
        </w:tc>
        <w:tc>
          <w:tcPr>
            <w:tcW w:w="2180" w:type="dxa"/>
            <w:vAlign w:val="bottom"/>
          </w:tcPr>
          <w:p>
            <w:pPr>
              <w:jc w:val="right"/>
              <w:ind w:right="392"/>
              <w:spacing w:after="0"/>
              <w:rPr>
                <w:sz w:val="20"/>
                <w:szCs w:val="20"/>
                <w:color w:val="auto"/>
              </w:rPr>
            </w:pPr>
            <w:r>
              <w:rPr>
                <w:rFonts w:ascii="Arial" w:cs="Arial" w:eastAsia="Arial" w:hAnsi="Arial"/>
                <w:sz w:val="18"/>
                <w:szCs w:val="18"/>
                <w:color w:val="auto"/>
              </w:rPr>
              <w:t>13,398</w:t>
            </w:r>
          </w:p>
        </w:tc>
        <w:tc>
          <w:tcPr>
            <w:tcW w:w="1820" w:type="dxa"/>
            <w:vAlign w:val="bottom"/>
          </w:tcPr>
          <w:p>
            <w:pPr>
              <w:jc w:val="right"/>
              <w:ind w:right="91"/>
              <w:spacing w:after="0"/>
              <w:rPr>
                <w:sz w:val="20"/>
                <w:szCs w:val="20"/>
                <w:color w:val="auto"/>
              </w:rPr>
            </w:pPr>
            <w:r>
              <w:rPr>
                <w:rFonts w:ascii="Arial" w:cs="Arial" w:eastAsia="Arial" w:hAnsi="Arial"/>
                <w:sz w:val="18"/>
                <w:szCs w:val="18"/>
                <w:color w:val="auto"/>
              </w:rPr>
              <w:t>9,607</w:t>
            </w:r>
          </w:p>
        </w:tc>
      </w:tr>
      <w:tr>
        <w:trPr>
          <w:trHeight w:val="27"/>
        </w:trPr>
        <w:tc>
          <w:tcPr>
            <w:tcW w:w="74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investments</w:t>
            </w:r>
          </w:p>
        </w:tc>
        <w:tc>
          <w:tcPr>
            <w:tcW w:w="2180" w:type="dxa"/>
            <w:vAlign w:val="bottom"/>
            <w:tcBorders>
              <w:bottom w:val="single" w:sz="8" w:color="CCEEFF"/>
            </w:tcBorders>
            <w:shd w:val="clear" w:color="auto" w:fill="CCEEFF"/>
          </w:tcPr>
          <w:p>
            <w:pPr>
              <w:jc w:val="right"/>
              <w:ind w:right="392"/>
              <w:spacing w:after="0"/>
              <w:rPr>
                <w:sz w:val="20"/>
                <w:szCs w:val="20"/>
                <w:color w:val="auto"/>
              </w:rPr>
            </w:pPr>
            <w:r>
              <w:rPr>
                <w:rFonts w:ascii="Arial" w:cs="Arial" w:eastAsia="Arial" w:hAnsi="Arial"/>
                <w:sz w:val="18"/>
                <w:szCs w:val="18"/>
                <w:color w:val="auto"/>
              </w:rPr>
              <w:t>432,703</w:t>
            </w:r>
          </w:p>
        </w:tc>
        <w:tc>
          <w:tcPr>
            <w:tcW w:w="18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280,937</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2180" w:type="dxa"/>
            <w:vAlign w:val="bottom"/>
          </w:tcPr>
          <w:p>
            <w:pPr>
              <w:jc w:val="right"/>
              <w:ind w:right="392"/>
              <w:spacing w:after="0"/>
              <w:rPr>
                <w:sz w:val="20"/>
                <w:szCs w:val="20"/>
                <w:color w:val="auto"/>
              </w:rPr>
            </w:pPr>
            <w:r>
              <w:rPr>
                <w:rFonts w:ascii="Arial" w:cs="Arial" w:eastAsia="Arial" w:hAnsi="Arial"/>
                <w:sz w:val="18"/>
                <w:szCs w:val="18"/>
                <w:color w:val="auto"/>
              </w:rPr>
              <w:t>40,176</w:t>
            </w:r>
          </w:p>
        </w:tc>
        <w:tc>
          <w:tcPr>
            <w:tcW w:w="1820" w:type="dxa"/>
            <w:vAlign w:val="bottom"/>
          </w:tcPr>
          <w:p>
            <w:pPr>
              <w:jc w:val="right"/>
              <w:ind w:right="91"/>
              <w:spacing w:after="0"/>
              <w:rPr>
                <w:sz w:val="20"/>
                <w:szCs w:val="20"/>
                <w:color w:val="auto"/>
              </w:rPr>
            </w:pPr>
            <w:r>
              <w:rPr>
                <w:rFonts w:ascii="Arial" w:cs="Arial" w:eastAsia="Arial" w:hAnsi="Arial"/>
                <w:sz w:val="18"/>
                <w:szCs w:val="18"/>
                <w:color w:val="auto"/>
              </w:rPr>
              <w:t>21,816</w:t>
            </w:r>
          </w:p>
        </w:tc>
      </w:tr>
      <w:tr>
        <w:trPr>
          <w:trHeight w:val="27"/>
        </w:trPr>
        <w:tc>
          <w:tcPr>
            <w:tcW w:w="74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4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Free cash flow</w:t>
            </w:r>
            <w:r>
              <w:rPr>
                <w:rFonts w:ascii="Arial" w:cs="Arial" w:eastAsia="Arial" w:hAnsi="Arial"/>
                <w:sz w:val="25"/>
                <w:szCs w:val="25"/>
                <w:color w:val="auto"/>
                <w:vertAlign w:val="superscript"/>
              </w:rPr>
              <w:t>(2)</w:t>
            </w:r>
          </w:p>
        </w:tc>
        <w:tc>
          <w:tcPr>
            <w:tcW w:w="21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36,482</w:t>
            </w:r>
          </w:p>
        </w:tc>
        <w:tc>
          <w:tcPr>
            <w:tcW w:w="18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20,802</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w:t>
            </w:r>
          </w:p>
        </w:tc>
        <w:tc>
          <w:tcPr>
            <w:tcW w:w="218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0"/>
        </w:trPr>
        <w:tc>
          <w:tcPr>
            <w:tcW w:w="7420" w:type="dxa"/>
            <w:vAlign w:val="bottom"/>
          </w:tcPr>
          <w:p>
            <w:pPr>
              <w:ind w:left="40"/>
              <w:spacing w:after="0"/>
              <w:rPr>
                <w:sz w:val="20"/>
                <w:szCs w:val="20"/>
                <w:color w:val="auto"/>
              </w:rPr>
            </w:pPr>
            <w:r>
              <w:rPr>
                <w:rFonts w:ascii="Arial" w:cs="Arial" w:eastAsia="Arial" w:hAnsi="Arial"/>
                <w:sz w:val="18"/>
                <w:szCs w:val="18"/>
                <w:color w:val="auto"/>
              </w:rPr>
              <w:t>(1)  Includes:</w:t>
            </w:r>
          </w:p>
        </w:tc>
        <w:tc>
          <w:tcPr>
            <w:tcW w:w="218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70"/>
        </w:trPr>
        <w:tc>
          <w:tcPr>
            <w:tcW w:w="7420" w:type="dxa"/>
            <w:vAlign w:val="bottom"/>
          </w:tcPr>
          <w:p>
            <w:pPr>
              <w:ind w:left="440"/>
              <w:spacing w:after="0"/>
              <w:rPr>
                <w:sz w:val="20"/>
                <w:szCs w:val="20"/>
                <w:color w:val="auto"/>
              </w:rPr>
            </w:pPr>
            <w:r>
              <w:rPr>
                <w:rFonts w:ascii="Arial" w:cs="Arial" w:eastAsia="Arial" w:hAnsi="Arial"/>
                <w:sz w:val="18"/>
                <w:szCs w:val="18"/>
                <w:color w:val="auto"/>
              </w:rPr>
              <w:t>Stock-based compensation expense</w:t>
            </w:r>
          </w:p>
        </w:tc>
        <w:tc>
          <w:tcPr>
            <w:tcW w:w="2180" w:type="dxa"/>
            <w:vAlign w:val="bottom"/>
          </w:tcPr>
          <w:p>
            <w:pPr>
              <w:jc w:val="right"/>
              <w:ind w:right="392"/>
              <w:spacing w:after="0"/>
              <w:rPr>
                <w:sz w:val="20"/>
                <w:szCs w:val="20"/>
                <w:color w:val="auto"/>
              </w:rPr>
            </w:pPr>
            <w:r>
              <w:rPr>
                <w:rFonts w:ascii="Arial" w:cs="Arial" w:eastAsia="Arial" w:hAnsi="Arial"/>
                <w:sz w:val="18"/>
                <w:szCs w:val="18"/>
                <w:color w:val="auto"/>
              </w:rPr>
              <w:t>3,070</w:t>
            </w:r>
          </w:p>
        </w:tc>
        <w:tc>
          <w:tcPr>
            <w:tcW w:w="1820" w:type="dxa"/>
            <w:vAlign w:val="bottom"/>
          </w:tcPr>
          <w:p>
            <w:pPr>
              <w:jc w:val="right"/>
              <w:ind w:right="91"/>
              <w:spacing w:after="0"/>
              <w:rPr>
                <w:sz w:val="20"/>
                <w:szCs w:val="20"/>
                <w:color w:val="auto"/>
              </w:rPr>
            </w:pPr>
            <w:r>
              <w:rPr>
                <w:rFonts w:ascii="Arial" w:cs="Arial" w:eastAsia="Arial" w:hAnsi="Arial"/>
                <w:sz w:val="18"/>
                <w:szCs w:val="18"/>
                <w:color w:val="auto"/>
              </w:rPr>
              <w:t>2,148</w:t>
            </w:r>
          </w:p>
        </w:tc>
      </w:tr>
      <w:tr>
        <w:trPr>
          <w:trHeight w:val="270"/>
        </w:trPr>
        <w:tc>
          <w:tcPr>
            <w:tcW w:w="7420" w:type="dxa"/>
            <w:vAlign w:val="bottom"/>
          </w:tcPr>
          <w:p>
            <w:pPr>
              <w:ind w:left="440"/>
              <w:spacing w:after="0"/>
              <w:rPr>
                <w:sz w:val="20"/>
                <w:szCs w:val="20"/>
                <w:color w:val="auto"/>
              </w:rPr>
            </w:pPr>
            <w:r>
              <w:rPr>
                <w:rFonts w:ascii="Arial" w:cs="Arial" w:eastAsia="Arial" w:hAnsi="Arial"/>
                <w:sz w:val="18"/>
                <w:szCs w:val="18"/>
                <w:color w:val="auto"/>
              </w:rPr>
              <w:t>Patent settlement income</w:t>
            </w:r>
          </w:p>
        </w:tc>
        <w:tc>
          <w:tcPr>
            <w:tcW w:w="2180" w:type="dxa"/>
            <w:vAlign w:val="bottom"/>
          </w:tcPr>
          <w:p>
            <w:pPr>
              <w:jc w:val="right"/>
              <w:ind w:right="392"/>
              <w:spacing w:after="0"/>
              <w:rPr>
                <w:sz w:val="20"/>
                <w:szCs w:val="20"/>
                <w:color w:val="auto"/>
              </w:rPr>
            </w:pPr>
            <w:r>
              <w:rPr>
                <w:rFonts w:ascii="Arial" w:cs="Arial" w:eastAsia="Arial" w:hAnsi="Arial"/>
                <w:sz w:val="18"/>
                <w:szCs w:val="18"/>
                <w:color w:val="auto"/>
              </w:rPr>
              <w:t>477</w:t>
            </w:r>
          </w:p>
        </w:tc>
        <w:tc>
          <w:tcPr>
            <w:tcW w:w="1820" w:type="dxa"/>
            <w:vAlign w:val="bottom"/>
          </w:tcPr>
          <w:p>
            <w:pPr>
              <w:jc w:val="right"/>
              <w:ind w:right="91"/>
              <w:spacing w:after="0"/>
              <w:rPr>
                <w:sz w:val="20"/>
                <w:szCs w:val="20"/>
                <w:color w:val="auto"/>
              </w:rPr>
            </w:pPr>
            <w:r>
              <w:rPr>
                <w:rFonts w:ascii="Arial" w:cs="Arial" w:eastAsia="Arial" w:hAnsi="Arial"/>
                <w:sz w:val="18"/>
                <w:szCs w:val="18"/>
                <w:color w:val="auto"/>
              </w:rPr>
              <w:t>—</w:t>
            </w:r>
          </w:p>
        </w:tc>
      </w:tr>
    </w:tbl>
    <w:p>
      <w:pPr>
        <w:spacing w:after="0" w:line="40" w:lineRule="exact"/>
        <w:rPr>
          <w:sz w:val="20"/>
          <w:szCs w:val="20"/>
          <w:color w:val="auto"/>
        </w:rPr>
      </w:pPr>
    </w:p>
    <w:p>
      <w:pPr>
        <w:ind w:left="460" w:right="3040" w:hanging="425"/>
        <w:spacing w:after="0" w:line="340" w:lineRule="auto"/>
        <w:tabs>
          <w:tab w:leader="none" w:pos="427" w:val="left"/>
        </w:tabs>
        <w:numPr>
          <w:ilvl w:val="0"/>
          <w:numId w:val="5"/>
        </w:numPr>
        <w:rPr>
          <w:rFonts w:ascii="Arial" w:cs="Arial" w:eastAsia="Arial" w:hAnsi="Arial"/>
          <w:sz w:val="18"/>
          <w:szCs w:val="18"/>
          <w:color w:val="auto"/>
        </w:rPr>
      </w:pPr>
      <w:r>
        <w:rPr>
          <w:rFonts w:ascii="Arial" w:cs="Arial" w:eastAsia="Arial" w:hAnsi="Arial"/>
          <w:sz w:val="18"/>
          <w:szCs w:val="18"/>
          <w:color w:val="auto"/>
        </w:rPr>
        <w:t>Free cash flow is a non-GAAP financial measure, which we define as cash flow from operations minus capital expenditures and income from the patent settlement, as further described below.</w:t>
      </w:r>
    </w:p>
    <w:p>
      <w:pPr>
        <w:spacing w:after="0" w:line="143"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i w:val="1"/>
          <w:iCs w:val="1"/>
          <w:color w:val="auto"/>
        </w:rPr>
        <w:t xml:space="preserve">Deferred revenue. </w:t>
      </w:r>
      <w:r>
        <w:rPr>
          <w:rFonts w:ascii="Arial" w:cs="Arial" w:eastAsia="Arial" w:hAnsi="Arial"/>
          <w:sz w:val="18"/>
          <w:szCs w:val="18"/>
          <w:color w:val="auto"/>
        </w:rPr>
        <w:t>Our deferred revenue consists of amounts that have been invoiced but that have not yet been recognized as revenue. The majority of</w:t>
      </w:r>
      <w:r>
        <w:rPr>
          <w:rFonts w:ascii="Arial" w:cs="Arial" w:eastAsia="Arial" w:hAnsi="Arial"/>
          <w:sz w:val="18"/>
          <w:szCs w:val="18"/>
          <w:i w:val="1"/>
          <w:iCs w:val="1"/>
          <w:color w:val="auto"/>
        </w:rPr>
        <w:t xml:space="preserve"> </w:t>
      </w:r>
      <w:r>
        <w:rPr>
          <w:rFonts w:ascii="Arial" w:cs="Arial" w:eastAsia="Arial" w:hAnsi="Arial"/>
          <w:sz w:val="18"/>
          <w:szCs w:val="18"/>
          <w:color w:val="auto"/>
        </w:rPr>
        <w:t>our deferred revenue balance consists of the unamortized portion of services revenue from subscription and support service contracts. We monitor our deferred revenue balance because it represents a significant portion of revenue to be recognized in future periods.</w:t>
      </w:r>
    </w:p>
    <w:p>
      <w:pPr>
        <w:spacing w:after="0" w:line="181"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i w:val="1"/>
          <w:iCs w:val="1"/>
          <w:color w:val="auto"/>
        </w:rPr>
        <w:t xml:space="preserve">Cash flow from operations. </w:t>
      </w:r>
      <w:r>
        <w:rPr>
          <w:rFonts w:ascii="Arial" w:cs="Arial" w:eastAsia="Arial" w:hAnsi="Arial"/>
          <w:sz w:val="16"/>
          <w:szCs w:val="16"/>
          <w:color w:val="auto"/>
        </w:rPr>
        <w:t>We monitor cash flow from operations as a measure of our overall business performance. Our cash flow from operations is</w:t>
      </w:r>
      <w:r>
        <w:rPr>
          <w:rFonts w:ascii="Arial" w:cs="Arial" w:eastAsia="Arial" w:hAnsi="Arial"/>
          <w:sz w:val="16"/>
          <w:szCs w:val="16"/>
          <w:i w:val="1"/>
          <w:iCs w:val="1"/>
          <w:color w:val="auto"/>
        </w:rPr>
        <w:t xml:space="preserve"> </w:t>
      </w:r>
      <w:r>
        <w:rPr>
          <w:rFonts w:ascii="Arial" w:cs="Arial" w:eastAsia="Arial" w:hAnsi="Arial"/>
          <w:sz w:val="16"/>
          <w:szCs w:val="16"/>
          <w:color w:val="auto"/>
        </w:rPr>
        <w:t>driven in large part by advance payments for both new and renewal contracts for subscription and support services, consistent with our billings for the period. Monitoring cash flow from operations enables us to analyze our financial performance excluding the non-cash effects of certain items such as depreciation, amortization and stock-based compensation expenses, thereby allowing us to better understand and manage the cash needs of our business. Our cash flow from operations was $40.2 million in the first quarter of 2011, including $3 million received in connection with the patent settlement (discussed in "Footnote 7 - Commitments and Contingencies"), and $21.8 million in the first quarter of 2010. In the first quarter of 2011, free cash flow (a non-GAAP financial measure, described under “Non-GAAP Financial Measures” below) was $36.5 million, compared to $20.8 million in the first quarter of 2010.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right="120" w:firstLine="486"/>
        <w:spacing w:after="0" w:line="297" w:lineRule="auto"/>
        <w:rPr>
          <w:sz w:val="20"/>
          <w:szCs w:val="20"/>
          <w:color w:val="auto"/>
        </w:rPr>
      </w:pPr>
      <w:r>
        <w:rPr>
          <w:rFonts w:ascii="Arial" w:cs="Arial" w:eastAsia="Arial" w:hAnsi="Arial"/>
          <w:sz w:val="16"/>
          <w:szCs w:val="16"/>
          <w:color w:val="auto"/>
        </w:rPr>
        <w:t>To supplement our condensed consolidated financial statements presented in accordance with U.S. GAAP, we consider certain financial measures that are not prepared in accordance with GAAP, including non-GAAP gross margin, non-GAAP income from operations and non-GAAP operating margin, non-GAAP operating expenses, non-GAAP net income and non-GAAP free cash flow. These non-GAAP financial measures are not based on any standardized methodology prescribed by GAAP and are not necessarily comparable to similar measures presented by other companies. Non-GAAP gross margin is gross margin as reported on our condensed consolidated statements of operations, excluding the impact of stock-based compensation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expense, which is a non-cash charge. Non-GAAP income from operations is operating income, as reported on our condensed consolidated statements of operations, excluding the impact of stock-based compensation expense and the income from the patent settlement. Non-GAAP operating margin is non-GAAP income from operations divided by revenue. Non-GAAP operating expenses exclude the impact of stock-based compensation expense and the income from the patent settlement. Non-GAAP net income is net income, as reported on our condensed consolidated statements of operations, excluding the impact of stock-based compensation expense and the income from the patent settlement. Free cash flow, an alternative non-GAAP financial measure of liquidity, is defined as net cash provided by operating activities less capital expenditures and the upfront cash payment related to the patent settlement.</w:t>
      </w:r>
    </w:p>
    <w:p>
      <w:pPr>
        <w:spacing w:after="0" w:line="165"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We use these non-GAAP financial measures internally in analyzing our financial results and believe they are useful to investors, as a supplement to GAAP measures, in evaluating our ongoing operational performance and enhancing an overall understanding of our past financial performance, as they help illustrate underlying trends in our business that could otherwise be masked by the effect of the expenses that we exclude in these non-GAAP financial measures. Furthermore, we use many of these measures to establish budgets and operational goals for managing our business and evaluating our performance. We also believe that the use of these non-GAAP financial measures provides an additional tool for investors to use in comparing our recurring core business operating results over multiple periods with other companies in our industry, many of which present similar non-GAAP financial measures to investors.</w:t>
      </w:r>
    </w:p>
    <w:p>
      <w:pPr>
        <w:spacing w:after="0" w:line="165"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These non-GAAP financial measures should not be considered in isolation from, or as a substitute for, financial information prepared in accordance with GAAP. There are a number of limitations related to the use of these non-GAAP financial measures versus the nearest GAAP equivalent of these financial measures. First, these non-GAAP financial measures exclude certain recurring, non-cash charges such as stock-based compensation expense and the patent settlement. Stock-based compensation has been, and will continue to be for the foreseeable future, a significant recurring expense in our business and is an important part of our employees' compensation that affects their performance. Second, the expenses that we exclude in our calculation of these non-GAAP financial measures may differ from the expenses, if any, that our peer companies may exclude when they report their results of operations. We compensate for these limitations by providing the nearest GAAP equivalents of these non-GAAP financial measures and describing these GAAP equivalents in our Results of Operations below.</w:t>
      </w:r>
    </w:p>
    <w:p>
      <w:pPr>
        <w:spacing w:after="0" w:line="192"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The following tables reconcile GAAP gross margin, income from operations, operating margin, certain operating expenses and net income as reported on our condensed consolidated statements of operations to non-GAAP gross margin, non-GAAP income from operations, non-GAAP operating margin, certain non-GAAP operating expenses and non-GAAP net income for the first quarters of 2011 and 2010.</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93"/>
              </w:rPr>
              <w:t>Three Months Ended</w:t>
            </w:r>
          </w:p>
        </w:tc>
        <w:tc>
          <w:tcPr>
            <w:tcW w:w="136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3220" w:type="dxa"/>
            <w:vAlign w:val="bottom"/>
            <w:tcBorders>
              <w:bottom w:val="single" w:sz="8" w:color="auto"/>
            </w:tcBorders>
            <w:gridSpan w:val="4"/>
          </w:tcPr>
          <w:p>
            <w:pPr>
              <w:spacing w:after="0"/>
              <w:rPr>
                <w:sz w:val="2"/>
                <w:szCs w:val="2"/>
                <w:color w:val="auto"/>
              </w:rPr>
            </w:pPr>
          </w:p>
        </w:tc>
        <w:tc>
          <w:tcPr>
            <w:tcW w:w="2940" w:type="dxa"/>
            <w:vAlign w:val="bottom"/>
            <w:tcBorders>
              <w:bottom w:val="single" w:sz="8" w:color="auto"/>
            </w:tcBorders>
            <w:gridSpan w:val="3"/>
          </w:tcPr>
          <w:p>
            <w:pPr>
              <w:spacing w:after="0"/>
              <w:rPr>
                <w:sz w:val="2"/>
                <w:szCs w:val="2"/>
                <w:color w:val="auto"/>
              </w:rPr>
            </w:pPr>
          </w:p>
        </w:tc>
      </w:tr>
      <w:tr>
        <w:trPr>
          <w:trHeight w:val="217"/>
        </w:trPr>
        <w:tc>
          <w:tcPr>
            <w:tcW w:w="5260" w:type="dxa"/>
            <w:vAlign w:val="bottom"/>
          </w:tcPr>
          <w:p>
            <w:pPr>
              <w:spacing w:after="0"/>
              <w:rPr>
                <w:sz w:val="18"/>
                <w:szCs w:val="18"/>
                <w:color w:val="auto"/>
              </w:rPr>
            </w:pPr>
          </w:p>
        </w:tc>
        <w:tc>
          <w:tcPr>
            <w:tcW w:w="3220" w:type="dxa"/>
            <w:vAlign w:val="bottom"/>
            <w:gridSpan w:val="4"/>
          </w:tcPr>
          <w:p>
            <w:pPr>
              <w:ind w:left="980"/>
              <w:spacing w:after="0"/>
              <w:rPr>
                <w:sz w:val="20"/>
                <w:szCs w:val="20"/>
                <w:color w:val="auto"/>
              </w:rPr>
            </w:pPr>
            <w:r>
              <w:rPr>
                <w:rFonts w:ascii="Arial" w:cs="Arial" w:eastAsia="Arial" w:hAnsi="Arial"/>
                <w:sz w:val="16"/>
                <w:szCs w:val="16"/>
                <w:b w:val="1"/>
                <w:bCs w:val="1"/>
                <w:color w:val="auto"/>
              </w:rPr>
              <w:t>March 31, 2011</w:t>
            </w:r>
          </w:p>
        </w:tc>
        <w:tc>
          <w:tcPr>
            <w:tcW w:w="2940" w:type="dxa"/>
            <w:vAlign w:val="bottom"/>
            <w:gridSpan w:val="3"/>
          </w:tcPr>
          <w:p>
            <w:pPr>
              <w:jc w:val="right"/>
              <w:ind w:right="831"/>
              <w:spacing w:after="0"/>
              <w:rPr>
                <w:sz w:val="20"/>
                <w:szCs w:val="20"/>
                <w:color w:val="auto"/>
              </w:rPr>
            </w:pPr>
            <w:r>
              <w:rPr>
                <w:rFonts w:ascii="Arial" w:cs="Arial" w:eastAsia="Arial" w:hAnsi="Arial"/>
                <w:sz w:val="16"/>
                <w:szCs w:val="16"/>
                <w:b w:val="1"/>
                <w:bCs w:val="1"/>
                <w:color w:val="auto"/>
              </w:rPr>
              <w:t>March 31, 2010</w:t>
            </w:r>
          </w:p>
        </w:tc>
      </w:tr>
      <w:tr>
        <w:trPr>
          <w:trHeight w:val="33"/>
        </w:trPr>
        <w:tc>
          <w:tcPr>
            <w:tcW w:w="52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5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 of</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431"/>
              <w:spacing w:after="0"/>
              <w:rPr>
                <w:sz w:val="20"/>
                <w:szCs w:val="20"/>
                <w:color w:val="auto"/>
              </w:rPr>
            </w:pPr>
            <w:r>
              <w:rPr>
                <w:rFonts w:ascii="Arial" w:cs="Arial" w:eastAsia="Arial" w:hAnsi="Arial"/>
                <w:sz w:val="16"/>
                <w:szCs w:val="16"/>
                <w:b w:val="1"/>
                <w:bCs w:val="1"/>
                <w:color w:val="auto"/>
              </w:rPr>
              <w:t>% of</w:t>
            </w:r>
          </w:p>
        </w:tc>
      </w:tr>
      <w:tr>
        <w:trPr>
          <w:trHeight w:val="210"/>
        </w:trPr>
        <w:tc>
          <w:tcPr>
            <w:tcW w:w="5260" w:type="dxa"/>
            <w:vAlign w:val="bottom"/>
          </w:tcPr>
          <w:p>
            <w:pPr>
              <w:spacing w:after="0"/>
              <w:rPr>
                <w:sz w:val="18"/>
                <w:szCs w:val="18"/>
                <w:color w:val="auto"/>
              </w:rPr>
            </w:pPr>
          </w:p>
        </w:tc>
        <w:tc>
          <w:tcPr>
            <w:tcW w:w="1600" w:type="dxa"/>
            <w:vAlign w:val="bottom"/>
            <w:gridSpan w:val="2"/>
          </w:tcPr>
          <w:p>
            <w:pPr>
              <w:ind w:left="400"/>
              <w:spacing w:after="0"/>
              <w:rPr>
                <w:sz w:val="20"/>
                <w:szCs w:val="20"/>
                <w:color w:val="auto"/>
              </w:rPr>
            </w:pPr>
            <w:r>
              <w:rPr>
                <w:rFonts w:ascii="Arial" w:cs="Arial" w:eastAsia="Arial" w:hAnsi="Arial"/>
                <w:sz w:val="16"/>
                <w:szCs w:val="16"/>
                <w:b w:val="1"/>
                <w:bCs w:val="1"/>
                <w:color w:val="auto"/>
              </w:rPr>
              <w:t>Amount</w:t>
            </w:r>
          </w:p>
        </w:tc>
        <w:tc>
          <w:tcPr>
            <w:tcW w:w="16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Revenue</w:t>
            </w:r>
          </w:p>
        </w:tc>
        <w:tc>
          <w:tcPr>
            <w:tcW w:w="1580" w:type="dxa"/>
            <w:vAlign w:val="bottom"/>
            <w:gridSpan w:val="2"/>
          </w:tcPr>
          <w:p>
            <w:pPr>
              <w:ind w:left="400"/>
              <w:spacing w:after="0"/>
              <w:rPr>
                <w:sz w:val="20"/>
                <w:szCs w:val="20"/>
                <w:color w:val="auto"/>
              </w:rPr>
            </w:pPr>
            <w:r>
              <w:rPr>
                <w:rFonts w:ascii="Arial" w:cs="Arial" w:eastAsia="Arial" w:hAnsi="Arial"/>
                <w:sz w:val="16"/>
                <w:szCs w:val="16"/>
                <w:b w:val="1"/>
                <w:bCs w:val="1"/>
                <w:color w:val="auto"/>
              </w:rPr>
              <w:t>Amount</w:t>
            </w:r>
          </w:p>
        </w:tc>
        <w:tc>
          <w:tcPr>
            <w:tcW w:w="1360" w:type="dxa"/>
            <w:vAlign w:val="bottom"/>
          </w:tcPr>
          <w:p>
            <w:pPr>
              <w:jc w:val="right"/>
              <w:ind w:right="291"/>
              <w:spacing w:after="0"/>
              <w:rPr>
                <w:sz w:val="20"/>
                <w:szCs w:val="20"/>
                <w:color w:val="auto"/>
              </w:rPr>
            </w:pPr>
            <w:r>
              <w:rPr>
                <w:rFonts w:ascii="Arial" w:cs="Arial" w:eastAsia="Arial" w:hAnsi="Arial"/>
                <w:sz w:val="16"/>
                <w:szCs w:val="16"/>
                <w:b w:val="1"/>
                <w:bCs w:val="1"/>
                <w:color w:val="auto"/>
              </w:rPr>
              <w:t>Revenue</w:t>
            </w:r>
          </w:p>
        </w:tc>
      </w:tr>
      <w:tr>
        <w:trPr>
          <w:trHeight w:val="33"/>
        </w:trPr>
        <w:tc>
          <w:tcPr>
            <w:tcW w:w="52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4"/>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5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90"/>
              </w:rPr>
              <w:t>($ amounts in 000's)</w:t>
            </w:r>
          </w:p>
        </w:tc>
        <w:tc>
          <w:tcPr>
            <w:tcW w:w="136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93,266</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69,795</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0"/>
        </w:trPr>
        <w:tc>
          <w:tcPr>
            <w:tcW w:w="5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5260" w:type="dxa"/>
            <w:vAlign w:val="bottom"/>
          </w:tcPr>
          <w:p>
            <w:pPr>
              <w:ind w:left="40"/>
              <w:spacing w:after="0"/>
              <w:rPr>
                <w:sz w:val="20"/>
                <w:szCs w:val="20"/>
                <w:color w:val="auto"/>
              </w:rPr>
            </w:pPr>
            <w:r>
              <w:rPr>
                <w:rFonts w:ascii="Arial" w:cs="Arial" w:eastAsia="Arial" w:hAnsi="Arial"/>
                <w:sz w:val="18"/>
                <w:szCs w:val="18"/>
                <w:color w:val="auto"/>
              </w:rPr>
              <w:t>GAAP gross profit and margin</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69,850</w:t>
            </w:r>
          </w:p>
        </w:tc>
        <w:tc>
          <w:tcPr>
            <w:tcW w:w="220" w:type="dxa"/>
            <w:vAlign w:val="bottom"/>
          </w:tcPr>
          <w:p>
            <w:pPr>
              <w:spacing w:after="0"/>
              <w:rPr>
                <w:sz w:val="24"/>
                <w:szCs w:val="24"/>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74.9</w:t>
            </w:r>
          </w:p>
        </w:tc>
        <w:tc>
          <w:tcPr>
            <w:tcW w:w="240" w:type="dxa"/>
            <w:vAlign w:val="bottom"/>
          </w:tcPr>
          <w:p>
            <w:pPr>
              <w:spacing w:after="0"/>
              <w:rPr>
                <w:sz w:val="24"/>
                <w:szCs w:val="24"/>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50,420</w:t>
            </w:r>
          </w:p>
        </w:tc>
        <w:tc>
          <w:tcPr>
            <w:tcW w:w="2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72.2</w:t>
            </w: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97"/>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Non-GAAP gross profit and margin</w:t>
            </w: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70,070</w:t>
            </w:r>
          </w:p>
        </w:tc>
        <w:tc>
          <w:tcPr>
            <w:tcW w:w="220" w:type="dxa"/>
            <w:vAlign w:val="bottom"/>
            <w:tcBorders>
              <w:bottom w:val="single" w:sz="8" w:color="CCEEFF"/>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75.1</w:t>
            </w:r>
          </w:p>
        </w:tc>
        <w:tc>
          <w:tcPr>
            <w:tcW w:w="240" w:type="dxa"/>
            <w:vAlign w:val="bottom"/>
            <w:tcBorders>
              <w:bottom w:val="single" w:sz="8" w:color="CCEEFF"/>
            </w:tcBorders>
          </w:tcPr>
          <w:p>
            <w:pPr>
              <w:spacing w:after="0"/>
              <w:rPr>
                <w:sz w:val="24"/>
                <w:szCs w:val="24"/>
                <w:color w:val="auto"/>
              </w:rPr>
            </w:pP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50,652</w:t>
            </w:r>
          </w:p>
        </w:tc>
        <w:tc>
          <w:tcPr>
            <w:tcW w:w="220" w:type="dxa"/>
            <w:vAlign w:val="bottom"/>
            <w:tcBorders>
              <w:bottom w:val="single" w:sz="8" w:color="CCEEFF"/>
            </w:tcBorders>
          </w:tcPr>
          <w:p>
            <w:pPr>
              <w:spacing w:after="0"/>
              <w:rPr>
                <w:sz w:val="24"/>
                <w:szCs w:val="24"/>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w:t>
            </w:r>
          </w:p>
        </w:tc>
      </w:tr>
      <w:tr>
        <w:trPr>
          <w:trHeight w:val="176"/>
        </w:trPr>
        <w:tc>
          <w:tcPr>
            <w:tcW w:w="5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GAAP income from operations and margin</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17,445</w:t>
            </w:r>
          </w:p>
        </w:tc>
        <w:tc>
          <w:tcPr>
            <w:tcW w:w="2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18.7</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6,704</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70"/>
        </w:trPr>
        <w:tc>
          <w:tcPr>
            <w:tcW w:w="526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453</w:t>
            </w:r>
          </w:p>
        </w:tc>
        <w:tc>
          <w:tcPr>
            <w:tcW w:w="2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554</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1,900</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866</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497</w:t>
            </w:r>
          </w:p>
        </w:tc>
        <w:tc>
          <w:tcPr>
            <w:tcW w:w="2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496</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52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stock-based compensation</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3,070</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2,148</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Patent settlement</w:t>
            </w:r>
          </w:p>
        </w:tc>
        <w:tc>
          <w:tcPr>
            <w:tcW w:w="1380" w:type="dxa"/>
            <w:vAlign w:val="bottom"/>
          </w:tcPr>
          <w:p>
            <w:pPr>
              <w:jc w:val="right"/>
              <w:spacing w:after="0"/>
              <w:rPr>
                <w:sz w:val="20"/>
                <w:szCs w:val="20"/>
                <w:color w:val="auto"/>
              </w:rPr>
            </w:pPr>
            <w:r>
              <w:rPr>
                <w:rFonts w:ascii="Arial" w:cs="Arial" w:eastAsia="Arial" w:hAnsi="Arial"/>
                <w:sz w:val="18"/>
                <w:szCs w:val="18"/>
                <w:color w:val="auto"/>
              </w:rPr>
              <w:t>(477)</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21"/>
                <w:szCs w:val="21"/>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income from operations and margin</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20,038</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21.5</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8,852</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0"/>
        </w:trPr>
        <w:tc>
          <w:tcPr>
            <w:tcW w:w="5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662"/>
        </w:trPr>
        <w:tc>
          <w:tcPr>
            <w:tcW w:w="5260" w:type="dxa"/>
            <w:vAlign w:val="bottom"/>
          </w:tcPr>
          <w:p>
            <w:pPr>
              <w:spacing w:after="0"/>
              <w:rPr>
                <w:sz w:val="24"/>
                <w:szCs w:val="24"/>
                <w:color w:val="auto"/>
              </w:rPr>
            </w:pPr>
          </w:p>
        </w:tc>
        <w:tc>
          <w:tcPr>
            <w:tcW w:w="1380" w:type="dxa"/>
            <w:vAlign w:val="bottom"/>
          </w:tcPr>
          <w:p>
            <w:pPr>
              <w:jc w:val="right"/>
              <w:ind w:right="751"/>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93"/>
              </w:rPr>
              <w:t>Three Months Ended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3220" w:type="dxa"/>
            <w:vAlign w:val="bottom"/>
            <w:tcBorders>
              <w:bottom w:val="single" w:sz="8" w:color="auto"/>
            </w:tcBorders>
            <w:gridSpan w:val="4"/>
          </w:tcPr>
          <w:p>
            <w:pPr>
              <w:spacing w:after="0"/>
              <w:rPr>
                <w:sz w:val="2"/>
                <w:szCs w:val="2"/>
                <w:color w:val="auto"/>
              </w:rPr>
            </w:pPr>
          </w:p>
        </w:tc>
        <w:tc>
          <w:tcPr>
            <w:tcW w:w="29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260" w:type="dxa"/>
            <w:vAlign w:val="bottom"/>
          </w:tcPr>
          <w:p>
            <w:pPr>
              <w:spacing w:after="0"/>
              <w:rPr>
                <w:sz w:val="18"/>
                <w:szCs w:val="18"/>
                <w:color w:val="auto"/>
              </w:rPr>
            </w:pPr>
          </w:p>
        </w:tc>
        <w:tc>
          <w:tcPr>
            <w:tcW w:w="3220" w:type="dxa"/>
            <w:vAlign w:val="bottom"/>
            <w:gridSpan w:val="4"/>
          </w:tcPr>
          <w:p>
            <w:pPr>
              <w:ind w:left="980"/>
              <w:spacing w:after="0"/>
              <w:rPr>
                <w:sz w:val="20"/>
                <w:szCs w:val="20"/>
                <w:color w:val="auto"/>
              </w:rPr>
            </w:pPr>
            <w:r>
              <w:rPr>
                <w:rFonts w:ascii="Arial" w:cs="Arial" w:eastAsia="Arial" w:hAnsi="Arial"/>
                <w:sz w:val="16"/>
                <w:szCs w:val="16"/>
                <w:b w:val="1"/>
                <w:bCs w:val="1"/>
                <w:color w:val="auto"/>
              </w:rPr>
              <w:t>March 31, 2011</w:t>
            </w:r>
          </w:p>
        </w:tc>
        <w:tc>
          <w:tcPr>
            <w:tcW w:w="2940" w:type="dxa"/>
            <w:vAlign w:val="bottom"/>
            <w:gridSpan w:val="3"/>
          </w:tcPr>
          <w:p>
            <w:pPr>
              <w:jc w:val="right"/>
              <w:ind w:right="831"/>
              <w:spacing w:after="0"/>
              <w:rPr>
                <w:sz w:val="20"/>
                <w:szCs w:val="20"/>
                <w:color w:val="auto"/>
              </w:rPr>
            </w:pPr>
            <w:r>
              <w:rPr>
                <w:rFonts w:ascii="Arial" w:cs="Arial" w:eastAsia="Arial" w:hAnsi="Arial"/>
                <w:sz w:val="16"/>
                <w:szCs w:val="16"/>
                <w:b w:val="1"/>
                <w:bCs w:val="1"/>
                <w:color w:val="auto"/>
              </w:rPr>
              <w:t>March 31, 2010</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 of</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411"/>
              <w:spacing w:after="0"/>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1600" w:type="dxa"/>
            <w:vAlign w:val="bottom"/>
            <w:gridSpan w:val="2"/>
          </w:tcPr>
          <w:p>
            <w:pPr>
              <w:ind w:left="400"/>
              <w:spacing w:after="0"/>
              <w:rPr>
                <w:sz w:val="20"/>
                <w:szCs w:val="20"/>
                <w:color w:val="auto"/>
              </w:rPr>
            </w:pPr>
            <w:r>
              <w:rPr>
                <w:rFonts w:ascii="Arial" w:cs="Arial" w:eastAsia="Arial" w:hAnsi="Arial"/>
                <w:sz w:val="16"/>
                <w:szCs w:val="16"/>
                <w:b w:val="1"/>
                <w:bCs w:val="1"/>
                <w:color w:val="auto"/>
              </w:rPr>
              <w:t>Amount</w:t>
            </w:r>
          </w:p>
        </w:tc>
        <w:tc>
          <w:tcPr>
            <w:tcW w:w="16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Revenue</w:t>
            </w:r>
          </w:p>
        </w:tc>
        <w:tc>
          <w:tcPr>
            <w:tcW w:w="1580" w:type="dxa"/>
            <w:vAlign w:val="bottom"/>
            <w:gridSpan w:val="2"/>
          </w:tcPr>
          <w:p>
            <w:pPr>
              <w:ind w:left="400"/>
              <w:spacing w:after="0"/>
              <w:rPr>
                <w:sz w:val="20"/>
                <w:szCs w:val="20"/>
                <w:color w:val="auto"/>
              </w:rPr>
            </w:pPr>
            <w:r>
              <w:rPr>
                <w:rFonts w:ascii="Arial" w:cs="Arial" w:eastAsia="Arial" w:hAnsi="Arial"/>
                <w:sz w:val="16"/>
                <w:szCs w:val="16"/>
                <w:b w:val="1"/>
                <w:bCs w:val="1"/>
                <w:color w:val="auto"/>
              </w:rPr>
              <w:t>Amount</w:t>
            </w:r>
          </w:p>
        </w:tc>
        <w:tc>
          <w:tcPr>
            <w:tcW w:w="1360" w:type="dxa"/>
            <w:vAlign w:val="bottom"/>
          </w:tcPr>
          <w:p>
            <w:pPr>
              <w:jc w:val="right"/>
              <w:ind w:right="291"/>
              <w:spacing w:after="0"/>
              <w:rPr>
                <w:sz w:val="20"/>
                <w:szCs w:val="20"/>
                <w:color w:val="auto"/>
              </w:rPr>
            </w:pPr>
            <w:r>
              <w:rPr>
                <w:rFonts w:ascii="Arial" w:cs="Arial" w:eastAsia="Arial" w:hAnsi="Arial"/>
                <w:sz w:val="16"/>
                <w:szCs w:val="16"/>
                <w:b w:val="1"/>
                <w:bCs w:val="1"/>
                <w:color w:val="auto"/>
              </w:rPr>
              <w:t>Revenue</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4"/>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 amounts in 000's)</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3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Research and development expenses:</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GAAP research and development expenses</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14,421</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11,934</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1380" w:type="dxa"/>
            <w:vAlign w:val="bottom"/>
          </w:tcPr>
          <w:p>
            <w:pPr>
              <w:jc w:val="right"/>
              <w:spacing w:after="0"/>
              <w:rPr>
                <w:sz w:val="20"/>
                <w:szCs w:val="20"/>
                <w:color w:val="auto"/>
              </w:rPr>
            </w:pPr>
            <w:r>
              <w:rPr>
                <w:rFonts w:ascii="Arial" w:cs="Arial" w:eastAsia="Arial" w:hAnsi="Arial"/>
                <w:sz w:val="18"/>
                <w:szCs w:val="18"/>
                <w:color w:val="auto"/>
              </w:rPr>
              <w:t>(453)</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(554)</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Non-GAAP research and development expenses</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13,968</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15.0</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11,380</w:t>
            </w: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180"/>
              <w:spacing w:after="0"/>
              <w:rPr>
                <w:sz w:val="20"/>
                <w:szCs w:val="20"/>
                <w:color w:val="auto"/>
              </w:rPr>
            </w:pPr>
            <w:r>
              <w:rPr>
                <w:rFonts w:ascii="Arial" w:cs="Arial" w:eastAsia="Arial" w:hAnsi="Arial"/>
                <w:sz w:val="18"/>
                <w:szCs w:val="18"/>
                <w:color w:val="auto"/>
              </w:rPr>
              <w:t>Sales and marketing expenses:</w:t>
            </w: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26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GAAP sales and marketing expenses</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32,718</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35.1</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26,723</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1380" w:type="dxa"/>
            <w:vAlign w:val="bottom"/>
          </w:tcPr>
          <w:p>
            <w:pPr>
              <w:jc w:val="right"/>
              <w:spacing w:after="0"/>
              <w:rPr>
                <w:sz w:val="20"/>
                <w:szCs w:val="20"/>
                <w:color w:val="auto"/>
              </w:rPr>
            </w:pPr>
            <w:r>
              <w:rPr>
                <w:rFonts w:ascii="Arial" w:cs="Arial" w:eastAsia="Arial" w:hAnsi="Arial"/>
                <w:sz w:val="18"/>
                <w:szCs w:val="18"/>
                <w:color w:val="auto"/>
              </w:rPr>
              <w:t>(1,900)</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(866)</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Non-GAAP sales and marketing expenses</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30,818</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33.0</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25,857</w:t>
            </w: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180"/>
              <w:spacing w:after="0"/>
              <w:rPr>
                <w:sz w:val="20"/>
                <w:szCs w:val="20"/>
                <w:color w:val="auto"/>
              </w:rPr>
            </w:pPr>
            <w:r>
              <w:rPr>
                <w:rFonts w:ascii="Arial" w:cs="Arial" w:eastAsia="Arial" w:hAnsi="Arial"/>
                <w:sz w:val="18"/>
                <w:szCs w:val="18"/>
                <w:color w:val="auto"/>
              </w:rPr>
              <w:t>General and administrative expenses:</w:t>
            </w: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26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GAAP general and administrative expenses</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5,266</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5,059</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1380" w:type="dxa"/>
            <w:vAlign w:val="bottom"/>
          </w:tcPr>
          <w:p>
            <w:pPr>
              <w:jc w:val="right"/>
              <w:spacing w:after="0"/>
              <w:rPr>
                <w:sz w:val="20"/>
                <w:szCs w:val="20"/>
                <w:color w:val="auto"/>
              </w:rPr>
            </w:pPr>
            <w:r>
              <w:rPr>
                <w:rFonts w:ascii="Arial" w:cs="Arial" w:eastAsia="Arial" w:hAnsi="Arial"/>
                <w:sz w:val="18"/>
                <w:szCs w:val="18"/>
                <w:color w:val="auto"/>
              </w:rPr>
              <w:t>(497)</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(496)</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Patent settlement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477</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260" w:type="dxa"/>
            <w:vAlign w:val="bottom"/>
          </w:tcPr>
          <w:p>
            <w:pPr>
              <w:ind w:left="380"/>
              <w:spacing w:after="0"/>
              <w:rPr>
                <w:sz w:val="20"/>
                <w:szCs w:val="20"/>
                <w:color w:val="auto"/>
              </w:rPr>
            </w:pPr>
            <w:r>
              <w:rPr>
                <w:rFonts w:ascii="Arial" w:cs="Arial" w:eastAsia="Arial" w:hAnsi="Arial"/>
                <w:sz w:val="18"/>
                <w:szCs w:val="18"/>
                <w:color w:val="auto"/>
              </w:rPr>
              <w:t>Non-GAAP general and administrative expenses</w:t>
            </w: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5,246</w:t>
            </w:r>
          </w:p>
        </w:tc>
        <w:tc>
          <w:tcPr>
            <w:tcW w:w="22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4,563</w:t>
            </w:r>
          </w:p>
        </w:tc>
        <w:tc>
          <w:tcPr>
            <w:tcW w:w="20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1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GAAP operating expenses</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52,405</w:t>
            </w:r>
          </w:p>
        </w:tc>
        <w:tc>
          <w:tcPr>
            <w:tcW w:w="2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56.2</w:t>
            </w:r>
          </w:p>
        </w:tc>
        <w:tc>
          <w:tcPr>
            <w:tcW w:w="2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43,716</w:t>
            </w:r>
          </w:p>
        </w:tc>
        <w:tc>
          <w:tcPr>
            <w:tcW w:w="2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4"/>
        </w:trPr>
        <w:tc>
          <w:tcPr>
            <w:tcW w:w="5260" w:type="dxa"/>
            <w:vAlign w:val="bottom"/>
          </w:tcPr>
          <w:p>
            <w:pPr>
              <w:ind w:left="380"/>
              <w:spacing w:after="0"/>
              <w:rPr>
                <w:sz w:val="20"/>
                <w:szCs w:val="20"/>
                <w:color w:val="auto"/>
              </w:rPr>
            </w:pPr>
            <w:r>
              <w:rPr>
                <w:rFonts w:ascii="Arial" w:cs="Arial" w:eastAsia="Arial" w:hAnsi="Arial"/>
                <w:sz w:val="18"/>
                <w:szCs w:val="18"/>
                <w:color w:val="auto"/>
              </w:rPr>
              <w:t>Patent settlement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477</w:t>
            </w:r>
          </w:p>
        </w:tc>
        <w:tc>
          <w:tcPr>
            <w:tcW w:w="220" w:type="dxa"/>
            <w:vAlign w:val="bottom"/>
          </w:tcPr>
          <w:p>
            <w:pPr>
              <w:spacing w:after="0"/>
              <w:rPr>
                <w:sz w:val="24"/>
                <w:szCs w:val="24"/>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24"/>
                <w:szCs w:val="24"/>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526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Non-GAAP operating expenses</w:t>
            </w:r>
          </w:p>
        </w:tc>
        <w:tc>
          <w:tcPr>
            <w:tcW w:w="13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50,032</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53.6</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41,800</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280" w:type="dxa"/>
            <w:vAlign w:val="bottom"/>
          </w:tcPr>
          <w:p>
            <w:pPr>
              <w:spacing w:after="0"/>
              <w:rPr>
                <w:sz w:val="18"/>
                <w:szCs w:val="18"/>
                <w:color w:val="auto"/>
              </w:rPr>
            </w:pPr>
          </w:p>
        </w:tc>
        <w:tc>
          <w:tcPr>
            <w:tcW w:w="4080" w:type="dxa"/>
            <w:vAlign w:val="bottom"/>
            <w:gridSpan w:val="3"/>
          </w:tcPr>
          <w:p>
            <w:pPr>
              <w:jc w:val="right"/>
              <w:ind w:right="1211"/>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7280" w:type="dxa"/>
            <w:vAlign w:val="bottom"/>
          </w:tcPr>
          <w:p>
            <w:pPr>
              <w:spacing w:after="0"/>
              <w:rPr>
                <w:sz w:val="2"/>
                <w:szCs w:val="2"/>
                <w:color w:val="auto"/>
              </w:rPr>
            </w:pPr>
          </w:p>
        </w:tc>
        <w:tc>
          <w:tcPr>
            <w:tcW w:w="216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280" w:type="dxa"/>
            <w:vAlign w:val="bottom"/>
          </w:tcPr>
          <w:p>
            <w:pPr>
              <w:spacing w:after="0"/>
              <w:rPr>
                <w:sz w:val="18"/>
                <w:szCs w:val="18"/>
                <w:color w:val="auto"/>
              </w:rPr>
            </w:pPr>
          </w:p>
        </w:tc>
        <w:tc>
          <w:tcPr>
            <w:tcW w:w="2160" w:type="dxa"/>
            <w:vAlign w:val="bottom"/>
            <w:gridSpan w:val="2"/>
          </w:tcPr>
          <w:p>
            <w:pPr>
              <w:ind w:left="440"/>
              <w:spacing w:after="0"/>
              <w:rPr>
                <w:sz w:val="20"/>
                <w:szCs w:val="20"/>
                <w:color w:val="auto"/>
              </w:rPr>
            </w:pPr>
            <w:r>
              <w:rPr>
                <w:rFonts w:ascii="Arial" w:cs="Arial" w:eastAsia="Arial" w:hAnsi="Arial"/>
                <w:sz w:val="16"/>
                <w:szCs w:val="16"/>
                <w:b w:val="1"/>
                <w:bCs w:val="1"/>
                <w:color w:val="auto"/>
              </w:rPr>
              <w:t>March 31, 2011</w:t>
            </w:r>
          </w:p>
        </w:tc>
        <w:tc>
          <w:tcPr>
            <w:tcW w:w="1920" w:type="dxa"/>
            <w:vAlign w:val="bottom"/>
          </w:tcPr>
          <w:p>
            <w:pPr>
              <w:jc w:val="right"/>
              <w:ind w:right="331"/>
              <w:spacing w:after="0"/>
              <w:rPr>
                <w:sz w:val="20"/>
                <w:szCs w:val="20"/>
                <w:color w:val="auto"/>
              </w:rPr>
            </w:pPr>
            <w:r>
              <w:rPr>
                <w:rFonts w:ascii="Arial" w:cs="Arial" w:eastAsia="Arial" w:hAnsi="Arial"/>
                <w:sz w:val="16"/>
                <w:szCs w:val="16"/>
                <w:b w:val="1"/>
                <w:bCs w:val="1"/>
                <w:color w:val="auto"/>
              </w:rPr>
              <w:t>March 31, 2010</w:t>
            </w:r>
          </w:p>
        </w:tc>
        <w:tc>
          <w:tcPr>
            <w:tcW w:w="0" w:type="dxa"/>
            <w:vAlign w:val="bottom"/>
          </w:tcPr>
          <w:p>
            <w:pPr>
              <w:spacing w:after="0"/>
              <w:rPr>
                <w:sz w:val="1"/>
                <w:szCs w:val="1"/>
                <w:color w:val="auto"/>
              </w:rPr>
            </w:pPr>
          </w:p>
        </w:tc>
      </w:tr>
      <w:tr>
        <w:trPr>
          <w:trHeight w:val="33"/>
        </w:trPr>
        <w:tc>
          <w:tcPr>
            <w:tcW w:w="7280" w:type="dxa"/>
            <w:vAlign w:val="bottom"/>
          </w:tcPr>
          <w:p>
            <w:pPr>
              <w:spacing w:after="0"/>
              <w:rPr>
                <w:sz w:val="2"/>
                <w:szCs w:val="2"/>
                <w:color w:val="auto"/>
              </w:rPr>
            </w:pPr>
          </w:p>
        </w:tc>
        <w:tc>
          <w:tcPr>
            <w:tcW w:w="40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280" w:type="dxa"/>
            <w:vAlign w:val="bottom"/>
          </w:tcPr>
          <w:p>
            <w:pPr>
              <w:spacing w:after="0"/>
              <w:rPr>
                <w:sz w:val="18"/>
                <w:szCs w:val="18"/>
                <w:color w:val="auto"/>
              </w:rPr>
            </w:pPr>
          </w:p>
        </w:tc>
        <w:tc>
          <w:tcPr>
            <w:tcW w:w="4080" w:type="dxa"/>
            <w:vAlign w:val="bottom"/>
            <w:gridSpan w:val="3"/>
          </w:tcPr>
          <w:p>
            <w:pPr>
              <w:jc w:val="right"/>
              <w:ind w:right="1251"/>
              <w:spacing w:after="0"/>
              <w:rPr>
                <w:sz w:val="20"/>
                <w:szCs w:val="20"/>
                <w:color w:val="auto"/>
              </w:rPr>
            </w:pPr>
            <w:r>
              <w:rPr>
                <w:rFonts w:ascii="Arial" w:cs="Arial" w:eastAsia="Arial" w:hAnsi="Arial"/>
                <w:sz w:val="16"/>
                <w:szCs w:val="16"/>
                <w:b w:val="1"/>
                <w:bCs w:val="1"/>
                <w:color w:val="auto"/>
              </w:rPr>
              <w:t>($ amounts in 000's)</w:t>
            </w:r>
          </w:p>
        </w:tc>
        <w:tc>
          <w:tcPr>
            <w:tcW w:w="0" w:type="dxa"/>
            <w:vAlign w:val="bottom"/>
          </w:tcPr>
          <w:p>
            <w:pPr>
              <w:spacing w:after="0"/>
              <w:rPr>
                <w:sz w:val="1"/>
                <w:szCs w:val="1"/>
                <w:color w:val="auto"/>
              </w:rPr>
            </w:pPr>
          </w:p>
        </w:tc>
      </w:tr>
      <w:tr>
        <w:trPr>
          <w:trHeight w:val="33"/>
        </w:trPr>
        <w:tc>
          <w:tcPr>
            <w:tcW w:w="7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260"/>
              <w:spacing w:after="0"/>
              <w:rPr>
                <w:sz w:val="20"/>
                <w:szCs w:val="20"/>
                <w:color w:val="auto"/>
              </w:rPr>
            </w:pPr>
            <w:r>
              <w:rPr>
                <w:rFonts w:ascii="Arial" w:cs="Arial" w:eastAsia="Arial" w:hAnsi="Arial"/>
                <w:sz w:val="18"/>
                <w:szCs w:val="18"/>
                <w:color w:val="auto"/>
              </w:rPr>
              <w:t>GAAP net income</w:t>
            </w:r>
          </w:p>
        </w:tc>
        <w:tc>
          <w:tcPr>
            <w:tcW w:w="1940" w:type="dxa"/>
            <w:vAlign w:val="bottom"/>
          </w:tcPr>
          <w:p>
            <w:pPr>
              <w:jc w:val="right"/>
              <w:ind w:right="32"/>
              <w:spacing w:after="0"/>
              <w:rPr>
                <w:sz w:val="20"/>
                <w:szCs w:val="20"/>
                <w:color w:val="auto"/>
              </w:rPr>
            </w:pPr>
            <w:r>
              <w:rPr>
                <w:rFonts w:ascii="Arial" w:cs="Arial" w:eastAsia="Arial" w:hAnsi="Arial"/>
                <w:sz w:val="18"/>
                <w:szCs w:val="18"/>
                <w:color w:val="auto"/>
              </w:rPr>
              <w:t>13,587</w:t>
            </w:r>
          </w:p>
        </w:tc>
        <w:tc>
          <w:tcPr>
            <w:tcW w:w="220" w:type="dxa"/>
            <w:vAlign w:val="bottom"/>
          </w:tcPr>
          <w:p>
            <w:pPr>
              <w:spacing w:after="0"/>
              <w:rPr>
                <w:sz w:val="21"/>
                <w:szCs w:val="21"/>
                <w:color w:val="auto"/>
              </w:rPr>
            </w:pPr>
          </w:p>
        </w:tc>
        <w:tc>
          <w:tcPr>
            <w:tcW w:w="1920" w:type="dxa"/>
            <w:vAlign w:val="bottom"/>
          </w:tcPr>
          <w:p>
            <w:pPr>
              <w:jc w:val="right"/>
              <w:ind w:right="31"/>
              <w:spacing w:after="0"/>
              <w:rPr>
                <w:sz w:val="20"/>
                <w:szCs w:val="20"/>
                <w:color w:val="auto"/>
              </w:rPr>
            </w:pPr>
            <w:r>
              <w:rPr>
                <w:rFonts w:ascii="Arial" w:cs="Arial" w:eastAsia="Arial" w:hAnsi="Arial"/>
                <w:sz w:val="18"/>
                <w:szCs w:val="18"/>
                <w:color w:val="auto"/>
              </w:rPr>
              <w:t>4,218</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8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Stock-based compensation expense</w:t>
            </w:r>
            <w:r>
              <w:rPr>
                <w:rFonts w:ascii="Arial" w:cs="Arial" w:eastAsia="Arial" w:hAnsi="Arial"/>
                <w:sz w:val="25"/>
                <w:szCs w:val="25"/>
                <w:color w:val="auto"/>
                <w:vertAlign w:val="superscript"/>
              </w:rPr>
              <w:t>(1)</w:t>
            </w:r>
          </w:p>
        </w:tc>
        <w:tc>
          <w:tcPr>
            <w:tcW w:w="1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3,070</w:t>
            </w:r>
          </w:p>
        </w:tc>
        <w:tc>
          <w:tcPr>
            <w:tcW w:w="220" w:type="dxa"/>
            <w:vAlign w:val="bottom"/>
            <w:shd w:val="clear" w:color="auto" w:fill="CCEEFF"/>
          </w:tcPr>
          <w:p>
            <w:pPr>
              <w:spacing w:after="0"/>
              <w:rPr>
                <w:sz w:val="23"/>
                <w:szCs w:val="23"/>
                <w:color w:val="auto"/>
              </w:rPr>
            </w:pPr>
          </w:p>
        </w:tc>
        <w:tc>
          <w:tcPr>
            <w:tcW w:w="1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2,148</w:t>
            </w:r>
          </w:p>
        </w:tc>
        <w:tc>
          <w:tcPr>
            <w:tcW w:w="0" w:type="dxa"/>
            <w:vAlign w:val="bottom"/>
          </w:tcPr>
          <w:p>
            <w:pPr>
              <w:spacing w:after="0"/>
              <w:rPr>
                <w:sz w:val="1"/>
                <w:szCs w:val="1"/>
                <w:color w:val="auto"/>
              </w:rPr>
            </w:pPr>
          </w:p>
        </w:tc>
      </w:tr>
      <w:tr>
        <w:trPr>
          <w:trHeight w:val="270"/>
        </w:trPr>
        <w:tc>
          <w:tcPr>
            <w:tcW w:w="7280" w:type="dxa"/>
            <w:vAlign w:val="bottom"/>
          </w:tcPr>
          <w:p>
            <w:pPr>
              <w:ind w:left="380"/>
              <w:spacing w:after="0" w:line="270" w:lineRule="exact"/>
              <w:rPr>
                <w:sz w:val="20"/>
                <w:szCs w:val="20"/>
                <w:color w:val="auto"/>
              </w:rPr>
            </w:pPr>
            <w:r>
              <w:rPr>
                <w:rFonts w:ascii="Arial" w:cs="Arial" w:eastAsia="Arial" w:hAnsi="Arial"/>
                <w:sz w:val="18"/>
                <w:szCs w:val="18"/>
                <w:color w:val="auto"/>
              </w:rPr>
              <w:t>Patent settlement</w:t>
            </w:r>
            <w:r>
              <w:rPr>
                <w:rFonts w:ascii="Arial" w:cs="Arial" w:eastAsia="Arial" w:hAnsi="Arial"/>
                <w:sz w:val="25"/>
                <w:szCs w:val="25"/>
                <w:color w:val="auto"/>
                <w:vertAlign w:val="superscript"/>
              </w:rPr>
              <w:t>(2)</w:t>
            </w:r>
          </w:p>
        </w:tc>
        <w:tc>
          <w:tcPr>
            <w:tcW w:w="1940" w:type="dxa"/>
            <w:vAlign w:val="bottom"/>
          </w:tcPr>
          <w:p>
            <w:pPr>
              <w:jc w:val="right"/>
              <w:spacing w:after="0"/>
              <w:rPr>
                <w:sz w:val="20"/>
                <w:szCs w:val="20"/>
                <w:color w:val="auto"/>
              </w:rPr>
            </w:pPr>
            <w:r>
              <w:rPr>
                <w:rFonts w:ascii="Arial" w:cs="Arial" w:eastAsia="Arial" w:hAnsi="Arial"/>
                <w:sz w:val="18"/>
                <w:szCs w:val="18"/>
                <w:color w:val="auto"/>
              </w:rPr>
              <w:t>(477)</w:t>
            </w:r>
          </w:p>
        </w:tc>
        <w:tc>
          <w:tcPr>
            <w:tcW w:w="220" w:type="dxa"/>
            <w:vAlign w:val="bottom"/>
          </w:tcPr>
          <w:p>
            <w:pPr>
              <w:spacing w:after="0"/>
              <w:rPr>
                <w:sz w:val="23"/>
                <w:szCs w:val="23"/>
                <w:color w:val="auto"/>
              </w:rPr>
            </w:pPr>
          </w:p>
        </w:tc>
        <w:tc>
          <w:tcPr>
            <w:tcW w:w="19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28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Provision for income taxes</w:t>
            </w:r>
            <w:r>
              <w:rPr>
                <w:rFonts w:ascii="Arial" w:cs="Arial" w:eastAsia="Arial" w:hAnsi="Arial"/>
                <w:sz w:val="25"/>
                <w:szCs w:val="25"/>
                <w:color w:val="auto"/>
                <w:vertAlign w:val="superscript"/>
              </w:rPr>
              <w:t>(3)</w:t>
            </w:r>
          </w:p>
        </w:tc>
        <w:tc>
          <w:tcPr>
            <w:tcW w:w="1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4,556</w:t>
            </w:r>
          </w:p>
        </w:tc>
        <w:tc>
          <w:tcPr>
            <w:tcW w:w="220" w:type="dxa"/>
            <w:vAlign w:val="bottom"/>
            <w:shd w:val="clear" w:color="auto" w:fill="CCEEFF"/>
          </w:tcPr>
          <w:p>
            <w:pPr>
              <w:spacing w:after="0"/>
              <w:rPr>
                <w:sz w:val="23"/>
                <w:szCs w:val="23"/>
                <w:color w:val="auto"/>
              </w:rPr>
            </w:pPr>
          </w:p>
        </w:tc>
        <w:tc>
          <w:tcPr>
            <w:tcW w:w="1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237"/>
        </w:trPr>
        <w:tc>
          <w:tcPr>
            <w:tcW w:w="7280" w:type="dxa"/>
            <w:vAlign w:val="bottom"/>
          </w:tcPr>
          <w:p>
            <w:pPr>
              <w:ind w:left="380"/>
              <w:spacing w:after="0"/>
              <w:rPr>
                <w:sz w:val="20"/>
                <w:szCs w:val="20"/>
                <w:color w:val="auto"/>
              </w:rPr>
            </w:pPr>
            <w:r>
              <w:rPr>
                <w:rFonts w:ascii="Arial" w:cs="Arial" w:eastAsia="Arial" w:hAnsi="Arial"/>
                <w:sz w:val="18"/>
                <w:szCs w:val="18"/>
                <w:color w:val="auto"/>
              </w:rPr>
              <w:t>Non-GAAP income before provision for income taxes</w:t>
            </w:r>
          </w:p>
        </w:tc>
        <w:tc>
          <w:tcPr>
            <w:tcW w:w="1940" w:type="dxa"/>
            <w:vAlign w:val="bottom"/>
          </w:tcPr>
          <w:p>
            <w:pPr>
              <w:jc w:val="right"/>
              <w:ind w:right="32"/>
              <w:spacing w:after="0"/>
              <w:rPr>
                <w:sz w:val="20"/>
                <w:szCs w:val="20"/>
                <w:color w:val="auto"/>
              </w:rPr>
            </w:pPr>
            <w:r>
              <w:rPr>
                <w:rFonts w:ascii="Arial" w:cs="Arial" w:eastAsia="Arial" w:hAnsi="Arial"/>
                <w:sz w:val="18"/>
                <w:szCs w:val="18"/>
                <w:color w:val="auto"/>
              </w:rPr>
              <w:t>20,736</w:t>
            </w:r>
          </w:p>
        </w:tc>
        <w:tc>
          <w:tcPr>
            <w:tcW w:w="220" w:type="dxa"/>
            <w:vAlign w:val="bottom"/>
          </w:tcPr>
          <w:p>
            <w:pPr>
              <w:spacing w:after="0"/>
              <w:rPr>
                <w:sz w:val="20"/>
                <w:szCs w:val="20"/>
                <w:color w:val="auto"/>
              </w:rPr>
            </w:pPr>
          </w:p>
        </w:tc>
        <w:tc>
          <w:tcPr>
            <w:tcW w:w="1920" w:type="dxa"/>
            <w:vAlign w:val="bottom"/>
          </w:tcPr>
          <w:p>
            <w:pPr>
              <w:jc w:val="right"/>
              <w:ind w:right="31"/>
              <w:spacing w:after="0"/>
              <w:rPr>
                <w:sz w:val="20"/>
                <w:szCs w:val="20"/>
                <w:color w:val="auto"/>
              </w:rPr>
            </w:pPr>
            <w:r>
              <w:rPr>
                <w:rFonts w:ascii="Arial" w:cs="Arial" w:eastAsia="Arial" w:hAnsi="Arial"/>
                <w:sz w:val="18"/>
                <w:szCs w:val="18"/>
                <w:color w:val="auto"/>
              </w:rPr>
              <w:t>8,870</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8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Tax effects related to non-GAAP adjustments</w:t>
            </w:r>
            <w:r>
              <w:rPr>
                <w:rFonts w:ascii="Arial" w:cs="Arial" w:eastAsia="Arial" w:hAnsi="Arial"/>
                <w:sz w:val="25"/>
                <w:szCs w:val="25"/>
                <w:color w:val="auto"/>
                <w:vertAlign w:val="superscript"/>
              </w:rPr>
              <w:t>(4)</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(6,843)</w:t>
            </w:r>
          </w:p>
        </w:tc>
        <w:tc>
          <w:tcPr>
            <w:tcW w:w="220" w:type="dxa"/>
            <w:vAlign w:val="bottom"/>
            <w:shd w:val="clear" w:color="auto" w:fill="CCEEFF"/>
          </w:tcPr>
          <w:p>
            <w:pPr>
              <w:spacing w:after="0"/>
              <w:rPr>
                <w:sz w:val="23"/>
                <w:szCs w:val="23"/>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(3,105)</w:t>
            </w:r>
          </w:p>
        </w:tc>
        <w:tc>
          <w:tcPr>
            <w:tcW w:w="0" w:type="dxa"/>
            <w:vAlign w:val="bottom"/>
          </w:tcPr>
          <w:p>
            <w:pPr>
              <w:spacing w:after="0"/>
              <w:rPr>
                <w:sz w:val="1"/>
                <w:szCs w:val="1"/>
                <w:color w:val="auto"/>
              </w:rPr>
            </w:pPr>
          </w:p>
        </w:tc>
      </w:tr>
      <w:tr>
        <w:trPr>
          <w:trHeight w:val="257"/>
        </w:trPr>
        <w:tc>
          <w:tcPr>
            <w:tcW w:w="7280" w:type="dxa"/>
            <w:vAlign w:val="bottom"/>
          </w:tcPr>
          <w:p>
            <w:pPr>
              <w:ind w:left="260"/>
              <w:spacing w:after="0"/>
              <w:rPr>
                <w:sz w:val="20"/>
                <w:szCs w:val="20"/>
                <w:color w:val="auto"/>
              </w:rPr>
            </w:pPr>
            <w:r>
              <w:rPr>
                <w:rFonts w:ascii="Arial" w:cs="Arial" w:eastAsia="Arial" w:hAnsi="Arial"/>
                <w:sz w:val="18"/>
                <w:szCs w:val="18"/>
                <w:color w:val="auto"/>
              </w:rPr>
              <w:t>Non-GAAP net income</w:t>
            </w:r>
          </w:p>
        </w:tc>
        <w:tc>
          <w:tcPr>
            <w:tcW w:w="1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13,893</w:t>
            </w:r>
          </w:p>
        </w:tc>
        <w:tc>
          <w:tcPr>
            <w:tcW w:w="220" w:type="dxa"/>
            <w:vAlign w:val="bottom"/>
          </w:tcPr>
          <w:p>
            <w:pPr>
              <w:spacing w:after="0"/>
              <w:rPr>
                <w:sz w:val="22"/>
                <w:szCs w:val="22"/>
                <w:color w:val="auto"/>
              </w:rPr>
            </w:pPr>
          </w:p>
        </w:tc>
        <w:tc>
          <w:tcPr>
            <w:tcW w:w="1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5,765</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2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7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Non-GAAP net income per share - diluted</w:t>
            </w:r>
          </w:p>
        </w:tc>
        <w:tc>
          <w:tcPr>
            <w:tcW w:w="1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0.17</w:t>
            </w:r>
          </w:p>
        </w:tc>
        <w:tc>
          <w:tcPr>
            <w:tcW w:w="2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280" w:type="dxa"/>
            <w:vAlign w:val="bottom"/>
          </w:tcPr>
          <w:p>
            <w:pPr>
              <w:ind w:left="260"/>
              <w:spacing w:after="0"/>
              <w:rPr>
                <w:sz w:val="20"/>
                <w:szCs w:val="20"/>
                <w:color w:val="auto"/>
              </w:rPr>
            </w:pPr>
            <w:r>
              <w:rPr>
                <w:rFonts w:ascii="Arial" w:cs="Arial" w:eastAsia="Arial" w:hAnsi="Arial"/>
                <w:sz w:val="18"/>
                <w:szCs w:val="18"/>
                <w:color w:val="auto"/>
              </w:rPr>
              <w:t>Shares used in per share calculation - diluted</w:t>
            </w:r>
          </w:p>
        </w:tc>
        <w:tc>
          <w:tcPr>
            <w:tcW w:w="1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81,432</w:t>
            </w:r>
          </w:p>
        </w:tc>
        <w:tc>
          <w:tcPr>
            <w:tcW w:w="220" w:type="dxa"/>
            <w:vAlign w:val="bottom"/>
          </w:tcPr>
          <w:p>
            <w:pPr>
              <w:spacing w:after="0"/>
              <w:rPr>
                <w:sz w:val="24"/>
                <w:szCs w:val="24"/>
                <w:color w:val="auto"/>
              </w:rPr>
            </w:pPr>
          </w:p>
        </w:tc>
        <w:tc>
          <w:tcPr>
            <w:tcW w:w="1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74,878</w:t>
            </w:r>
          </w:p>
        </w:tc>
        <w:tc>
          <w:tcPr>
            <w:tcW w:w="0" w:type="dxa"/>
            <w:vAlign w:val="bottom"/>
          </w:tcPr>
          <w:p>
            <w:pPr>
              <w:spacing w:after="0"/>
              <w:rPr>
                <w:sz w:val="1"/>
                <w:szCs w:val="1"/>
                <w:color w:val="auto"/>
              </w:rPr>
            </w:pPr>
          </w:p>
        </w:tc>
      </w:tr>
      <w:tr>
        <w:trPr>
          <w:trHeight w:val="20"/>
        </w:trPr>
        <w:tc>
          <w:tcPr>
            <w:tcW w:w="72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80" w:type="dxa"/>
            <w:vAlign w:val="bottom"/>
            <w:vMerge w:val="continue"/>
          </w:tcPr>
          <w:p>
            <w:pPr>
              <w:spacing w:after="0"/>
              <w:rPr>
                <w:sz w:val="20"/>
                <w:szCs w:val="20"/>
                <w:color w:val="auto"/>
              </w:rPr>
            </w:pP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Stock-based compensation expense is added back to GAAP net income to reconcile to non-GAAP income before taxes.</w:t>
      </w:r>
    </w:p>
    <w:p>
      <w:pPr>
        <w:spacing w:after="0" w:line="23" w:lineRule="exact"/>
        <w:rPr>
          <w:rFonts w:ascii="Arial" w:cs="Arial" w:eastAsia="Arial" w:hAnsi="Arial"/>
          <w:sz w:val="18"/>
          <w:szCs w:val="18"/>
          <w:color w:val="auto"/>
        </w:rPr>
      </w:pPr>
    </w:p>
    <w:p>
      <w:pPr>
        <w:ind w:left="400" w:hanging="392"/>
        <w:spacing w:after="0"/>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patent settlement income is removed from GAAP net income to reconcile to non-GAAP income before taxes.</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Provision for income taxes is our GAAP provision that must be added to GAAP net income to reconcile to non-GAAP income before taxes.</w:t>
      </w:r>
    </w:p>
    <w:p>
      <w:pPr>
        <w:spacing w:after="0" w:line="9" w:lineRule="exact"/>
        <w:rPr>
          <w:rFonts w:ascii="Arial" w:cs="Arial" w:eastAsia="Arial" w:hAnsi="Arial"/>
          <w:sz w:val="18"/>
          <w:szCs w:val="18"/>
          <w:color w:val="auto"/>
        </w:rPr>
      </w:pPr>
    </w:p>
    <w:p>
      <w:pPr>
        <w:ind w:left="500" w:right="40" w:hanging="492"/>
        <w:spacing w:after="0" w:line="255" w:lineRule="auto"/>
        <w:tabs>
          <w:tab w:leader="none" w:pos="404"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Non-GAAP provision for income taxes reflects 33% and 35% non-GAAP effective tax rates in the first quarter of 2011 and 2010, respectively. Based on the annual estimate for geographic split of income, as well as various tax credits we expect to achieve in various locations, we plan to use a 33% non-GAAP tax rate for the year, subject to discrete items that may occur in a particular quarter.</w:t>
      </w:r>
    </w:p>
    <w:p>
      <w:pPr>
        <w:sectPr>
          <w:pgSz w:w="11900" w:h="16838" w:orient="portrait"/>
          <w:cols w:equalWidth="0" w:num="1">
            <w:col w:w="11420"/>
          </w:cols>
          <w:pgMar w:left="240" w:top="125"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80" w:type="dxa"/>
            <w:vAlign w:val="bottom"/>
          </w:tcPr>
          <w:p>
            <w:pPr>
              <w:spacing w:after="0"/>
              <w:rPr>
                <w:sz w:val="18"/>
                <w:szCs w:val="18"/>
                <w:color w:val="auto"/>
              </w:rPr>
            </w:pPr>
          </w:p>
        </w:tc>
        <w:tc>
          <w:tcPr>
            <w:tcW w:w="40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0" w:type="dxa"/>
            <w:vAlign w:val="bottom"/>
          </w:tcPr>
          <w:p>
            <w:pPr>
              <w:spacing w:after="0"/>
              <w:rPr>
                <w:sz w:val="1"/>
                <w:szCs w:val="1"/>
                <w:color w:val="auto"/>
              </w:rPr>
            </w:pPr>
          </w:p>
        </w:tc>
      </w:tr>
      <w:tr>
        <w:trPr>
          <w:trHeight w:val="33"/>
        </w:trPr>
        <w:tc>
          <w:tcPr>
            <w:tcW w:w="7280" w:type="dxa"/>
            <w:vAlign w:val="bottom"/>
          </w:tcPr>
          <w:p>
            <w:pPr>
              <w:spacing w:after="0"/>
              <w:rPr>
                <w:sz w:val="2"/>
                <w:szCs w:val="2"/>
                <w:color w:val="auto"/>
              </w:rPr>
            </w:pPr>
          </w:p>
        </w:tc>
        <w:tc>
          <w:tcPr>
            <w:tcW w:w="216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280" w:type="dxa"/>
            <w:vAlign w:val="bottom"/>
          </w:tcPr>
          <w:p>
            <w:pPr>
              <w:spacing w:after="0"/>
              <w:rPr>
                <w:sz w:val="18"/>
                <w:szCs w:val="18"/>
                <w:color w:val="auto"/>
              </w:rPr>
            </w:pPr>
          </w:p>
        </w:tc>
        <w:tc>
          <w:tcPr>
            <w:tcW w:w="2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March 31,</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4"/>
              </w:rPr>
              <w:t>March 31,</w:t>
            </w:r>
          </w:p>
        </w:tc>
        <w:tc>
          <w:tcPr>
            <w:tcW w:w="0" w:type="dxa"/>
            <w:vAlign w:val="bottom"/>
          </w:tcPr>
          <w:p>
            <w:pPr>
              <w:spacing w:after="0"/>
              <w:rPr>
                <w:sz w:val="1"/>
                <w:szCs w:val="1"/>
                <w:color w:val="auto"/>
              </w:rPr>
            </w:pPr>
          </w:p>
        </w:tc>
      </w:tr>
      <w:tr>
        <w:trPr>
          <w:trHeight w:val="210"/>
        </w:trPr>
        <w:tc>
          <w:tcPr>
            <w:tcW w:w="728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w w:val="89"/>
              </w:rPr>
              <w:t>2011</w:t>
            </w:r>
          </w:p>
        </w:tc>
        <w:tc>
          <w:tcPr>
            <w:tcW w:w="20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89"/>
              </w:rPr>
              <w:t>2010</w:t>
            </w:r>
          </w:p>
        </w:tc>
        <w:tc>
          <w:tcPr>
            <w:tcW w:w="0" w:type="dxa"/>
            <w:vAlign w:val="bottom"/>
          </w:tcPr>
          <w:p>
            <w:pPr>
              <w:spacing w:after="0"/>
              <w:rPr>
                <w:sz w:val="1"/>
                <w:szCs w:val="1"/>
                <w:color w:val="auto"/>
              </w:rPr>
            </w:pPr>
          </w:p>
        </w:tc>
      </w:tr>
      <w:tr>
        <w:trPr>
          <w:trHeight w:val="33"/>
        </w:trPr>
        <w:tc>
          <w:tcPr>
            <w:tcW w:w="7280" w:type="dxa"/>
            <w:vAlign w:val="bottom"/>
          </w:tcPr>
          <w:p>
            <w:pPr>
              <w:spacing w:after="0"/>
              <w:rPr>
                <w:sz w:val="2"/>
                <w:szCs w:val="2"/>
                <w:color w:val="auto"/>
              </w:rPr>
            </w:pPr>
          </w:p>
        </w:tc>
        <w:tc>
          <w:tcPr>
            <w:tcW w:w="40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280" w:type="dxa"/>
            <w:vAlign w:val="bottom"/>
          </w:tcPr>
          <w:p>
            <w:pPr>
              <w:spacing w:after="0"/>
              <w:rPr>
                <w:sz w:val="18"/>
                <w:szCs w:val="18"/>
                <w:color w:val="auto"/>
              </w:rPr>
            </w:pPr>
          </w:p>
        </w:tc>
        <w:tc>
          <w:tcPr>
            <w:tcW w:w="40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 amounts in 000's)</w:t>
            </w:r>
          </w:p>
        </w:tc>
        <w:tc>
          <w:tcPr>
            <w:tcW w:w="0" w:type="dxa"/>
            <w:vAlign w:val="bottom"/>
          </w:tcPr>
          <w:p>
            <w:pPr>
              <w:spacing w:after="0"/>
              <w:rPr>
                <w:sz w:val="1"/>
                <w:szCs w:val="1"/>
                <w:color w:val="auto"/>
              </w:rPr>
            </w:pPr>
          </w:p>
        </w:tc>
      </w:tr>
      <w:tr>
        <w:trPr>
          <w:trHeight w:val="33"/>
        </w:trPr>
        <w:tc>
          <w:tcPr>
            <w:tcW w:w="7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Billings:</w:t>
            </w:r>
          </w:p>
        </w:tc>
        <w:tc>
          <w:tcPr>
            <w:tcW w:w="1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Revenue</w:t>
            </w:r>
          </w:p>
        </w:tc>
        <w:tc>
          <w:tcPr>
            <w:tcW w:w="1960" w:type="dxa"/>
            <w:vAlign w:val="bottom"/>
          </w:tcPr>
          <w:p>
            <w:pPr>
              <w:jc w:val="right"/>
              <w:ind w:right="34"/>
              <w:spacing w:after="0"/>
              <w:rPr>
                <w:sz w:val="20"/>
                <w:szCs w:val="20"/>
                <w:color w:val="auto"/>
              </w:rPr>
            </w:pPr>
            <w:r>
              <w:rPr>
                <w:rFonts w:ascii="Arial" w:cs="Arial" w:eastAsia="Arial" w:hAnsi="Arial"/>
                <w:sz w:val="18"/>
                <w:szCs w:val="18"/>
                <w:color w:val="auto"/>
              </w:rPr>
              <w:t>93,266</w:t>
            </w:r>
          </w:p>
        </w:tc>
        <w:tc>
          <w:tcPr>
            <w:tcW w:w="200" w:type="dxa"/>
            <w:vAlign w:val="bottom"/>
          </w:tcPr>
          <w:p>
            <w:pPr>
              <w:spacing w:after="0"/>
              <w:rPr>
                <w:sz w:val="21"/>
                <w:szCs w:val="21"/>
                <w:color w:val="auto"/>
              </w:rPr>
            </w:pPr>
          </w:p>
        </w:tc>
        <w:tc>
          <w:tcPr>
            <w:tcW w:w="1920" w:type="dxa"/>
            <w:vAlign w:val="bottom"/>
          </w:tcPr>
          <w:p>
            <w:pPr>
              <w:jc w:val="right"/>
              <w:ind w:right="13"/>
              <w:spacing w:after="0"/>
              <w:rPr>
                <w:sz w:val="20"/>
                <w:szCs w:val="20"/>
                <w:color w:val="auto"/>
              </w:rPr>
            </w:pPr>
            <w:r>
              <w:rPr>
                <w:rFonts w:ascii="Arial" w:cs="Arial" w:eastAsia="Arial" w:hAnsi="Arial"/>
                <w:sz w:val="18"/>
                <w:szCs w:val="18"/>
                <w:color w:val="auto"/>
              </w:rPr>
              <w:t>69,795</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in deferred revenue</w:t>
            </w:r>
          </w:p>
        </w:tc>
        <w:tc>
          <w:tcPr>
            <w:tcW w:w="1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13,398</w:t>
            </w:r>
          </w:p>
        </w:tc>
        <w:tc>
          <w:tcPr>
            <w:tcW w:w="20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9,607</w:t>
            </w:r>
          </w:p>
        </w:tc>
        <w:tc>
          <w:tcPr>
            <w:tcW w:w="0" w:type="dxa"/>
            <w:vAlign w:val="bottom"/>
          </w:tcPr>
          <w:p>
            <w:pPr>
              <w:spacing w:after="0"/>
              <w:rPr>
                <w:sz w:val="1"/>
                <w:szCs w:val="1"/>
                <w:color w:val="auto"/>
              </w:rPr>
            </w:pPr>
          </w:p>
        </w:tc>
      </w:tr>
      <w:tr>
        <w:trPr>
          <w:trHeight w:val="257"/>
        </w:trPr>
        <w:tc>
          <w:tcPr>
            <w:tcW w:w="7280" w:type="dxa"/>
            <w:vAlign w:val="bottom"/>
          </w:tcPr>
          <w:p>
            <w:pPr>
              <w:ind w:left="40"/>
              <w:spacing w:after="0"/>
              <w:rPr>
                <w:sz w:val="20"/>
                <w:szCs w:val="20"/>
                <w:color w:val="auto"/>
              </w:rPr>
            </w:pPr>
            <w:r>
              <w:rPr>
                <w:rFonts w:ascii="Arial" w:cs="Arial" w:eastAsia="Arial" w:hAnsi="Arial"/>
                <w:sz w:val="18"/>
                <w:szCs w:val="18"/>
                <w:color w:val="auto"/>
              </w:rPr>
              <w:t>Total Billings (Non-GAAP)</w:t>
            </w:r>
          </w:p>
        </w:tc>
        <w:tc>
          <w:tcPr>
            <w:tcW w:w="1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106,664</w:t>
            </w:r>
          </w:p>
        </w:tc>
        <w:tc>
          <w:tcPr>
            <w:tcW w:w="200" w:type="dxa"/>
            <w:vAlign w:val="bottom"/>
          </w:tcPr>
          <w:p>
            <w:pPr>
              <w:spacing w:after="0"/>
              <w:rPr>
                <w:sz w:val="22"/>
                <w:szCs w:val="22"/>
                <w:color w:val="auto"/>
              </w:rPr>
            </w:pPr>
          </w:p>
        </w:tc>
        <w:tc>
          <w:tcPr>
            <w:tcW w:w="19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79,402</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2"/>
        </w:trPr>
        <w:tc>
          <w:tcPr>
            <w:tcW w:w="7280" w:type="dxa"/>
            <w:vAlign w:val="bottom"/>
          </w:tcPr>
          <w:p>
            <w:pPr>
              <w:spacing w:after="0"/>
              <w:rPr>
                <w:sz w:val="24"/>
                <w:szCs w:val="24"/>
                <w:color w:val="auto"/>
              </w:rPr>
            </w:pPr>
          </w:p>
        </w:tc>
        <w:tc>
          <w:tcPr>
            <w:tcW w:w="40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0" w:type="dxa"/>
            <w:vAlign w:val="bottom"/>
          </w:tcPr>
          <w:p>
            <w:pPr>
              <w:spacing w:after="0"/>
              <w:rPr>
                <w:sz w:val="1"/>
                <w:szCs w:val="1"/>
                <w:color w:val="auto"/>
              </w:rPr>
            </w:pPr>
          </w:p>
        </w:tc>
      </w:tr>
      <w:tr>
        <w:trPr>
          <w:trHeight w:val="33"/>
        </w:trPr>
        <w:tc>
          <w:tcPr>
            <w:tcW w:w="7280" w:type="dxa"/>
            <w:vAlign w:val="bottom"/>
          </w:tcPr>
          <w:p>
            <w:pPr>
              <w:spacing w:after="0"/>
              <w:rPr>
                <w:sz w:val="2"/>
                <w:szCs w:val="2"/>
                <w:color w:val="auto"/>
              </w:rPr>
            </w:pPr>
          </w:p>
        </w:tc>
        <w:tc>
          <w:tcPr>
            <w:tcW w:w="216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280" w:type="dxa"/>
            <w:vAlign w:val="bottom"/>
          </w:tcPr>
          <w:p>
            <w:pPr>
              <w:spacing w:after="0"/>
              <w:rPr>
                <w:sz w:val="18"/>
                <w:szCs w:val="18"/>
                <w:color w:val="auto"/>
              </w:rPr>
            </w:pPr>
          </w:p>
        </w:tc>
        <w:tc>
          <w:tcPr>
            <w:tcW w:w="2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March 31,</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4"/>
              </w:rPr>
              <w:t>March 31,</w:t>
            </w:r>
          </w:p>
        </w:tc>
        <w:tc>
          <w:tcPr>
            <w:tcW w:w="0" w:type="dxa"/>
            <w:vAlign w:val="bottom"/>
          </w:tcPr>
          <w:p>
            <w:pPr>
              <w:spacing w:after="0"/>
              <w:rPr>
                <w:sz w:val="1"/>
                <w:szCs w:val="1"/>
                <w:color w:val="auto"/>
              </w:rPr>
            </w:pPr>
          </w:p>
        </w:tc>
      </w:tr>
      <w:tr>
        <w:trPr>
          <w:trHeight w:val="210"/>
        </w:trPr>
        <w:tc>
          <w:tcPr>
            <w:tcW w:w="728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w w:val="89"/>
              </w:rPr>
              <w:t>2011</w:t>
            </w:r>
          </w:p>
        </w:tc>
        <w:tc>
          <w:tcPr>
            <w:tcW w:w="20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89"/>
              </w:rPr>
              <w:t>2010</w:t>
            </w:r>
          </w:p>
        </w:tc>
        <w:tc>
          <w:tcPr>
            <w:tcW w:w="0" w:type="dxa"/>
            <w:vAlign w:val="bottom"/>
          </w:tcPr>
          <w:p>
            <w:pPr>
              <w:spacing w:after="0"/>
              <w:rPr>
                <w:sz w:val="1"/>
                <w:szCs w:val="1"/>
                <w:color w:val="auto"/>
              </w:rPr>
            </w:pPr>
          </w:p>
        </w:tc>
      </w:tr>
      <w:tr>
        <w:trPr>
          <w:trHeight w:val="33"/>
        </w:trPr>
        <w:tc>
          <w:tcPr>
            <w:tcW w:w="7280" w:type="dxa"/>
            <w:vAlign w:val="bottom"/>
          </w:tcPr>
          <w:p>
            <w:pPr>
              <w:spacing w:after="0"/>
              <w:rPr>
                <w:sz w:val="2"/>
                <w:szCs w:val="2"/>
                <w:color w:val="auto"/>
              </w:rPr>
            </w:pPr>
          </w:p>
        </w:tc>
        <w:tc>
          <w:tcPr>
            <w:tcW w:w="40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280" w:type="dxa"/>
            <w:vAlign w:val="bottom"/>
          </w:tcPr>
          <w:p>
            <w:pPr>
              <w:spacing w:after="0"/>
              <w:rPr>
                <w:sz w:val="18"/>
                <w:szCs w:val="18"/>
                <w:color w:val="auto"/>
              </w:rPr>
            </w:pPr>
          </w:p>
        </w:tc>
        <w:tc>
          <w:tcPr>
            <w:tcW w:w="40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 amounts in 000's)</w:t>
            </w:r>
          </w:p>
        </w:tc>
        <w:tc>
          <w:tcPr>
            <w:tcW w:w="0" w:type="dxa"/>
            <w:vAlign w:val="bottom"/>
          </w:tcPr>
          <w:p>
            <w:pPr>
              <w:spacing w:after="0"/>
              <w:rPr>
                <w:sz w:val="1"/>
                <w:szCs w:val="1"/>
                <w:color w:val="auto"/>
              </w:rPr>
            </w:pPr>
          </w:p>
        </w:tc>
      </w:tr>
      <w:tr>
        <w:trPr>
          <w:trHeight w:val="33"/>
        </w:trPr>
        <w:tc>
          <w:tcPr>
            <w:tcW w:w="7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w:t>
            </w:r>
          </w:p>
        </w:tc>
        <w:tc>
          <w:tcPr>
            <w:tcW w:w="1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960" w:type="dxa"/>
            <w:vAlign w:val="bottom"/>
          </w:tcPr>
          <w:p>
            <w:pPr>
              <w:jc w:val="right"/>
              <w:ind w:right="34"/>
              <w:spacing w:after="0"/>
              <w:rPr>
                <w:sz w:val="20"/>
                <w:szCs w:val="20"/>
                <w:color w:val="auto"/>
              </w:rPr>
            </w:pPr>
            <w:r>
              <w:rPr>
                <w:rFonts w:ascii="Arial" w:cs="Arial" w:eastAsia="Arial" w:hAnsi="Arial"/>
                <w:sz w:val="18"/>
                <w:szCs w:val="18"/>
                <w:color w:val="auto"/>
              </w:rPr>
              <w:t>40,176</w:t>
            </w:r>
          </w:p>
        </w:tc>
        <w:tc>
          <w:tcPr>
            <w:tcW w:w="200" w:type="dxa"/>
            <w:vAlign w:val="bottom"/>
          </w:tcPr>
          <w:p>
            <w:pPr>
              <w:spacing w:after="0"/>
              <w:rPr>
                <w:sz w:val="21"/>
                <w:szCs w:val="21"/>
                <w:color w:val="auto"/>
              </w:rPr>
            </w:pPr>
          </w:p>
        </w:tc>
        <w:tc>
          <w:tcPr>
            <w:tcW w:w="1920" w:type="dxa"/>
            <w:vAlign w:val="bottom"/>
          </w:tcPr>
          <w:p>
            <w:pPr>
              <w:jc w:val="right"/>
              <w:ind w:right="13"/>
              <w:spacing w:after="0"/>
              <w:rPr>
                <w:sz w:val="20"/>
                <w:szCs w:val="20"/>
                <w:color w:val="auto"/>
              </w:rPr>
            </w:pPr>
            <w:r>
              <w:rPr>
                <w:rFonts w:ascii="Arial" w:cs="Arial" w:eastAsia="Arial" w:hAnsi="Arial"/>
                <w:sz w:val="18"/>
                <w:szCs w:val="18"/>
                <w:color w:val="auto"/>
              </w:rPr>
              <w:t>21,816</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purchases of property and equipment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2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43"/>
        </w:trPr>
        <w:tc>
          <w:tcPr>
            <w:tcW w:w="7280" w:type="dxa"/>
            <w:vAlign w:val="bottom"/>
          </w:tcPr>
          <w:p>
            <w:pPr>
              <w:ind w:left="180"/>
              <w:spacing w:after="0"/>
              <w:rPr>
                <w:sz w:val="20"/>
                <w:szCs w:val="20"/>
                <w:color w:val="auto"/>
              </w:rPr>
            </w:pPr>
            <w:r>
              <w:rPr>
                <w:rFonts w:ascii="Arial" w:cs="Arial" w:eastAsia="Arial" w:hAnsi="Arial"/>
                <w:sz w:val="18"/>
                <w:szCs w:val="18"/>
                <w:color w:val="auto"/>
              </w:rPr>
              <w:t>Less patent settlement</w:t>
            </w:r>
          </w:p>
        </w:tc>
        <w:tc>
          <w:tcPr>
            <w:tcW w:w="1960" w:type="dxa"/>
            <w:vAlign w:val="bottom"/>
          </w:tcPr>
          <w:p>
            <w:pPr>
              <w:jc w:val="right"/>
              <w:spacing w:after="0"/>
              <w:rPr>
                <w:sz w:val="20"/>
                <w:szCs w:val="20"/>
                <w:color w:val="auto"/>
              </w:rPr>
            </w:pPr>
            <w:r>
              <w:rPr>
                <w:rFonts w:ascii="Arial" w:cs="Arial" w:eastAsia="Arial" w:hAnsi="Arial"/>
                <w:sz w:val="18"/>
                <w:szCs w:val="18"/>
                <w:color w:val="auto"/>
              </w:rPr>
              <w:t>(3,000)</w:t>
            </w:r>
          </w:p>
        </w:tc>
        <w:tc>
          <w:tcPr>
            <w:tcW w:w="200" w:type="dxa"/>
            <w:vAlign w:val="bottom"/>
          </w:tcPr>
          <w:p>
            <w:pPr>
              <w:spacing w:after="0"/>
              <w:rPr>
                <w:sz w:val="21"/>
                <w:szCs w:val="21"/>
                <w:color w:val="auto"/>
              </w:rPr>
            </w:pPr>
          </w:p>
        </w:tc>
        <w:tc>
          <w:tcPr>
            <w:tcW w:w="19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Free cash flow (Non-GAAP)</w:t>
            </w:r>
          </w:p>
        </w:tc>
        <w:tc>
          <w:tcPr>
            <w:tcW w:w="1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36,482</w:t>
            </w:r>
          </w:p>
        </w:tc>
        <w:tc>
          <w:tcPr>
            <w:tcW w:w="20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20,802</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cash used in investing activities*</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(46,934)</w:t>
            </w:r>
          </w:p>
        </w:tc>
        <w:tc>
          <w:tcPr>
            <w:tcW w:w="200" w:type="dxa"/>
            <w:vAlign w:val="bottom"/>
            <w:tcBorders>
              <w:bottom w:val="single" w:sz="8" w:color="CCEEFF"/>
            </w:tcBorders>
          </w:tcPr>
          <w:p>
            <w:pPr>
              <w:spacing w:after="0"/>
              <w:rPr>
                <w:sz w:val="24"/>
                <w:szCs w:val="24"/>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(60,972)</w:t>
            </w:r>
          </w:p>
        </w:tc>
        <w:tc>
          <w:tcPr>
            <w:tcW w:w="0" w:type="dxa"/>
            <w:vAlign w:val="bottom"/>
          </w:tcPr>
          <w:p>
            <w:pPr>
              <w:spacing w:after="0"/>
              <w:rPr>
                <w:sz w:val="1"/>
                <w:szCs w:val="1"/>
                <w:color w:val="auto"/>
              </w:rPr>
            </w:pPr>
          </w:p>
        </w:tc>
      </w:tr>
      <w:tr>
        <w:trPr>
          <w:trHeight w:val="251"/>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8,075</w:t>
            </w:r>
          </w:p>
        </w:tc>
        <w:tc>
          <w:tcPr>
            <w:tcW w:w="2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0"/>
        </w:trPr>
        <w:tc>
          <w:tcPr>
            <w:tcW w:w="72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80" w:type="dxa"/>
            <w:vAlign w:val="bottom"/>
            <w:vMerge w:val="continue"/>
          </w:tcPr>
          <w:p>
            <w:pPr>
              <w:spacing w:after="0"/>
              <w:rPr>
                <w:sz w:val="20"/>
                <w:szCs w:val="20"/>
                <w:color w:val="auto"/>
              </w:rPr>
            </w:pPr>
          </w:p>
        </w:tc>
        <w:tc>
          <w:tcPr>
            <w:tcW w:w="1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80" w:type="dxa"/>
            <w:vAlign w:val="bottom"/>
          </w:tcPr>
          <w:p>
            <w:pPr>
              <w:spacing w:after="0"/>
              <w:rPr>
                <w:sz w:val="20"/>
                <w:szCs w:val="20"/>
                <w:color w:val="auto"/>
              </w:rPr>
            </w:pPr>
            <w:r>
              <w:rPr>
                <w:rFonts w:ascii="Arial" w:cs="Arial" w:eastAsia="Arial" w:hAnsi="Arial"/>
                <w:sz w:val="18"/>
                <w:szCs w:val="18"/>
                <w:color w:val="auto"/>
              </w:rPr>
              <w:t>*  Includes purchases of property and equipment</w:t>
            </w:r>
          </w:p>
        </w:tc>
        <w:tc>
          <w:tcPr>
            <w:tcW w:w="1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Operating Results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We derive our revenue from sales of our products and subscription and support services. We recognize our revenue in accordance with the guidance in ASC 985-605 and all related interpretations</w:t>
      </w:r>
      <w:r>
        <w:rPr>
          <w:rFonts w:ascii="Arial" w:cs="Arial" w:eastAsia="Arial" w:hAnsi="Arial"/>
          <w:sz w:val="18"/>
          <w:szCs w:val="18"/>
          <w:i w:val="1"/>
          <w:iCs w:val="1"/>
          <w:color w:val="auto"/>
        </w:rPr>
        <w:t>,</w:t>
      </w:r>
      <w:r>
        <w:rPr>
          <w:rFonts w:ascii="Arial" w:cs="Arial" w:eastAsia="Arial" w:hAnsi="Arial"/>
          <w:sz w:val="18"/>
          <w:szCs w:val="18"/>
          <w:color w:val="auto"/>
        </w:rPr>
        <w:t xml:space="preserve"> which is discussed in further detail in Footnote 1 “Summary of Significant Accounting Policies - Revenue Recognition.” Revenue is recognized when persuasive evidence of an arrangement exists, delivery has occurred, the price is fixed or determinable and collectability is probable.</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total revenue is comprised of the following:</w:t>
      </w:r>
    </w:p>
    <w:p>
      <w:pPr>
        <w:spacing w:after="0" w:line="225" w:lineRule="exact"/>
        <w:rPr>
          <w:sz w:val="20"/>
          <w:szCs w:val="20"/>
          <w:color w:val="auto"/>
        </w:rPr>
      </w:pPr>
    </w:p>
    <w:p>
      <w:pPr>
        <w:ind w:left="820" w:hanging="326"/>
        <w:spacing w:after="0" w:line="271" w:lineRule="auto"/>
        <w:tabs>
          <w:tab w:leader="none" w:pos="82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Product revenue</w:t>
      </w:r>
      <w:r>
        <w:rPr>
          <w:rFonts w:ascii="Arial" w:cs="Arial" w:eastAsia="Arial" w:hAnsi="Arial"/>
          <w:sz w:val="17"/>
          <w:szCs w:val="17"/>
          <w:color w:val="auto"/>
        </w:rPr>
        <w:t>. Product revenue is generated from sales of our appliances and software. The substantial majority of our product revenue has been</w:t>
      </w:r>
      <w:r>
        <w:rPr>
          <w:rFonts w:ascii="Arial" w:cs="Arial" w:eastAsia="Arial" w:hAnsi="Arial"/>
          <w:sz w:val="17"/>
          <w:szCs w:val="17"/>
          <w:i w:val="1"/>
          <w:iCs w:val="1"/>
          <w:color w:val="auto"/>
        </w:rPr>
        <w:t xml:space="preserve"> </w:t>
      </w:r>
      <w:r>
        <w:rPr>
          <w:rFonts w:ascii="Arial" w:cs="Arial" w:eastAsia="Arial" w:hAnsi="Arial"/>
          <w:sz w:val="17"/>
          <w:szCs w:val="17"/>
          <w:color w:val="auto"/>
        </w:rPr>
        <w:t>generated by our FortiGate line of appliances, and we do not expect this to change in the foreseeable future. Product revenue also includes revenue derived from sales of FortiManager, FortiAnalyzer, FortiSwitch, FortiMail, FortiDB, FortiWeb, FortiAP, FortiScan, FortiCarrier, and FortiBridge appliances, and our FortiClient and virtual domain, or VDOM, software. We generally recognize revenue for products sold to distributors through the “sell-in” method upon shipment to the distributor, and for “sell-through” distributors, upon sale to their end-customer. As a percentage of total revenue, we expect our product revenue may vary from quarter-to-quarter based on seasonal and cyclical factors, but generally may remain at comparable levels or decline modestly over time, as services revenue becomes a larger portion of our business as our customers renew existing services contracts and we expand our customer base.</w:t>
      </w:r>
    </w:p>
    <w:p>
      <w:pPr>
        <w:spacing w:after="0" w:line="178" w:lineRule="exact"/>
        <w:rPr>
          <w:rFonts w:ascii="Arial" w:cs="Arial" w:eastAsia="Arial" w:hAnsi="Arial"/>
          <w:sz w:val="17"/>
          <w:szCs w:val="17"/>
          <w:color w:val="auto"/>
        </w:rPr>
      </w:pPr>
    </w:p>
    <w:p>
      <w:pPr>
        <w:ind w:left="820" w:hanging="326"/>
        <w:spacing w:after="0" w:line="271" w:lineRule="auto"/>
        <w:tabs>
          <w:tab w:leader="none" w:pos="82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Services revenue</w:t>
      </w:r>
      <w:r>
        <w:rPr>
          <w:rFonts w:ascii="Arial" w:cs="Arial" w:eastAsia="Arial" w:hAnsi="Arial"/>
          <w:sz w:val="17"/>
          <w:szCs w:val="17"/>
          <w:color w:val="auto"/>
        </w:rPr>
        <w:t>. Services revenue is generated primarily from FortiCare technical support services for software updates, maintenance releases</w:t>
      </w:r>
      <w:r>
        <w:rPr>
          <w:rFonts w:ascii="Arial" w:cs="Arial" w:eastAsia="Arial" w:hAnsi="Arial"/>
          <w:sz w:val="17"/>
          <w:szCs w:val="17"/>
          <w:i w:val="1"/>
          <w:iCs w:val="1"/>
          <w:color w:val="auto"/>
        </w:rPr>
        <w:t xml:space="preserve"> </w:t>
      </w:r>
      <w:r>
        <w:rPr>
          <w:rFonts w:ascii="Arial" w:cs="Arial" w:eastAsia="Arial" w:hAnsi="Arial"/>
          <w:sz w:val="17"/>
          <w:szCs w:val="17"/>
          <w:color w:val="auto"/>
        </w:rPr>
        <w:t>and patches, Internet access to technical content, telephone and Internet access to technical support personnel and hardware support, and FortiGuard security subscription services related to antivirus, intrusion prevention, Web filtering and antispam updates. We recognize revenue from subscription and support services over the service performance period. Our typical contractual support and subscription term is one year from the date of registration, although, it could be longer as we are experiencing growth in the sales of multi-year support and subscription contracts. We also generate a small portion of our revenue from professional services and training services, and we recognize this revenue as service is provided. As a percentage of total revenue, we expect our services revenue to remain at comparable levels or increase as our customers renew existing service contracts, as</w:t>
      </w:r>
    </w:p>
    <w:p>
      <w:pPr>
        <w:sectPr>
          <w:pgSz w:w="11900" w:h="16838" w:orient="portrait"/>
          <w:cols w:equalWidth="0" w:num="1">
            <w:col w:w="11420"/>
          </w:cols>
          <w:pgMar w:left="240" w:top="125" w:right="239" w:bottom="1440" w:gutter="0" w:footer="0" w:header="0"/>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5"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our services revenue growth rate depends significantly on our billings growth rate, and the growth of our customer base.</w:t>
      </w:r>
    </w:p>
    <w:p>
      <w:pPr>
        <w:spacing w:after="0" w:line="239" w:lineRule="exact"/>
        <w:rPr>
          <w:sz w:val="20"/>
          <w:szCs w:val="20"/>
          <w:color w:val="auto"/>
        </w:rPr>
      </w:pPr>
    </w:p>
    <w:p>
      <w:pPr>
        <w:ind w:left="820" w:right="20" w:hanging="326"/>
        <w:spacing w:after="0" w:line="273" w:lineRule="auto"/>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Ratable product and services revenue</w:t>
      </w:r>
      <w:r>
        <w:rPr>
          <w:rFonts w:ascii="Arial" w:cs="Arial" w:eastAsia="Arial" w:hAnsi="Arial"/>
          <w:sz w:val="17"/>
          <w:szCs w:val="17"/>
          <w:color w:val="auto"/>
        </w:rPr>
        <w:t>. Ratable product and services revenue is generated from sales of our products and services in cases where</w:t>
      </w:r>
      <w:r>
        <w:rPr>
          <w:rFonts w:ascii="Arial" w:cs="Arial" w:eastAsia="Arial" w:hAnsi="Arial"/>
          <w:sz w:val="17"/>
          <w:szCs w:val="17"/>
          <w:i w:val="1"/>
          <w:iCs w:val="1"/>
          <w:color w:val="auto"/>
        </w:rPr>
        <w:t xml:space="preserve"> </w:t>
      </w:r>
      <w:r>
        <w:rPr>
          <w:rFonts w:ascii="Arial" w:cs="Arial" w:eastAsia="Arial" w:hAnsi="Arial"/>
          <w:sz w:val="17"/>
          <w:szCs w:val="17"/>
          <w:color w:val="auto"/>
        </w:rPr>
        <w:t>the fair value of the services being provided cannot be separated from the value of the entire sale. In these cases, the value of the entire sale is deferred and recognized ratably over the service performance period. See Footnote 1 “Summary of Significant Accounting Policies - Revenue Recognition” for more details. In the first quarters of 2011 and 2010, ratable product and service revenue represented approximately 4.7% to 5.9% of total revenue, respectively. Over time we expect this category to continue to decline due to the new revenue recognition rules, which allow us to use BESP in our allocation of arrangement consideration when we do not have VSOE.</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Cost of revenue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total cost of revenue is comprised of the following:</w:t>
      </w:r>
    </w:p>
    <w:p>
      <w:pPr>
        <w:spacing w:after="0" w:line="225" w:lineRule="exact"/>
        <w:rPr>
          <w:sz w:val="20"/>
          <w:szCs w:val="20"/>
          <w:color w:val="auto"/>
        </w:rPr>
      </w:pPr>
    </w:p>
    <w:p>
      <w:pPr>
        <w:ind w:left="820" w:right="140" w:hanging="326"/>
        <w:spacing w:after="0" w:line="272" w:lineRule="auto"/>
        <w:tabs>
          <w:tab w:leader="none" w:pos="82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Cost of product revenue. </w:t>
      </w:r>
      <w:r>
        <w:rPr>
          <w:rFonts w:ascii="Arial" w:cs="Arial" w:eastAsia="Arial" w:hAnsi="Arial"/>
          <w:sz w:val="17"/>
          <w:szCs w:val="17"/>
          <w:color w:val="auto"/>
        </w:rPr>
        <w:t>A substantial majority of the cost of product revenue consists of third-party manufacturing costs. Our cost of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also includes product testing costs, write-offs for excess and obsolete inventory, royalty payments, amortization and any impairment of applicable acquired intangible assets, warranty costs, shipping and allocated facilities costs, stock-based compensation costs, and personnel costs associated with logistics and quality control. Personnel costs include cash-based personnel costs such as salaries, benefits and bonuses. Royalties reflect amounts related to Trend Micro since 2006, which Trend Micro claims are owed through 2015, as discussed in “Item 1 - Legal Proceedings.” For fiscal 2009, 2010 and the first quarter of 2011, this royalty represented approximately one percent of total revenue, and we do not expect this percentage to increase substantially in the foreseeable future.</w:t>
      </w:r>
    </w:p>
    <w:p>
      <w:pPr>
        <w:spacing w:after="0" w:line="177" w:lineRule="exact"/>
        <w:rPr>
          <w:rFonts w:ascii="Arial" w:cs="Arial" w:eastAsia="Arial" w:hAnsi="Arial"/>
          <w:sz w:val="17"/>
          <w:szCs w:val="17"/>
          <w:color w:val="auto"/>
        </w:rPr>
      </w:pPr>
    </w:p>
    <w:p>
      <w:pPr>
        <w:ind w:left="820" w:hanging="326"/>
        <w:spacing w:after="0" w:line="259"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Cost of services revenue. </w:t>
      </w:r>
      <w:r>
        <w:rPr>
          <w:rFonts w:ascii="Arial" w:cs="Arial" w:eastAsia="Arial" w:hAnsi="Arial"/>
          <w:sz w:val="18"/>
          <w:szCs w:val="18"/>
          <w:color w:val="auto"/>
        </w:rPr>
        <w:t>Cost of services revenue is primarily comprised of cash-based personnel costs associated with our FortiGuard Labs team</w:t>
      </w:r>
      <w:r>
        <w:rPr>
          <w:rFonts w:ascii="Arial" w:cs="Arial" w:eastAsia="Arial" w:hAnsi="Arial"/>
          <w:sz w:val="18"/>
          <w:szCs w:val="18"/>
          <w:i w:val="1"/>
          <w:iCs w:val="1"/>
          <w:color w:val="auto"/>
        </w:rPr>
        <w:t xml:space="preserve"> </w:t>
      </w:r>
      <w:r>
        <w:rPr>
          <w:rFonts w:ascii="Arial" w:cs="Arial" w:eastAsia="Arial" w:hAnsi="Arial"/>
          <w:sz w:val="18"/>
          <w:szCs w:val="18"/>
          <w:color w:val="auto"/>
        </w:rPr>
        <w:t>and our technical support, professional services and training teams, as well as depreciation, supplies, data center, data communications, facility-related costs and stock-based compensation costs. We expect our cost of services revenue will increase as we continue to invest in subscription and support services to meet the needs of our growing customer base.</w:t>
      </w:r>
    </w:p>
    <w:p>
      <w:pPr>
        <w:spacing w:after="0" w:line="186" w:lineRule="exact"/>
        <w:rPr>
          <w:rFonts w:ascii="Arial" w:cs="Arial" w:eastAsia="Arial" w:hAnsi="Arial"/>
          <w:sz w:val="18"/>
          <w:szCs w:val="18"/>
          <w:color w:val="auto"/>
        </w:rPr>
      </w:pPr>
    </w:p>
    <w:p>
      <w:pPr>
        <w:ind w:left="820" w:right="240" w:hanging="326"/>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Cost of ratable product and services revenue</w:t>
      </w:r>
      <w:r>
        <w:rPr>
          <w:rFonts w:ascii="Arial" w:cs="Arial" w:eastAsia="Arial" w:hAnsi="Arial"/>
          <w:sz w:val="18"/>
          <w:szCs w:val="18"/>
          <w:color w:val="auto"/>
        </w:rPr>
        <w:t>. Cost of ratable product and services revenue is comprised primarily of deferred product costs and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services-related costs.</w:t>
      </w:r>
    </w:p>
    <w:p>
      <w:pPr>
        <w:spacing w:after="0" w:line="170" w:lineRule="exact"/>
        <w:rPr>
          <w:sz w:val="20"/>
          <w:szCs w:val="20"/>
          <w:color w:val="auto"/>
        </w:rPr>
      </w:pPr>
    </w:p>
    <w:p>
      <w:pPr>
        <w:jc w:val="both"/>
        <w:ind w:right="100" w:firstLine="486"/>
        <w:spacing w:after="0" w:line="259"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Gross profit as a percentage of revenue, or gross margin, has been and will continue to be affected by a variety of factors,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sales price of our products, any excess inventory write-offs, manufacturing costs, the mix of products sold and the mix of revenue between products and services. We believe our overall gross margin for the near term will remain comparable (or decrease slightly) to that achieved through the first quarter of 2011.</w:t>
      </w:r>
    </w:p>
    <w:p>
      <w:pPr>
        <w:spacing w:after="0" w:line="187"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Services revenue has historically increased as a percentage of total revenue since inception, and this trend has had a positive effect on our total gross margin given the higher services gross margins compared to product gross margins. We have generally maintained consistent services gross margins in 2010 and the first quarter of 2011.</w:t>
      </w:r>
    </w:p>
    <w:p>
      <w:pPr>
        <w:spacing w:after="0" w:line="181" w:lineRule="exact"/>
        <w:rPr>
          <w:sz w:val="20"/>
          <w:szCs w:val="20"/>
          <w:color w:val="auto"/>
        </w:rPr>
      </w:pPr>
    </w:p>
    <w:p>
      <w:pPr>
        <w:ind w:right="200" w:firstLine="486"/>
        <w:spacing w:after="0" w:line="279" w:lineRule="auto"/>
        <w:rPr>
          <w:sz w:val="20"/>
          <w:szCs w:val="20"/>
          <w:color w:val="auto"/>
        </w:rPr>
      </w:pPr>
      <w:r>
        <w:rPr>
          <w:rFonts w:ascii="Arial" w:cs="Arial" w:eastAsia="Arial" w:hAnsi="Arial"/>
          <w:sz w:val="17"/>
          <w:szCs w:val="17"/>
          <w:i w:val="1"/>
          <w:iCs w:val="1"/>
          <w:color w:val="auto"/>
        </w:rPr>
        <w:t>Operating expenses</w:t>
      </w:r>
      <w:r>
        <w:rPr>
          <w:rFonts w:ascii="Arial" w:cs="Arial" w:eastAsia="Arial" w:hAnsi="Arial"/>
          <w:sz w:val="17"/>
          <w:szCs w:val="17"/>
          <w:color w:val="auto"/>
        </w:rPr>
        <w:t>. Our operating expenses consist of research and development, sales and marketing and general and administrative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Personnel costs are the most significant component of operating expenses and consist of cash-based personnel costs such as salaries, benefits, bonuses and, with regard to the sales and marketing expense, sales commissions. They also include non-cash charges, specifically, stock-based compensation. We expect personnel costs to continue to increase in absolute dollars as we hire new employees.</w:t>
      </w:r>
    </w:p>
    <w:p>
      <w:pPr>
        <w:spacing w:after="0" w:line="171" w:lineRule="exact"/>
        <w:rPr>
          <w:sz w:val="20"/>
          <w:szCs w:val="20"/>
          <w:color w:val="auto"/>
        </w:rPr>
      </w:pPr>
    </w:p>
    <w:p>
      <w:pPr>
        <w:ind w:left="820" w:hanging="326"/>
        <w:spacing w:after="0" w:line="255"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 consists primarily of cash-based personnel costs. Additional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expenses include ASIC and system prototypes and certification-related expenses, depreciation of capital equipment, facility-related expenses and stock-based compensation expenses. The majority of our research and development is focused on both software development and the ongoing development of our hardware platform. We record all research and development expenses as incurred, except for capital equipment which is depreciated over time. Our development teams are primarily located in Canada, China, and California. We expect our spending for research and development to increase in absolute dollars but intend for research and development expenses to remain comparable to recent periods as a percentage of total revenue.</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820" w:right="60" w:hanging="326"/>
        <w:spacing w:after="0" w:line="273" w:lineRule="auto"/>
        <w:tabs>
          <w:tab w:leader="none" w:pos="82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Sales and marketing</w:t>
      </w:r>
      <w:r>
        <w:rPr>
          <w:rFonts w:ascii="Arial" w:cs="Arial" w:eastAsia="Arial" w:hAnsi="Arial"/>
          <w:sz w:val="17"/>
          <w:szCs w:val="17"/>
          <w:color w:val="auto"/>
        </w:rPr>
        <w:t>. Sales and marketing expense is the largest component of our operating expenses and primarily consists of cash-based</w:t>
      </w:r>
      <w:r>
        <w:rPr>
          <w:rFonts w:ascii="Arial" w:cs="Arial" w:eastAsia="Arial" w:hAnsi="Arial"/>
          <w:sz w:val="17"/>
          <w:szCs w:val="17"/>
          <w:i w:val="1"/>
          <w:iCs w:val="1"/>
          <w:color w:val="auto"/>
        </w:rPr>
        <w:t xml:space="preserve"> </w:t>
      </w:r>
      <w:r>
        <w:rPr>
          <w:rFonts w:ascii="Arial" w:cs="Arial" w:eastAsia="Arial" w:hAnsi="Arial"/>
          <w:sz w:val="17"/>
          <w:szCs w:val="17"/>
          <w:color w:val="auto"/>
        </w:rPr>
        <w:t>personnel costs. Additional sales and marketing expenses include stock-based compensation, promotional and other marketing expenses, travel, depreciation of capital equipment and facility-related expenses. We intend to hire additional personnel focused on sales and marketing and expand our sales and marketing efforts worldwide in order to increase our presence in new geographic markets and enterprise verticals, add new customers and increase penetration within our existing customer base. Accordingly, we expect sales and marketing expenses to increase in absolute dollars and to continue to be our largest operating expense.</w:t>
      </w:r>
    </w:p>
    <w:p>
      <w:pPr>
        <w:spacing w:after="0" w:line="178" w:lineRule="exact"/>
        <w:rPr>
          <w:rFonts w:ascii="Arial" w:cs="Arial" w:eastAsia="Arial" w:hAnsi="Arial"/>
          <w:sz w:val="17"/>
          <w:szCs w:val="17"/>
          <w:color w:val="auto"/>
        </w:rPr>
      </w:pPr>
    </w:p>
    <w:p>
      <w:pPr>
        <w:ind w:left="820" w:hanging="326"/>
        <w:spacing w:after="0" w:line="272" w:lineRule="auto"/>
        <w:tabs>
          <w:tab w:leader="none" w:pos="82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General and administrative expense consists of cash-based personnel costs as well as professional fees, stock-based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depreciation of capital equipment and software, and facility-related expenses. General and administrative personnel include our executive, finance, human resources, information technology and legal organizations. Our professional fees principally consist of outside legal, auditing, accounting, information technology and other consulting costs. We expect that general and administrative expense will increase in absolute dollars as we hire additional personnel, make improvements to our information technology infrastructure, defend our intellectual property, and incur significant costs for the compliance requirements of operating as a public company, including the costs associated with SEC reporting, Sarbanes-Oxley Act compliance and insurance.</w:t>
      </w:r>
    </w:p>
    <w:p>
      <w:pPr>
        <w:spacing w:after="0" w:line="178"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consists of income earned on our cash, cash equivalents and investments. We have historically invested our cash in</w:t>
      </w:r>
      <w:r>
        <w:rPr>
          <w:rFonts w:ascii="Arial" w:cs="Arial" w:eastAsia="Arial" w:hAnsi="Arial"/>
          <w:sz w:val="18"/>
          <w:szCs w:val="18"/>
          <w:i w:val="1"/>
          <w:iCs w:val="1"/>
          <w:color w:val="auto"/>
        </w:rPr>
        <w:t xml:space="preserve"> </w:t>
      </w:r>
      <w:r>
        <w:rPr>
          <w:rFonts w:ascii="Arial" w:cs="Arial" w:eastAsia="Arial" w:hAnsi="Arial"/>
          <w:sz w:val="18"/>
          <w:szCs w:val="18"/>
          <w:color w:val="auto"/>
        </w:rPr>
        <w:t>money market funds, commercial paper, corporate debt securities and U.S. government debt securities.</w:t>
      </w:r>
    </w:p>
    <w:p>
      <w:pPr>
        <w:spacing w:after="0" w:line="170" w:lineRule="exact"/>
        <w:rPr>
          <w:sz w:val="20"/>
          <w:szCs w:val="20"/>
          <w:color w:val="auto"/>
        </w:rPr>
      </w:pPr>
    </w:p>
    <w:p>
      <w:pPr>
        <w:jc w:val="center"/>
        <w:ind w:right="140"/>
        <w:spacing w:after="0"/>
        <w:rPr>
          <w:sz w:val="20"/>
          <w:szCs w:val="20"/>
          <w:color w:val="auto"/>
        </w:rPr>
      </w:pPr>
      <w:r>
        <w:rPr>
          <w:rFonts w:ascii="Arial" w:cs="Arial" w:eastAsia="Arial" w:hAnsi="Arial"/>
          <w:sz w:val="17"/>
          <w:szCs w:val="17"/>
          <w:i w:val="1"/>
          <w:iCs w:val="1"/>
          <w:color w:val="auto"/>
        </w:rPr>
        <w:t>Other income (expense), net</w:t>
      </w:r>
      <w:r>
        <w:rPr>
          <w:rFonts w:ascii="Arial" w:cs="Arial" w:eastAsia="Arial" w:hAnsi="Arial"/>
          <w:sz w:val="17"/>
          <w:szCs w:val="17"/>
          <w:color w:val="auto"/>
        </w:rPr>
        <w:t>. Other income (expense), net consists primarily of foreign exchange and related hedging gains and losses. Foreign</w:t>
      </w:r>
    </w:p>
    <w:p>
      <w:pPr>
        <w:spacing w:after="0" w:line="35" w:lineRule="exact"/>
        <w:rPr>
          <w:sz w:val="20"/>
          <w:szCs w:val="20"/>
          <w:color w:val="auto"/>
        </w:rPr>
      </w:pPr>
    </w:p>
    <w:p>
      <w:pPr>
        <w:jc w:val="center"/>
        <w:ind w:right="140"/>
        <w:spacing w:after="0"/>
        <w:rPr>
          <w:sz w:val="20"/>
          <w:szCs w:val="20"/>
          <w:color w:val="auto"/>
        </w:rPr>
      </w:pPr>
      <w:r>
        <w:rPr>
          <w:rFonts w:ascii="Arial" w:cs="Arial" w:eastAsia="Arial" w:hAnsi="Arial"/>
          <w:sz w:val="15"/>
          <w:szCs w:val="15"/>
          <w:color w:val="auto"/>
        </w:rPr>
        <w:t>exchange gains and losses relate to foreign currency exchange re-measurement. The hedging gains and losses are related to our settled balance sheet hedges.</w:t>
      </w:r>
    </w:p>
    <w:p>
      <w:pPr>
        <w:spacing w:after="0" w:line="245" w:lineRule="exact"/>
        <w:rPr>
          <w:sz w:val="20"/>
          <w:szCs w:val="20"/>
          <w:color w:val="auto"/>
        </w:rPr>
      </w:pPr>
    </w:p>
    <w:p>
      <w:pPr>
        <w:ind w:right="200" w:firstLine="486"/>
        <w:spacing w:after="0" w:line="257"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Our income tax provision is based on our worldwide estimated annualized effective tax rate. We are subject to tax in the</w:t>
      </w:r>
      <w:r>
        <w:rPr>
          <w:rFonts w:ascii="Arial" w:cs="Arial" w:eastAsia="Arial" w:hAnsi="Arial"/>
          <w:sz w:val="18"/>
          <w:szCs w:val="18"/>
          <w:i w:val="1"/>
          <w:iCs w:val="1"/>
          <w:color w:val="auto"/>
        </w:rPr>
        <w:t xml:space="preserve"> </w:t>
      </w:r>
      <w:r>
        <w:rPr>
          <w:rFonts w:ascii="Arial" w:cs="Arial" w:eastAsia="Arial" w:hAnsi="Arial"/>
          <w:sz w:val="18"/>
          <w:szCs w:val="18"/>
          <w:color w:val="auto"/>
        </w:rPr>
        <w:t>United States as well as other tax jurisdictions or countries in which we conduct business. Earnings from our non-U.S. activities are subject to local country income tax and may be subject to current U.S. income tax. Our effective tax rates differ from the statutory rate primarily due to foreign income subject to different tax rates than the U.S., research and development tax credits (when applicable), withholding tax, nondeductible compensation and adjustments related to our intercompany transfer pricing.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ind w:right="180" w:firstLine="486"/>
        <w:spacing w:after="0" w:line="293"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financial statements, which have been prepared in accordance with U.S. GAAP. These principles require us to make estimates and judgments that affect the reported amounts of assets, liabilities, revenue and expenses, cash flow and related disclosure of contingent assets and liabilities. Our estimates include those related to revenue recognition, stock-based compensation, valuation of inventory, warranty liabilities and accounting for income taxes. We base our estimates on historical experience and on various other assumptions that we believe to be reasonable under the circumstances. Actual results may differ from these estimates. To the extent that there are material differences between these estimates and our actual results, our future financial statements will be affected.</w:t>
      </w:r>
    </w:p>
    <w:p>
      <w:pPr>
        <w:spacing w:after="0" w:line="165" w:lineRule="exact"/>
        <w:rPr>
          <w:sz w:val="20"/>
          <w:szCs w:val="20"/>
          <w:color w:val="auto"/>
        </w:rPr>
      </w:pPr>
    </w:p>
    <w:p>
      <w:pPr>
        <w:ind w:right="20" w:firstLine="486"/>
        <w:spacing w:after="0" w:line="297" w:lineRule="auto"/>
        <w:rPr>
          <w:sz w:val="20"/>
          <w:szCs w:val="20"/>
          <w:color w:val="auto"/>
        </w:rPr>
      </w:pPr>
      <w:r>
        <w:rPr>
          <w:rFonts w:ascii="Arial" w:cs="Arial" w:eastAsia="Arial" w:hAnsi="Arial"/>
          <w:sz w:val="16"/>
          <w:szCs w:val="16"/>
          <w:color w:val="auto"/>
        </w:rPr>
        <w:t>We believe the accounting policies and estimates discussed under Item 7, “Management's Discussion and Analysis of Financial Condition and Results of Operations” in our Annual Report on Form 10-K for the fiscal year ended December 31, 2010, reflect our more significant judgments and estimates used in the preparation of the consolidated financial statements. Effective January 1, 2011, we prospectively adopted the new accounting standards related to software revenue recognition for applicable transactions originating or materially modified after December 31, 2010, which is discussed in further detail in Footnote 1 to our Condensed Consolidated Financial Statements, “Summary of Significant Accounting Policies - Revenue Recognition.”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2011 and March 31,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gridSpan w:val="4"/>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2760" w:type="dxa"/>
            <w:vAlign w:val="bottom"/>
            <w:tcBorders>
              <w:bottom w:val="single" w:sz="8" w:color="auto"/>
            </w:tcBorders>
            <w:gridSpan w:val="4"/>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7"/>
        </w:trPr>
        <w:tc>
          <w:tcPr>
            <w:tcW w:w="3440" w:type="dxa"/>
            <w:vAlign w:val="bottom"/>
          </w:tcPr>
          <w:p>
            <w:pPr>
              <w:spacing w:after="0"/>
              <w:rPr>
                <w:sz w:val="18"/>
                <w:szCs w:val="18"/>
                <w:color w:val="auto"/>
              </w:rPr>
            </w:pPr>
          </w:p>
        </w:tc>
        <w:tc>
          <w:tcPr>
            <w:tcW w:w="2760" w:type="dxa"/>
            <w:vAlign w:val="bottom"/>
            <w:gridSpan w:val="4"/>
          </w:tcPr>
          <w:p>
            <w:pPr>
              <w:ind w:left="740"/>
              <w:spacing w:after="0"/>
              <w:rPr>
                <w:sz w:val="20"/>
                <w:szCs w:val="20"/>
                <w:color w:val="auto"/>
              </w:rPr>
            </w:pPr>
            <w:r>
              <w:rPr>
                <w:rFonts w:ascii="Arial" w:cs="Arial" w:eastAsia="Arial" w:hAnsi="Arial"/>
                <w:sz w:val="16"/>
                <w:szCs w:val="16"/>
                <w:b w:val="1"/>
                <w:bCs w:val="1"/>
                <w:color w:val="auto"/>
              </w:rPr>
              <w:t>March 31, 2011</w:t>
            </w:r>
          </w:p>
        </w:tc>
        <w:tc>
          <w:tcPr>
            <w:tcW w:w="2740" w:type="dxa"/>
            <w:vAlign w:val="bottom"/>
            <w:gridSpan w:val="4"/>
          </w:tcPr>
          <w:p>
            <w:pPr>
              <w:ind w:left="740"/>
              <w:spacing w:after="0"/>
              <w:rPr>
                <w:sz w:val="20"/>
                <w:szCs w:val="20"/>
                <w:color w:val="auto"/>
              </w:rPr>
            </w:pPr>
            <w:r>
              <w:rPr>
                <w:rFonts w:ascii="Arial" w:cs="Arial" w:eastAsia="Arial" w:hAnsi="Arial"/>
                <w:sz w:val="16"/>
                <w:szCs w:val="16"/>
                <w:b w:val="1"/>
                <w:bCs w:val="1"/>
                <w:color w:val="auto"/>
              </w:rPr>
              <w:t>March 31, 2010</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9"/>
        </w:trPr>
        <w:tc>
          <w:tcPr>
            <w:tcW w:w="3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 of</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 of</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440" w:type="dxa"/>
            <w:vAlign w:val="bottom"/>
          </w:tcPr>
          <w:p>
            <w:pPr>
              <w:spacing w:after="0"/>
              <w:rPr>
                <w:sz w:val="18"/>
                <w:szCs w:val="18"/>
                <w:color w:val="auto"/>
              </w:rPr>
            </w:pPr>
          </w:p>
        </w:tc>
        <w:tc>
          <w:tcPr>
            <w:tcW w:w="1380" w:type="dxa"/>
            <w:vAlign w:val="bottom"/>
            <w:gridSpan w:val="2"/>
          </w:tcPr>
          <w:p>
            <w:pPr>
              <w:ind w:left="300"/>
              <w:spacing w:after="0"/>
              <w:rPr>
                <w:sz w:val="20"/>
                <w:szCs w:val="20"/>
                <w:color w:val="auto"/>
              </w:rPr>
            </w:pPr>
            <w:r>
              <w:rPr>
                <w:rFonts w:ascii="Arial" w:cs="Arial" w:eastAsia="Arial" w:hAnsi="Arial"/>
                <w:sz w:val="16"/>
                <w:szCs w:val="16"/>
                <w:b w:val="1"/>
                <w:bCs w:val="1"/>
                <w:color w:val="auto"/>
              </w:rPr>
              <w:t>Amount</w:t>
            </w: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Revenue</w:t>
            </w:r>
          </w:p>
        </w:tc>
        <w:tc>
          <w:tcPr>
            <w:tcW w:w="1380" w:type="dxa"/>
            <w:vAlign w:val="bottom"/>
            <w:gridSpan w:val="2"/>
          </w:tcPr>
          <w:p>
            <w:pPr>
              <w:ind w:left="300"/>
              <w:spacing w:after="0"/>
              <w:rPr>
                <w:sz w:val="20"/>
                <w:szCs w:val="20"/>
                <w:color w:val="auto"/>
              </w:rPr>
            </w:pPr>
            <w:r>
              <w:rPr>
                <w:rFonts w:ascii="Arial" w:cs="Arial" w:eastAsia="Arial" w:hAnsi="Arial"/>
                <w:sz w:val="16"/>
                <w:szCs w:val="16"/>
                <w:b w:val="1"/>
                <w:bCs w:val="1"/>
                <w:color w:val="auto"/>
              </w:rPr>
              <w:t>Amount</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Revenue</w:t>
            </w:r>
          </w:p>
        </w:tc>
        <w:tc>
          <w:tcPr>
            <w:tcW w:w="1120" w:type="dxa"/>
            <w:vAlign w:val="bottom"/>
          </w:tcPr>
          <w:p>
            <w:pPr>
              <w:jc w:val="right"/>
              <w:ind w:right="151"/>
              <w:spacing w:after="0"/>
              <w:rPr>
                <w:sz w:val="20"/>
                <w:szCs w:val="20"/>
                <w:color w:val="auto"/>
              </w:rPr>
            </w:pPr>
            <w:r>
              <w:rPr>
                <w:rFonts w:ascii="Arial" w:cs="Arial" w:eastAsia="Arial" w:hAnsi="Arial"/>
                <w:sz w:val="16"/>
                <w:szCs w:val="16"/>
                <w:b w:val="1"/>
                <w:bCs w:val="1"/>
                <w:color w:val="auto"/>
              </w:rPr>
              <w:t>$ Change</w:t>
            </w:r>
          </w:p>
        </w:tc>
        <w:tc>
          <w:tcPr>
            <w:tcW w:w="1360" w:type="dxa"/>
            <w:vAlign w:val="bottom"/>
          </w:tcPr>
          <w:p>
            <w:pPr>
              <w:jc w:val="right"/>
              <w:ind w:right="111"/>
              <w:spacing w:after="0"/>
              <w:rPr>
                <w:sz w:val="20"/>
                <w:szCs w:val="20"/>
                <w:color w:val="auto"/>
              </w:rPr>
            </w:pPr>
            <w:r>
              <w:rPr>
                <w:rFonts w:ascii="Arial" w:cs="Arial" w:eastAsia="Arial" w:hAnsi="Arial"/>
                <w:sz w:val="16"/>
                <w:szCs w:val="16"/>
                <w:b w:val="1"/>
                <w:bCs w:val="1"/>
                <w:color w:val="auto"/>
              </w:rPr>
              <w:t>% Change</w:t>
            </w:r>
          </w:p>
        </w:tc>
      </w:tr>
      <w:tr>
        <w:trPr>
          <w:trHeight w:val="33"/>
        </w:trPr>
        <w:tc>
          <w:tcPr>
            <w:tcW w:w="34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3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gridSpan w:val="4"/>
          </w:tcPr>
          <w:p>
            <w:pPr>
              <w:ind w:left="540"/>
              <w:spacing w:after="0"/>
              <w:rPr>
                <w:sz w:val="20"/>
                <w:szCs w:val="20"/>
                <w:color w:val="auto"/>
              </w:rPr>
            </w:pPr>
            <w:r>
              <w:rPr>
                <w:rFonts w:ascii="Arial" w:cs="Arial" w:eastAsia="Arial" w:hAnsi="Arial"/>
                <w:sz w:val="16"/>
                <w:szCs w:val="16"/>
                <w:b w:val="1"/>
                <w:bCs w:val="1"/>
                <w:color w:val="auto"/>
              </w:rPr>
              <w:t>($ amounts in 000's)</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Product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40,165</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43.1</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27,110</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38.8</w:t>
            </w: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13,055</w:t>
            </w:r>
          </w:p>
        </w:tc>
        <w:tc>
          <w:tcPr>
            <w:tcW w:w="1360" w:type="dxa"/>
            <w:vAlign w:val="bottom"/>
          </w:tcPr>
          <w:p>
            <w:pPr>
              <w:jc w:val="right"/>
              <w:spacing w:after="0"/>
              <w:rPr>
                <w:sz w:val="20"/>
                <w:szCs w:val="20"/>
                <w:color w:val="auto"/>
              </w:rPr>
            </w:pPr>
            <w:r>
              <w:rPr>
                <w:rFonts w:ascii="Arial" w:cs="Arial" w:eastAsia="Arial" w:hAnsi="Arial"/>
                <w:sz w:val="18"/>
                <w:szCs w:val="18"/>
                <w:color w:val="auto"/>
              </w:rPr>
              <w:t>48.2</w:t>
            </w:r>
          </w:p>
        </w:tc>
      </w:tr>
      <w:tr>
        <w:trPr>
          <w:trHeight w:val="27"/>
        </w:trPr>
        <w:tc>
          <w:tcPr>
            <w:tcW w:w="3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Services</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48,686</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38,625</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10,061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Ratable product and services</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4,415</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4,060</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355</w:t>
            </w:r>
          </w:p>
        </w:tc>
        <w:tc>
          <w:tcPr>
            <w:tcW w:w="13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
        </w:trPr>
        <w:tc>
          <w:tcPr>
            <w:tcW w:w="3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93,266</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69,795</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23,471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r>
      <w:tr>
        <w:trPr>
          <w:trHeight w:val="20"/>
        </w:trPr>
        <w:tc>
          <w:tcPr>
            <w:tcW w:w="3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63"/>
        </w:trPr>
        <w:tc>
          <w:tcPr>
            <w:tcW w:w="3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by Geography:</w:t>
            </w: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Americas</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35,645</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38.2</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23,817</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34.1</w:t>
            </w: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11,828</w:t>
            </w:r>
          </w:p>
        </w:tc>
        <w:tc>
          <w:tcPr>
            <w:tcW w:w="1360" w:type="dxa"/>
            <w:vAlign w:val="bottom"/>
          </w:tcPr>
          <w:p>
            <w:pPr>
              <w:jc w:val="right"/>
              <w:spacing w:after="0"/>
              <w:rPr>
                <w:sz w:val="20"/>
                <w:szCs w:val="20"/>
                <w:color w:val="auto"/>
              </w:rPr>
            </w:pPr>
            <w:r>
              <w:rPr>
                <w:rFonts w:ascii="Arial" w:cs="Arial" w:eastAsia="Arial" w:hAnsi="Arial"/>
                <w:sz w:val="18"/>
                <w:szCs w:val="18"/>
                <w:color w:val="auto"/>
              </w:rPr>
              <w:t>49.7</w:t>
            </w:r>
          </w:p>
        </w:tc>
      </w:tr>
      <w:tr>
        <w:trPr>
          <w:trHeight w:val="27"/>
        </w:trPr>
        <w:tc>
          <w:tcPr>
            <w:tcW w:w="3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EMEA</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33,641</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27,074</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6,567</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APAC</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23,980</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25.7</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18,904</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27.1</w:t>
            </w: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5,076</w:t>
            </w:r>
          </w:p>
        </w:tc>
        <w:tc>
          <w:tcPr>
            <w:tcW w:w="136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7"/>
        </w:trPr>
        <w:tc>
          <w:tcPr>
            <w:tcW w:w="3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93,266</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69,795</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23,471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r>
      <w:tr>
        <w:trPr>
          <w:trHeight w:val="20"/>
        </w:trPr>
        <w:tc>
          <w:tcPr>
            <w:tcW w:w="3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Total revenue increased $23.5 million, or 33.6%, in the first quarter of 2011 compared to the first quarter of 2010. The adoption of the new revenue recognition rules contributed $3.3 million of the increase. The Americas region contributed the largest portion of this growth with increased sales to enterprise and service provider customers, while the APAC and EMEA regions demonstrated solid year-over-year growth as well. Product revenue increased $13.1 million, or 48.2%, compared to the first quarter of 2010. The increase in product revenue was impacted by the $3.3 million increase due to the new revenue recognition rules and a greater mix of our high-end products due to increased sales to enterprise customers, exemplified by a 125% increase in the number of deals over $500,000 in the most recent quarter compared to the comparable prior year quarter. Services revenue increased $10.1 million, or 26.0%, in the first quarter of 2011 compared to the first quarter of 2010 due to recognition of revenue from our growing deferred revenue balance consisting of subscription and support contracts sold to a larger customer base. The growth in ratable product and services revenue was minor and over time, this category of revenue is expected to decline due to the new revenue recognition rules.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3440" w:type="dxa"/>
            <w:vAlign w:val="bottom"/>
            <w:gridSpan w:val="4"/>
          </w:tcPr>
          <w:p>
            <w:pPr>
              <w:ind w:left="880"/>
              <w:spacing w:after="0"/>
              <w:rPr>
                <w:sz w:val="20"/>
                <w:szCs w:val="20"/>
                <w:color w:val="auto"/>
              </w:rPr>
            </w:pPr>
            <w:r>
              <w:rPr>
                <w:rFonts w:ascii="Arial" w:cs="Arial" w:eastAsia="Arial" w:hAnsi="Arial"/>
                <w:sz w:val="16"/>
                <w:szCs w:val="16"/>
                <w:b w:val="1"/>
                <w:bCs w:val="1"/>
                <w:color w:val="auto"/>
              </w:rPr>
              <w:t>Three Months Ended</w:t>
            </w:r>
          </w:p>
        </w:tc>
        <w:tc>
          <w:tcPr>
            <w:tcW w:w="13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3"/>
        </w:trPr>
        <w:tc>
          <w:tcPr>
            <w:tcW w:w="5040" w:type="dxa"/>
            <w:vAlign w:val="bottom"/>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09"/>
        </w:trPr>
        <w:tc>
          <w:tcPr>
            <w:tcW w:w="5040" w:type="dxa"/>
            <w:vAlign w:val="bottom"/>
          </w:tcPr>
          <w:p>
            <w:pPr>
              <w:spacing w:after="0"/>
              <w:rPr>
                <w:sz w:val="18"/>
                <w:szCs w:val="18"/>
                <w:color w:val="auto"/>
              </w:rPr>
            </w:pPr>
          </w:p>
        </w:tc>
        <w:tc>
          <w:tcPr>
            <w:tcW w:w="1720" w:type="dxa"/>
            <w:vAlign w:val="bottom"/>
            <w:gridSpan w:val="2"/>
          </w:tcPr>
          <w:p>
            <w:pPr>
              <w:ind w:left="360"/>
              <w:spacing w:after="0"/>
              <w:rPr>
                <w:sz w:val="20"/>
                <w:szCs w:val="20"/>
                <w:color w:val="auto"/>
              </w:rPr>
            </w:pPr>
            <w:r>
              <w:rPr>
                <w:rFonts w:ascii="Arial" w:cs="Arial" w:eastAsia="Arial" w:hAnsi="Arial"/>
                <w:sz w:val="16"/>
                <w:szCs w:val="16"/>
                <w:b w:val="1"/>
                <w:bCs w:val="1"/>
                <w:color w:val="auto"/>
              </w:rPr>
              <w:t>March 31,</w:t>
            </w:r>
          </w:p>
        </w:tc>
        <w:tc>
          <w:tcPr>
            <w:tcW w:w="1720" w:type="dxa"/>
            <w:vAlign w:val="bottom"/>
            <w:gridSpan w:val="2"/>
          </w:tcPr>
          <w:p>
            <w:pPr>
              <w:ind w:left="380"/>
              <w:spacing w:after="0"/>
              <w:rPr>
                <w:sz w:val="20"/>
                <w:szCs w:val="20"/>
                <w:color w:val="auto"/>
              </w:rPr>
            </w:pPr>
            <w:r>
              <w:rPr>
                <w:rFonts w:ascii="Arial" w:cs="Arial" w:eastAsia="Arial" w:hAnsi="Arial"/>
                <w:sz w:val="16"/>
                <w:szCs w:val="16"/>
                <w:b w:val="1"/>
                <w:bCs w:val="1"/>
                <w:color w:val="auto"/>
              </w:rPr>
              <w:t>March 31,</w:t>
            </w:r>
          </w:p>
        </w:tc>
        <w:tc>
          <w:tcPr>
            <w:tcW w:w="13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0"/>
        </w:trPr>
        <w:tc>
          <w:tcPr>
            <w:tcW w:w="5040" w:type="dxa"/>
            <w:vAlign w:val="bottom"/>
          </w:tcPr>
          <w:p>
            <w:pPr>
              <w:spacing w:after="0"/>
              <w:rPr>
                <w:sz w:val="18"/>
                <w:szCs w:val="18"/>
                <w:color w:val="auto"/>
              </w:rPr>
            </w:pPr>
          </w:p>
        </w:tc>
        <w:tc>
          <w:tcPr>
            <w:tcW w:w="1500" w:type="dxa"/>
            <w:vAlign w:val="bottom"/>
          </w:tcPr>
          <w:p>
            <w:pPr>
              <w:jc w:val="right"/>
              <w:ind w:right="512"/>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15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2010</w:t>
            </w:r>
          </w:p>
        </w:tc>
        <w:tc>
          <w:tcPr>
            <w:tcW w:w="220" w:type="dxa"/>
            <w:vAlign w:val="bottom"/>
          </w:tcPr>
          <w:p>
            <w:pPr>
              <w:spacing w:after="0"/>
              <w:rPr>
                <w:sz w:val="18"/>
                <w:szCs w:val="18"/>
                <w:color w:val="auto"/>
              </w:rPr>
            </w:pPr>
          </w:p>
        </w:tc>
        <w:tc>
          <w:tcPr>
            <w:tcW w:w="1380" w:type="dxa"/>
            <w:vAlign w:val="bottom"/>
          </w:tcPr>
          <w:p>
            <w:pPr>
              <w:jc w:val="right"/>
              <w:ind w:right="271"/>
              <w:spacing w:after="0"/>
              <w:rPr>
                <w:sz w:val="20"/>
                <w:szCs w:val="20"/>
                <w:color w:val="auto"/>
              </w:rPr>
            </w:pPr>
            <w:r>
              <w:rPr>
                <w:rFonts w:ascii="Arial" w:cs="Arial" w:eastAsia="Arial" w:hAnsi="Arial"/>
                <w:sz w:val="16"/>
                <w:szCs w:val="16"/>
                <w:b w:val="1"/>
                <w:bCs w:val="1"/>
                <w:color w:val="auto"/>
              </w:rPr>
              <w:t>$ Change</w:t>
            </w:r>
          </w:p>
        </w:tc>
        <w:tc>
          <w:tcPr>
            <w:tcW w:w="1560" w:type="dxa"/>
            <w:vAlign w:val="bottom"/>
          </w:tcPr>
          <w:p>
            <w:pPr>
              <w:jc w:val="right"/>
              <w:ind w:right="212"/>
              <w:spacing w:after="0"/>
              <w:rPr>
                <w:sz w:val="20"/>
                <w:szCs w:val="20"/>
                <w:color w:val="auto"/>
              </w:rPr>
            </w:pPr>
            <w:r>
              <w:rPr>
                <w:rFonts w:ascii="Arial" w:cs="Arial" w:eastAsia="Arial" w:hAnsi="Arial"/>
                <w:sz w:val="16"/>
                <w:szCs w:val="16"/>
                <w:b w:val="1"/>
                <w:bCs w:val="1"/>
                <w:color w:val="auto"/>
              </w:rPr>
              <w:t>% Change</w:t>
            </w:r>
          </w:p>
        </w:tc>
      </w:tr>
      <w:tr>
        <w:trPr>
          <w:trHeight w:val="33"/>
        </w:trPr>
        <w:tc>
          <w:tcPr>
            <w:tcW w:w="50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7"/>
        </w:trPr>
        <w:tc>
          <w:tcPr>
            <w:tcW w:w="50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00" w:type="dxa"/>
            <w:vAlign w:val="bottom"/>
            <w:gridSpan w:val="3"/>
          </w:tcPr>
          <w:p>
            <w:pPr>
              <w:jc w:val="right"/>
              <w:ind w:right="831"/>
              <w:spacing w:after="0"/>
              <w:rPr>
                <w:sz w:val="20"/>
                <w:szCs w:val="20"/>
                <w:color w:val="auto"/>
              </w:rPr>
            </w:pPr>
            <w:r>
              <w:rPr>
                <w:rFonts w:ascii="Arial" w:cs="Arial" w:eastAsia="Arial" w:hAnsi="Arial"/>
                <w:sz w:val="16"/>
                <w:szCs w:val="16"/>
                <w:b w:val="1"/>
                <w:bCs w:val="1"/>
                <w:color w:val="auto"/>
              </w:rPr>
              <w:t>($ amounts in 000's)</w:t>
            </w:r>
          </w:p>
        </w:tc>
        <w:tc>
          <w:tcPr>
            <w:tcW w:w="1560" w:type="dxa"/>
            <w:vAlign w:val="bottom"/>
          </w:tcPr>
          <w:p>
            <w:pPr>
              <w:spacing w:after="0"/>
              <w:rPr>
                <w:sz w:val="18"/>
                <w:szCs w:val="18"/>
                <w:color w:val="auto"/>
              </w:rPr>
            </w:pPr>
          </w:p>
        </w:tc>
      </w:tr>
      <w:tr>
        <w:trPr>
          <w:trHeight w:val="33"/>
        </w:trPr>
        <w:tc>
          <w:tcPr>
            <w:tcW w:w="50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1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Product</w:t>
            </w: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14,075</w:t>
            </w:r>
          </w:p>
        </w:tc>
        <w:tc>
          <w:tcPr>
            <w:tcW w:w="2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11,314</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2,761</w:t>
            </w: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24.4</w:t>
            </w:r>
          </w:p>
        </w:tc>
      </w:tr>
      <w:tr>
        <w:trPr>
          <w:trHeight w:val="27"/>
        </w:trPr>
        <w:tc>
          <w:tcPr>
            <w:tcW w:w="50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Services</w:t>
            </w: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7,781</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6,468</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1,313</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w:t>
            </w: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Ratable product and services</w:t>
            </w: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1,560</w:t>
            </w:r>
          </w:p>
        </w:tc>
        <w:tc>
          <w:tcPr>
            <w:tcW w:w="2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1,593</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w:t>
            </w:r>
          </w:p>
        </w:tc>
        <w:tc>
          <w:tcPr>
            <w:tcW w:w="15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50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 of revenue</w:t>
            </w:r>
          </w:p>
        </w:tc>
        <w:tc>
          <w:tcPr>
            <w:tcW w:w="15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23,416</w:t>
            </w:r>
          </w:p>
        </w:tc>
        <w:tc>
          <w:tcPr>
            <w:tcW w:w="2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19,375</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4,041</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w:t>
            </w:r>
          </w:p>
        </w:tc>
      </w:tr>
      <w:tr>
        <w:trPr>
          <w:trHeight w:val="20"/>
        </w:trPr>
        <w:tc>
          <w:tcPr>
            <w:tcW w:w="50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63"/>
        </w:trPr>
        <w:tc>
          <w:tcPr>
            <w:tcW w:w="50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 (%):</w:t>
            </w:r>
          </w:p>
        </w:tc>
        <w:tc>
          <w:tcPr>
            <w:tcW w:w="1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Product</w:t>
            </w: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65.0</w:t>
            </w:r>
          </w:p>
        </w:tc>
        <w:tc>
          <w:tcPr>
            <w:tcW w:w="2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58.3</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6.7</w:t>
            </w:r>
          </w:p>
        </w:tc>
        <w:tc>
          <w:tcPr>
            <w:tcW w:w="156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Services</w:t>
            </w: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84.0</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83.3</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Ratable product and services</w:t>
            </w: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64.7</w:t>
            </w:r>
          </w:p>
        </w:tc>
        <w:tc>
          <w:tcPr>
            <w:tcW w:w="2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60.8</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3.9</w:t>
            </w:r>
          </w:p>
        </w:tc>
        <w:tc>
          <w:tcPr>
            <w:tcW w:w="156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gross margin</w:t>
            </w:r>
          </w:p>
        </w:tc>
        <w:tc>
          <w:tcPr>
            <w:tcW w:w="15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74.9</w:t>
            </w: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72.2</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1560" w:type="dxa"/>
            <w:vAlign w:val="bottom"/>
            <w:shd w:val="clear" w:color="auto" w:fill="CCEEFF"/>
          </w:tcPr>
          <w:p>
            <w:pPr>
              <w:spacing w:after="0"/>
              <w:rPr>
                <w:sz w:val="21"/>
                <w:szCs w:val="21"/>
                <w:color w:val="auto"/>
              </w:rPr>
            </w:pPr>
          </w:p>
        </w:tc>
      </w:tr>
      <w:tr>
        <w:trPr>
          <w:trHeight w:val="27"/>
        </w:trPr>
        <w:tc>
          <w:tcPr>
            <w:tcW w:w="50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Total gross margin increased 2.7 percentage points in the first quarter of 2011 primarily due to improved product margins. Product gross margin increased 6.7 percentage points in the first quarter of 2011 compared to 2010 primarily due to an</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increase in the mix of high-end product sales to enterprise and service provider customers. High-end products accounted for 37% of our hardware billings during the quarter compared to 27% in the first quarter last year. The 0.7 percentage point increase in services gross margin was primarily due to our services business model and increased leverage in our cost structure. Services cost increased by $1.3 million primarily due to $1.1 million of higher cash-based personnel costs as we continued to scale our Americas support and FortiGuard global security research organizations. Travel, depreciation, and occupancy-related costs increased a combined $0.2 million. Ratable product and services gross margin increased 3.9 percentage points, relatively in line with product gross margins, as a result of leveraging our indirect product cost structure, such as manufacturing overhead, and lower direct product costs as a percentage of revenue.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gridSpan w:val="4"/>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2760" w:type="dxa"/>
            <w:vAlign w:val="bottom"/>
            <w:tcBorders>
              <w:bottom w:val="single" w:sz="8" w:color="auto"/>
            </w:tcBorders>
            <w:gridSpan w:val="4"/>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7"/>
        </w:trPr>
        <w:tc>
          <w:tcPr>
            <w:tcW w:w="3440" w:type="dxa"/>
            <w:vAlign w:val="bottom"/>
          </w:tcPr>
          <w:p>
            <w:pPr>
              <w:spacing w:after="0"/>
              <w:rPr>
                <w:sz w:val="18"/>
                <w:szCs w:val="18"/>
                <w:color w:val="auto"/>
              </w:rPr>
            </w:pPr>
          </w:p>
        </w:tc>
        <w:tc>
          <w:tcPr>
            <w:tcW w:w="2760" w:type="dxa"/>
            <w:vAlign w:val="bottom"/>
            <w:gridSpan w:val="4"/>
          </w:tcPr>
          <w:p>
            <w:pPr>
              <w:ind w:left="740"/>
              <w:spacing w:after="0"/>
              <w:rPr>
                <w:sz w:val="20"/>
                <w:szCs w:val="20"/>
                <w:color w:val="auto"/>
              </w:rPr>
            </w:pPr>
            <w:r>
              <w:rPr>
                <w:rFonts w:ascii="Arial" w:cs="Arial" w:eastAsia="Arial" w:hAnsi="Arial"/>
                <w:sz w:val="16"/>
                <w:szCs w:val="16"/>
                <w:b w:val="1"/>
                <w:bCs w:val="1"/>
                <w:color w:val="auto"/>
              </w:rPr>
              <w:t>March 31, 2011</w:t>
            </w:r>
          </w:p>
        </w:tc>
        <w:tc>
          <w:tcPr>
            <w:tcW w:w="2740" w:type="dxa"/>
            <w:vAlign w:val="bottom"/>
            <w:gridSpan w:val="4"/>
          </w:tcPr>
          <w:p>
            <w:pPr>
              <w:ind w:left="740"/>
              <w:spacing w:after="0"/>
              <w:rPr>
                <w:sz w:val="20"/>
                <w:szCs w:val="20"/>
                <w:color w:val="auto"/>
              </w:rPr>
            </w:pPr>
            <w:r>
              <w:rPr>
                <w:rFonts w:ascii="Arial" w:cs="Arial" w:eastAsia="Arial" w:hAnsi="Arial"/>
                <w:sz w:val="16"/>
                <w:szCs w:val="16"/>
                <w:b w:val="1"/>
                <w:bCs w:val="1"/>
                <w:color w:val="auto"/>
              </w:rPr>
              <w:t>March 31, 2010</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9"/>
        </w:trPr>
        <w:tc>
          <w:tcPr>
            <w:tcW w:w="3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 of</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 of</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440" w:type="dxa"/>
            <w:vAlign w:val="bottom"/>
          </w:tcPr>
          <w:p>
            <w:pPr>
              <w:spacing w:after="0"/>
              <w:rPr>
                <w:sz w:val="18"/>
                <w:szCs w:val="18"/>
                <w:color w:val="auto"/>
              </w:rPr>
            </w:pPr>
          </w:p>
        </w:tc>
        <w:tc>
          <w:tcPr>
            <w:tcW w:w="1380" w:type="dxa"/>
            <w:vAlign w:val="bottom"/>
            <w:gridSpan w:val="2"/>
          </w:tcPr>
          <w:p>
            <w:pPr>
              <w:ind w:left="300"/>
              <w:spacing w:after="0"/>
              <w:rPr>
                <w:sz w:val="20"/>
                <w:szCs w:val="20"/>
                <w:color w:val="auto"/>
              </w:rPr>
            </w:pPr>
            <w:r>
              <w:rPr>
                <w:rFonts w:ascii="Arial" w:cs="Arial" w:eastAsia="Arial" w:hAnsi="Arial"/>
                <w:sz w:val="16"/>
                <w:szCs w:val="16"/>
                <w:b w:val="1"/>
                <w:bCs w:val="1"/>
                <w:color w:val="auto"/>
              </w:rPr>
              <w:t>Amount</w:t>
            </w: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Revenue</w:t>
            </w:r>
          </w:p>
        </w:tc>
        <w:tc>
          <w:tcPr>
            <w:tcW w:w="1380" w:type="dxa"/>
            <w:vAlign w:val="bottom"/>
            <w:gridSpan w:val="2"/>
          </w:tcPr>
          <w:p>
            <w:pPr>
              <w:ind w:left="300"/>
              <w:spacing w:after="0"/>
              <w:rPr>
                <w:sz w:val="20"/>
                <w:szCs w:val="20"/>
                <w:color w:val="auto"/>
              </w:rPr>
            </w:pPr>
            <w:r>
              <w:rPr>
                <w:rFonts w:ascii="Arial" w:cs="Arial" w:eastAsia="Arial" w:hAnsi="Arial"/>
                <w:sz w:val="16"/>
                <w:szCs w:val="16"/>
                <w:b w:val="1"/>
                <w:bCs w:val="1"/>
                <w:color w:val="auto"/>
              </w:rPr>
              <w:t>Amount</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Revenue</w:t>
            </w:r>
          </w:p>
        </w:tc>
        <w:tc>
          <w:tcPr>
            <w:tcW w:w="1120" w:type="dxa"/>
            <w:vAlign w:val="bottom"/>
          </w:tcPr>
          <w:p>
            <w:pPr>
              <w:jc w:val="right"/>
              <w:ind w:right="152"/>
              <w:spacing w:after="0"/>
              <w:rPr>
                <w:sz w:val="20"/>
                <w:szCs w:val="20"/>
                <w:color w:val="auto"/>
              </w:rPr>
            </w:pPr>
            <w:r>
              <w:rPr>
                <w:rFonts w:ascii="Arial" w:cs="Arial" w:eastAsia="Arial" w:hAnsi="Arial"/>
                <w:sz w:val="16"/>
                <w:szCs w:val="16"/>
                <w:b w:val="1"/>
                <w:bCs w:val="1"/>
                <w:color w:val="auto"/>
              </w:rPr>
              <w:t>$ Change</w:t>
            </w:r>
          </w:p>
        </w:tc>
        <w:tc>
          <w:tcPr>
            <w:tcW w:w="1360" w:type="dxa"/>
            <w:vAlign w:val="bottom"/>
          </w:tcPr>
          <w:p>
            <w:pPr>
              <w:jc w:val="right"/>
              <w:ind w:right="112"/>
              <w:spacing w:after="0"/>
              <w:rPr>
                <w:sz w:val="20"/>
                <w:szCs w:val="20"/>
                <w:color w:val="auto"/>
              </w:rPr>
            </w:pPr>
            <w:r>
              <w:rPr>
                <w:rFonts w:ascii="Arial" w:cs="Arial" w:eastAsia="Arial" w:hAnsi="Arial"/>
                <w:sz w:val="16"/>
                <w:szCs w:val="16"/>
                <w:b w:val="1"/>
                <w:bCs w:val="1"/>
                <w:color w:val="auto"/>
              </w:rPr>
              <w:t>% Change</w:t>
            </w:r>
          </w:p>
        </w:tc>
      </w:tr>
      <w:tr>
        <w:trPr>
          <w:trHeight w:val="33"/>
        </w:trPr>
        <w:tc>
          <w:tcPr>
            <w:tcW w:w="34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3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gridSpan w:val="4"/>
          </w:tcPr>
          <w:p>
            <w:pPr>
              <w:ind w:left="540"/>
              <w:spacing w:after="0"/>
              <w:rPr>
                <w:sz w:val="20"/>
                <w:szCs w:val="20"/>
                <w:color w:val="auto"/>
              </w:rPr>
            </w:pPr>
            <w:r>
              <w:rPr>
                <w:rFonts w:ascii="Arial" w:cs="Arial" w:eastAsia="Arial" w:hAnsi="Arial"/>
                <w:sz w:val="16"/>
                <w:szCs w:val="16"/>
                <w:b w:val="1"/>
                <w:bCs w:val="1"/>
                <w:color w:val="auto"/>
              </w:rPr>
              <w:t>($ amounts in 000's)</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14,421</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11,934</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2,487</w:t>
            </w:r>
          </w:p>
        </w:tc>
        <w:tc>
          <w:tcPr>
            <w:tcW w:w="136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7"/>
        </w:trPr>
        <w:tc>
          <w:tcPr>
            <w:tcW w:w="3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32,718</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26,723</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5,995</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5,266</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5,059</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207</w:t>
            </w:r>
          </w:p>
        </w:tc>
        <w:tc>
          <w:tcPr>
            <w:tcW w:w="13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3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52,405</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43,716</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8,689</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0"/>
        </w:trPr>
        <w:tc>
          <w:tcPr>
            <w:tcW w:w="3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Research and development expense increased $2.5 million, or 20.8%, in the first quarter of 2011 compared to the first quarter of 2010 primarily due to an increase of $2.2 million in cash-based personnel costs related to increased salaries as a result of increased headcount to support the development of new products and continued enhancements of our existing products, merit increases, higher benefits and payroll taxes. Product development and certification expenses increased $0.3 million. A 6% increase in the Canadian dollar exchange rate against the US dollar also significantly contributed to the increase in research and development expense.</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ind w:right="20" w:firstLine="486"/>
        <w:spacing w:after="0" w:line="285" w:lineRule="auto"/>
        <w:rPr>
          <w:sz w:val="20"/>
          <w:szCs w:val="20"/>
          <w:color w:val="auto"/>
        </w:rPr>
      </w:pPr>
      <w:r>
        <w:rPr>
          <w:rFonts w:ascii="Arial" w:cs="Arial" w:eastAsia="Arial" w:hAnsi="Arial"/>
          <w:sz w:val="16"/>
          <w:szCs w:val="16"/>
          <w:color w:val="auto"/>
        </w:rPr>
        <w:t>Sales and marketing expense increased $6.0 million, or 22.4%, in the first quarter of 2011 compared to the first quarter of 2010 primarily due to cash-based personnel costs of $4.1 million including higher salaries and benefits from increased headcount in sales in order to expand our global footprint and merit increases, and higher commissions due to increased billings. We also incurred a $1.0 million increase in stock-based compensation expense, a $0.5 million increase in marketing activities, and a $0.4 million increase in travel expense. As a percentage of revenue, sales and marketing expenses decreased 3.2 percentage points due to the leverage we are achieving from the investment in our salesforce during the past year, as evidenced by our revenue growth of</w:t>
      </w:r>
    </w:p>
    <w:p>
      <w:pPr>
        <w:spacing w:after="0" w:line="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33.6% outpacing our sales and marketing expenses growth of 22.4%. We do intend to continue to make investments in our sales resources and infrastructure, which are critical to support sustainable growth.</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20" w:firstLine="486"/>
        <w:spacing w:after="0" w:line="308" w:lineRule="auto"/>
        <w:rPr>
          <w:sz w:val="20"/>
          <w:szCs w:val="20"/>
          <w:color w:val="auto"/>
        </w:rPr>
      </w:pPr>
      <w:r>
        <w:rPr>
          <w:rFonts w:ascii="Arial" w:cs="Arial" w:eastAsia="Arial" w:hAnsi="Arial"/>
          <w:sz w:val="17"/>
          <w:szCs w:val="17"/>
          <w:color w:val="auto"/>
        </w:rPr>
        <w:t>In the first quarter of 2011, general and administrative expense increased $0.2 million, or 4.1%, compared to the first quarter of 2010. The increase was primarily due to a $0.6 million increase in cash-based personnel costs, offset by $0.5 million related to patent settlement income.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income (expense), net</w:t>
      </w: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000" w:type="dxa"/>
            <w:vAlign w:val="bottom"/>
          </w:tcPr>
          <w:p>
            <w:pPr>
              <w:spacing w:after="0"/>
              <w:rPr>
                <w:sz w:val="18"/>
                <w:szCs w:val="18"/>
                <w:color w:val="auto"/>
              </w:rPr>
            </w:pPr>
          </w:p>
        </w:tc>
        <w:tc>
          <w:tcPr>
            <w:tcW w:w="3200" w:type="dxa"/>
            <w:vAlign w:val="bottom"/>
            <w:gridSpan w:val="3"/>
          </w:tcPr>
          <w:p>
            <w:pPr>
              <w:jc w:val="right"/>
              <w:ind w:right="755"/>
              <w:spacing w:after="0"/>
              <w:rPr>
                <w:sz w:val="20"/>
                <w:szCs w:val="20"/>
                <w:color w:val="auto"/>
              </w:rPr>
            </w:pPr>
            <w:r>
              <w:rPr>
                <w:rFonts w:ascii="Arial" w:cs="Arial" w:eastAsia="Arial" w:hAnsi="Arial"/>
                <w:sz w:val="16"/>
                <w:szCs w:val="16"/>
                <w:b w:val="1"/>
                <w:bCs w:val="1"/>
                <w:color w:val="auto"/>
              </w:rPr>
              <w:t>Three Months Ended</w:t>
            </w:r>
          </w:p>
        </w:tc>
        <w:tc>
          <w:tcPr>
            <w:tcW w:w="18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50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9"/>
        </w:trPr>
        <w:tc>
          <w:tcPr>
            <w:tcW w:w="5000" w:type="dxa"/>
            <w:vAlign w:val="bottom"/>
          </w:tcPr>
          <w:p>
            <w:pPr>
              <w:spacing w:after="0"/>
              <w:rPr>
                <w:sz w:val="18"/>
                <w:szCs w:val="18"/>
                <w:color w:val="auto"/>
              </w:rPr>
            </w:pPr>
          </w:p>
        </w:tc>
        <w:tc>
          <w:tcPr>
            <w:tcW w:w="1100" w:type="dxa"/>
            <w:vAlign w:val="bottom"/>
          </w:tcPr>
          <w:p>
            <w:pPr>
              <w:ind w:left="380"/>
              <w:spacing w:after="0"/>
              <w:rPr>
                <w:sz w:val="20"/>
                <w:szCs w:val="20"/>
                <w:color w:val="auto"/>
              </w:rPr>
            </w:pPr>
            <w:r>
              <w:rPr>
                <w:rFonts w:ascii="Arial" w:cs="Arial" w:eastAsia="Arial" w:hAnsi="Arial"/>
                <w:sz w:val="16"/>
                <w:szCs w:val="16"/>
                <w:b w:val="1"/>
                <w:bCs w:val="1"/>
                <w:color w:val="auto"/>
                <w:w w:val="94"/>
              </w:rPr>
              <w:t>March 31,</w:t>
            </w:r>
          </w:p>
        </w:tc>
        <w:tc>
          <w:tcPr>
            <w:tcW w:w="660" w:type="dxa"/>
            <w:vAlign w:val="bottom"/>
          </w:tcPr>
          <w:p>
            <w:pPr>
              <w:spacing w:after="0"/>
              <w:rPr>
                <w:sz w:val="18"/>
                <w:szCs w:val="18"/>
                <w:color w:val="auto"/>
              </w:rPr>
            </w:pPr>
          </w:p>
        </w:tc>
        <w:tc>
          <w:tcPr>
            <w:tcW w:w="1440" w:type="dxa"/>
            <w:vAlign w:val="bottom"/>
          </w:tcPr>
          <w:p>
            <w:pPr>
              <w:jc w:val="right"/>
              <w:ind w:right="315"/>
              <w:spacing w:after="0"/>
              <w:rPr>
                <w:sz w:val="20"/>
                <w:szCs w:val="20"/>
                <w:color w:val="auto"/>
              </w:rPr>
            </w:pPr>
            <w:r>
              <w:rPr>
                <w:rFonts w:ascii="Arial" w:cs="Arial" w:eastAsia="Arial" w:hAnsi="Arial"/>
                <w:sz w:val="16"/>
                <w:szCs w:val="16"/>
                <w:b w:val="1"/>
                <w:bCs w:val="1"/>
                <w:color w:val="auto"/>
              </w:rPr>
              <w:t>March 31,</w:t>
            </w:r>
          </w:p>
        </w:tc>
        <w:tc>
          <w:tcPr>
            <w:tcW w:w="18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6100" w:type="dxa"/>
            <w:vAlign w:val="bottom"/>
            <w:gridSpan w:val="2"/>
          </w:tcPr>
          <w:p>
            <w:pPr>
              <w:ind w:left="5600"/>
              <w:spacing w:after="0"/>
              <w:rPr>
                <w:sz w:val="20"/>
                <w:szCs w:val="20"/>
                <w:color w:val="auto"/>
              </w:rPr>
            </w:pPr>
            <w:r>
              <w:rPr>
                <w:rFonts w:ascii="Arial" w:cs="Arial" w:eastAsia="Arial" w:hAnsi="Arial"/>
                <w:sz w:val="16"/>
                <w:szCs w:val="16"/>
                <w:b w:val="1"/>
                <w:bCs w:val="1"/>
                <w:color w:val="auto"/>
              </w:rPr>
              <w:t>2011</w:t>
            </w:r>
          </w:p>
        </w:tc>
        <w:tc>
          <w:tcPr>
            <w:tcW w:w="660" w:type="dxa"/>
            <w:vAlign w:val="bottom"/>
          </w:tcPr>
          <w:p>
            <w:pPr>
              <w:spacing w:after="0"/>
              <w:rPr>
                <w:sz w:val="18"/>
                <w:szCs w:val="18"/>
                <w:color w:val="auto"/>
              </w:rPr>
            </w:pPr>
          </w:p>
        </w:tc>
        <w:tc>
          <w:tcPr>
            <w:tcW w:w="1440" w:type="dxa"/>
            <w:vAlign w:val="bottom"/>
          </w:tcPr>
          <w:p>
            <w:pPr>
              <w:jc w:val="right"/>
              <w:ind w:right="495"/>
              <w:spacing w:after="0"/>
              <w:rPr>
                <w:sz w:val="20"/>
                <w:szCs w:val="20"/>
                <w:color w:val="auto"/>
              </w:rPr>
            </w:pPr>
            <w:r>
              <w:rPr>
                <w:rFonts w:ascii="Arial" w:cs="Arial" w:eastAsia="Arial" w:hAnsi="Arial"/>
                <w:sz w:val="16"/>
                <w:szCs w:val="16"/>
                <w:b w:val="1"/>
                <w:bCs w:val="1"/>
                <w:color w:val="auto"/>
              </w:rPr>
              <w:t>2010</w:t>
            </w:r>
          </w:p>
        </w:tc>
        <w:tc>
          <w:tcPr>
            <w:tcW w:w="1800" w:type="dxa"/>
            <w:vAlign w:val="bottom"/>
          </w:tcPr>
          <w:p>
            <w:pPr>
              <w:jc w:val="right"/>
              <w:ind w:right="473"/>
              <w:spacing w:after="0"/>
              <w:rPr>
                <w:sz w:val="20"/>
                <w:szCs w:val="20"/>
                <w:color w:val="auto"/>
              </w:rPr>
            </w:pPr>
            <w:r>
              <w:rPr>
                <w:rFonts w:ascii="Arial" w:cs="Arial" w:eastAsia="Arial" w:hAnsi="Arial"/>
                <w:sz w:val="16"/>
                <w:szCs w:val="16"/>
                <w:b w:val="1"/>
                <w:bCs w:val="1"/>
                <w:color w:val="auto"/>
              </w:rPr>
              <w:t>$ Change</w:t>
            </w:r>
          </w:p>
        </w:tc>
        <w:tc>
          <w:tcPr>
            <w:tcW w:w="1360" w:type="dxa"/>
            <w:vAlign w:val="bottom"/>
          </w:tcPr>
          <w:p>
            <w:pPr>
              <w:jc w:val="right"/>
              <w:ind w:right="233"/>
              <w:spacing w:after="0"/>
              <w:rPr>
                <w:sz w:val="20"/>
                <w:szCs w:val="20"/>
                <w:color w:val="auto"/>
              </w:rPr>
            </w:pPr>
            <w:r>
              <w:rPr>
                <w:rFonts w:ascii="Arial" w:cs="Arial" w:eastAsia="Arial" w:hAnsi="Arial"/>
                <w:sz w:val="16"/>
                <w:szCs w:val="16"/>
                <w:b w:val="1"/>
                <w:bCs w:val="1"/>
                <w:color w:val="auto"/>
              </w:rPr>
              <w:t>% Change</w:t>
            </w:r>
          </w:p>
        </w:tc>
      </w:tr>
      <w:tr>
        <w:trPr>
          <w:trHeight w:val="33"/>
        </w:trPr>
        <w:tc>
          <w:tcPr>
            <w:tcW w:w="50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5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40" w:type="dxa"/>
            <w:vAlign w:val="bottom"/>
            <w:gridSpan w:val="2"/>
          </w:tcPr>
          <w:p>
            <w:pPr>
              <w:jc w:val="right"/>
              <w:ind w:right="1033"/>
              <w:spacing w:after="0"/>
              <w:rPr>
                <w:sz w:val="20"/>
                <w:szCs w:val="20"/>
                <w:color w:val="auto"/>
              </w:rPr>
            </w:pPr>
            <w:r>
              <w:rPr>
                <w:rFonts w:ascii="Arial" w:cs="Arial" w:eastAsia="Arial" w:hAnsi="Arial"/>
                <w:sz w:val="16"/>
                <w:szCs w:val="16"/>
                <w:b w:val="1"/>
                <w:bCs w:val="1"/>
                <w:color w:val="auto"/>
              </w:rPr>
              <w:t>($ amounts in 000's)</w:t>
            </w:r>
          </w:p>
        </w:tc>
        <w:tc>
          <w:tcPr>
            <w:tcW w:w="1360" w:type="dxa"/>
            <w:vAlign w:val="bottom"/>
          </w:tcPr>
          <w:p>
            <w:pPr>
              <w:spacing w:after="0"/>
              <w:rPr>
                <w:sz w:val="18"/>
                <w:szCs w:val="18"/>
                <w:color w:val="auto"/>
              </w:rPr>
            </w:pPr>
          </w:p>
        </w:tc>
      </w:tr>
      <w:tr>
        <w:trPr>
          <w:trHeight w:val="33"/>
        </w:trPr>
        <w:tc>
          <w:tcPr>
            <w:tcW w:w="5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6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793</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268</w:t>
            </w:r>
          </w:p>
        </w:tc>
        <w:tc>
          <w:tcPr>
            <w:tcW w:w="180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8"/>
                <w:szCs w:val="18"/>
                <w:color w:val="auto"/>
              </w:rPr>
              <w:t>525</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195.9</w:t>
            </w:r>
          </w:p>
        </w:tc>
      </w:tr>
      <w:tr>
        <w:trPr>
          <w:trHeight w:val="243"/>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660" w:type="dxa"/>
            <w:vAlign w:val="bottom"/>
          </w:tcPr>
          <w:p>
            <w:pPr>
              <w:jc w:val="right"/>
              <w:ind w:right="250"/>
              <w:spacing w:after="0"/>
              <w:rPr>
                <w:sz w:val="20"/>
                <w:szCs w:val="20"/>
                <w:color w:val="auto"/>
              </w:rPr>
            </w:pPr>
            <w:r>
              <w:rPr>
                <w:rFonts w:ascii="Arial" w:cs="Arial" w:eastAsia="Arial" w:hAnsi="Arial"/>
                <w:sz w:val="18"/>
                <w:szCs w:val="18"/>
                <w:color w:val="auto"/>
                <w:w w:val="93"/>
              </w:rPr>
              <w:t>(95)</w:t>
            </w:r>
          </w:p>
        </w:tc>
        <w:tc>
          <w:tcPr>
            <w:tcW w:w="1440" w:type="dxa"/>
            <w:vAlign w:val="bottom"/>
          </w:tcPr>
          <w:p>
            <w:pPr>
              <w:jc w:val="right"/>
              <w:spacing w:after="0"/>
              <w:rPr>
                <w:sz w:val="20"/>
                <w:szCs w:val="20"/>
                <w:color w:val="auto"/>
              </w:rPr>
            </w:pPr>
            <w:r>
              <w:rPr>
                <w:rFonts w:ascii="Arial" w:cs="Arial" w:eastAsia="Arial" w:hAnsi="Arial"/>
                <w:sz w:val="18"/>
                <w:szCs w:val="18"/>
                <w:color w:val="auto"/>
              </w:rPr>
              <w:t>(250)</w:t>
            </w:r>
          </w:p>
        </w:tc>
        <w:tc>
          <w:tcPr>
            <w:tcW w:w="1800" w:type="dxa"/>
            <w:vAlign w:val="bottom"/>
          </w:tcPr>
          <w:p>
            <w:pPr>
              <w:jc w:val="right"/>
              <w:ind w:right="233"/>
              <w:spacing w:after="0"/>
              <w:rPr>
                <w:sz w:val="20"/>
                <w:szCs w:val="20"/>
                <w:color w:val="auto"/>
              </w:rPr>
            </w:pPr>
            <w:r>
              <w:rPr>
                <w:rFonts w:ascii="Arial" w:cs="Arial" w:eastAsia="Arial" w:hAnsi="Arial"/>
                <w:sz w:val="18"/>
                <w:szCs w:val="18"/>
                <w:color w:val="auto"/>
              </w:rPr>
              <w:t>155</w:t>
            </w:r>
          </w:p>
        </w:tc>
        <w:tc>
          <w:tcPr>
            <w:tcW w:w="1360" w:type="dxa"/>
            <w:vAlign w:val="bottom"/>
          </w:tcPr>
          <w:p>
            <w:pPr>
              <w:jc w:val="right"/>
              <w:spacing w:after="0"/>
              <w:rPr>
                <w:sz w:val="20"/>
                <w:szCs w:val="20"/>
                <w:color w:val="auto"/>
              </w:rPr>
            </w:pPr>
            <w:r>
              <w:rPr>
                <w:rFonts w:ascii="Arial" w:cs="Arial" w:eastAsia="Arial" w:hAnsi="Arial"/>
                <w:sz w:val="18"/>
                <w:szCs w:val="18"/>
                <w:color w:val="auto"/>
              </w:rPr>
              <w:t>(62.0)</w:t>
            </w:r>
          </w:p>
        </w:tc>
      </w:tr>
      <w:tr>
        <w:trPr>
          <w:trHeight w:val="486"/>
        </w:trPr>
        <w:tc>
          <w:tcPr>
            <w:tcW w:w="6100" w:type="dxa"/>
            <w:vAlign w:val="bottom"/>
            <w:gridSpan w:val="2"/>
          </w:tcPr>
          <w:p>
            <w:pPr>
              <w:ind w:left="5580"/>
              <w:spacing w:after="0"/>
              <w:rPr>
                <w:sz w:val="20"/>
                <w:szCs w:val="20"/>
                <w:color w:val="auto"/>
              </w:rPr>
            </w:pPr>
            <w:r>
              <w:rPr>
                <w:rFonts w:ascii="Arial" w:cs="Arial" w:eastAsia="Arial" w:hAnsi="Arial"/>
                <w:sz w:val="18"/>
                <w:szCs w:val="18"/>
                <w:color w:val="auto"/>
              </w:rPr>
              <w:t>31</w:t>
            </w:r>
          </w:p>
        </w:tc>
        <w:tc>
          <w:tcPr>
            <w:tcW w:w="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The $0.5 million increase in interest income in the first quarter of 2011 compared to the first quarter of 2010 was due to interest earned on higher invested balances. The change in other income (expense), net for the first quarter of 2011 when compared to the first quarter of 2010 was the result of lower foreign exchanges losses in the first quarter of 2011 compared to the first quarter of 2010.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000" w:type="dxa"/>
            <w:vAlign w:val="bottom"/>
          </w:tcPr>
          <w:p>
            <w:pPr>
              <w:spacing w:after="0"/>
              <w:rPr>
                <w:sz w:val="18"/>
                <w:szCs w:val="18"/>
                <w:color w:val="auto"/>
              </w:rPr>
            </w:pPr>
          </w:p>
        </w:tc>
        <w:tc>
          <w:tcPr>
            <w:tcW w:w="3200" w:type="dxa"/>
            <w:vAlign w:val="bottom"/>
            <w:gridSpan w:val="2"/>
          </w:tcPr>
          <w:p>
            <w:pPr>
              <w:jc w:val="right"/>
              <w:ind w:right="755"/>
              <w:spacing w:after="0"/>
              <w:rPr>
                <w:sz w:val="20"/>
                <w:szCs w:val="20"/>
                <w:color w:val="auto"/>
              </w:rPr>
            </w:pPr>
            <w:r>
              <w:rPr>
                <w:rFonts w:ascii="Arial" w:cs="Arial" w:eastAsia="Arial" w:hAnsi="Arial"/>
                <w:sz w:val="16"/>
                <w:szCs w:val="16"/>
                <w:b w:val="1"/>
                <w:bCs w:val="1"/>
                <w:color w:val="auto"/>
              </w:rPr>
              <w:t>Three Months Ended</w:t>
            </w:r>
          </w:p>
        </w:tc>
        <w:tc>
          <w:tcPr>
            <w:tcW w:w="18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3"/>
        </w:trPr>
        <w:tc>
          <w:tcPr>
            <w:tcW w:w="50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09"/>
        </w:trPr>
        <w:tc>
          <w:tcPr>
            <w:tcW w:w="5000" w:type="dxa"/>
            <w:vAlign w:val="bottom"/>
          </w:tcPr>
          <w:p>
            <w:pPr>
              <w:spacing w:after="0"/>
              <w:rPr>
                <w:sz w:val="18"/>
                <w:szCs w:val="18"/>
                <w:color w:val="auto"/>
              </w:rPr>
            </w:pPr>
          </w:p>
        </w:tc>
        <w:tc>
          <w:tcPr>
            <w:tcW w:w="1720" w:type="dxa"/>
            <w:vAlign w:val="bottom"/>
          </w:tcPr>
          <w:p>
            <w:pPr>
              <w:jc w:val="right"/>
              <w:ind w:right="555"/>
              <w:spacing w:after="0"/>
              <w:rPr>
                <w:sz w:val="20"/>
                <w:szCs w:val="20"/>
                <w:color w:val="auto"/>
              </w:rPr>
            </w:pPr>
            <w:r>
              <w:rPr>
                <w:rFonts w:ascii="Arial" w:cs="Arial" w:eastAsia="Arial" w:hAnsi="Arial"/>
                <w:sz w:val="16"/>
                <w:szCs w:val="16"/>
                <w:b w:val="1"/>
                <w:bCs w:val="1"/>
                <w:color w:val="auto"/>
              </w:rPr>
              <w:t>March 31,</w:t>
            </w:r>
          </w:p>
        </w:tc>
        <w:tc>
          <w:tcPr>
            <w:tcW w:w="1480" w:type="dxa"/>
            <w:vAlign w:val="bottom"/>
          </w:tcPr>
          <w:p>
            <w:pPr>
              <w:jc w:val="right"/>
              <w:ind w:right="315"/>
              <w:spacing w:after="0"/>
              <w:rPr>
                <w:sz w:val="20"/>
                <w:szCs w:val="20"/>
                <w:color w:val="auto"/>
              </w:rPr>
            </w:pPr>
            <w:r>
              <w:rPr>
                <w:rFonts w:ascii="Arial" w:cs="Arial" w:eastAsia="Arial" w:hAnsi="Arial"/>
                <w:sz w:val="16"/>
                <w:szCs w:val="16"/>
                <w:b w:val="1"/>
                <w:bCs w:val="1"/>
                <w:color w:val="auto"/>
              </w:rPr>
              <w:t>March 31,</w:t>
            </w:r>
          </w:p>
        </w:tc>
        <w:tc>
          <w:tcPr>
            <w:tcW w:w="18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0"/>
        </w:trPr>
        <w:tc>
          <w:tcPr>
            <w:tcW w:w="5000" w:type="dxa"/>
            <w:vAlign w:val="bottom"/>
          </w:tcPr>
          <w:p>
            <w:pPr>
              <w:spacing w:after="0"/>
              <w:rPr>
                <w:sz w:val="18"/>
                <w:szCs w:val="18"/>
                <w:color w:val="auto"/>
              </w:rPr>
            </w:pPr>
          </w:p>
        </w:tc>
        <w:tc>
          <w:tcPr>
            <w:tcW w:w="1720" w:type="dxa"/>
            <w:vAlign w:val="bottom"/>
          </w:tcPr>
          <w:p>
            <w:pPr>
              <w:jc w:val="right"/>
              <w:ind w:right="735"/>
              <w:spacing w:after="0"/>
              <w:rPr>
                <w:sz w:val="20"/>
                <w:szCs w:val="20"/>
                <w:color w:val="auto"/>
              </w:rPr>
            </w:pPr>
            <w:r>
              <w:rPr>
                <w:rFonts w:ascii="Arial" w:cs="Arial" w:eastAsia="Arial" w:hAnsi="Arial"/>
                <w:sz w:val="16"/>
                <w:szCs w:val="16"/>
                <w:b w:val="1"/>
                <w:bCs w:val="1"/>
                <w:color w:val="auto"/>
              </w:rPr>
              <w:t>2011</w:t>
            </w:r>
          </w:p>
        </w:tc>
        <w:tc>
          <w:tcPr>
            <w:tcW w:w="1480" w:type="dxa"/>
            <w:vAlign w:val="bottom"/>
          </w:tcPr>
          <w:p>
            <w:pPr>
              <w:jc w:val="right"/>
              <w:ind w:right="495"/>
              <w:spacing w:after="0"/>
              <w:rPr>
                <w:sz w:val="20"/>
                <w:szCs w:val="20"/>
                <w:color w:val="auto"/>
              </w:rPr>
            </w:pPr>
            <w:r>
              <w:rPr>
                <w:rFonts w:ascii="Arial" w:cs="Arial" w:eastAsia="Arial" w:hAnsi="Arial"/>
                <w:sz w:val="16"/>
                <w:szCs w:val="16"/>
                <w:b w:val="1"/>
                <w:bCs w:val="1"/>
                <w:color w:val="auto"/>
              </w:rPr>
              <w:t>2010</w:t>
            </w:r>
          </w:p>
        </w:tc>
        <w:tc>
          <w:tcPr>
            <w:tcW w:w="1820" w:type="dxa"/>
            <w:vAlign w:val="bottom"/>
          </w:tcPr>
          <w:p>
            <w:pPr>
              <w:jc w:val="right"/>
              <w:ind w:right="493"/>
              <w:spacing w:after="0"/>
              <w:rPr>
                <w:sz w:val="20"/>
                <w:szCs w:val="20"/>
                <w:color w:val="auto"/>
              </w:rPr>
            </w:pPr>
            <w:r>
              <w:rPr>
                <w:rFonts w:ascii="Arial" w:cs="Arial" w:eastAsia="Arial" w:hAnsi="Arial"/>
                <w:sz w:val="16"/>
                <w:szCs w:val="16"/>
                <w:b w:val="1"/>
                <w:bCs w:val="1"/>
                <w:color w:val="auto"/>
              </w:rPr>
              <w:t>$ Change</w:t>
            </w:r>
          </w:p>
        </w:tc>
        <w:tc>
          <w:tcPr>
            <w:tcW w:w="1340" w:type="dxa"/>
            <w:vAlign w:val="bottom"/>
          </w:tcPr>
          <w:p>
            <w:pPr>
              <w:jc w:val="right"/>
              <w:ind w:right="233"/>
              <w:spacing w:after="0"/>
              <w:rPr>
                <w:sz w:val="20"/>
                <w:szCs w:val="20"/>
                <w:color w:val="auto"/>
              </w:rPr>
            </w:pPr>
            <w:r>
              <w:rPr>
                <w:rFonts w:ascii="Arial" w:cs="Arial" w:eastAsia="Arial" w:hAnsi="Arial"/>
                <w:sz w:val="16"/>
                <w:szCs w:val="16"/>
                <w:b w:val="1"/>
                <w:bCs w:val="1"/>
                <w:color w:val="auto"/>
              </w:rPr>
              <w:t>% Change</w:t>
            </w:r>
          </w:p>
        </w:tc>
      </w:tr>
      <w:tr>
        <w:trPr>
          <w:trHeight w:val="33"/>
        </w:trPr>
        <w:tc>
          <w:tcPr>
            <w:tcW w:w="50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7"/>
        </w:trPr>
        <w:tc>
          <w:tcPr>
            <w:tcW w:w="50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300" w:type="dxa"/>
            <w:vAlign w:val="bottom"/>
            <w:gridSpan w:val="2"/>
          </w:tcPr>
          <w:p>
            <w:pPr>
              <w:jc w:val="right"/>
              <w:ind w:right="1053"/>
              <w:spacing w:after="0"/>
              <w:rPr>
                <w:sz w:val="20"/>
                <w:szCs w:val="20"/>
                <w:color w:val="auto"/>
              </w:rPr>
            </w:pPr>
            <w:r>
              <w:rPr>
                <w:rFonts w:ascii="Arial" w:cs="Arial" w:eastAsia="Arial" w:hAnsi="Arial"/>
                <w:sz w:val="16"/>
                <w:szCs w:val="16"/>
                <w:b w:val="1"/>
                <w:bCs w:val="1"/>
                <w:color w:val="auto"/>
              </w:rPr>
              <w:t>($ amounts in 000's)</w:t>
            </w:r>
          </w:p>
        </w:tc>
        <w:tc>
          <w:tcPr>
            <w:tcW w:w="1340" w:type="dxa"/>
            <w:vAlign w:val="bottom"/>
          </w:tcPr>
          <w:p>
            <w:pPr>
              <w:spacing w:after="0"/>
              <w:rPr>
                <w:sz w:val="18"/>
                <w:szCs w:val="18"/>
                <w:color w:val="auto"/>
              </w:rPr>
            </w:pPr>
          </w:p>
        </w:tc>
      </w:tr>
      <w:tr>
        <w:trPr>
          <w:trHeight w:val="33"/>
        </w:trPr>
        <w:tc>
          <w:tcPr>
            <w:tcW w:w="5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72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8"/>
                <w:szCs w:val="18"/>
                <w:color w:val="auto"/>
              </w:rPr>
              <w:t>4,556</w:t>
            </w: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2,504</w:t>
            </w:r>
          </w:p>
        </w:tc>
        <w:tc>
          <w:tcPr>
            <w:tcW w:w="182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rPr>
              <w:t>2,052</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81.9</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Effective tax rate (%)</w:t>
            </w:r>
          </w:p>
        </w:tc>
        <w:tc>
          <w:tcPr>
            <w:tcW w:w="1720" w:type="dxa"/>
            <w:vAlign w:val="bottom"/>
          </w:tcPr>
          <w:p>
            <w:pPr>
              <w:jc w:val="right"/>
              <w:ind w:right="275"/>
              <w:spacing w:after="0"/>
              <w:rPr>
                <w:sz w:val="20"/>
                <w:szCs w:val="20"/>
                <w:color w:val="auto"/>
              </w:rPr>
            </w:pPr>
            <w:r>
              <w:rPr>
                <w:rFonts w:ascii="Arial" w:cs="Arial" w:eastAsia="Arial" w:hAnsi="Arial"/>
                <w:sz w:val="18"/>
                <w:szCs w:val="18"/>
                <w:color w:val="auto"/>
              </w:rPr>
              <w:t>25.1</w:t>
            </w: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37.3</w:t>
            </w:r>
          </w:p>
        </w:tc>
        <w:tc>
          <w:tcPr>
            <w:tcW w:w="1820" w:type="dxa"/>
            <w:vAlign w:val="bottom"/>
          </w:tcPr>
          <w:p>
            <w:pPr>
              <w:jc w:val="right"/>
              <w:ind w:right="193"/>
              <w:spacing w:after="0"/>
              <w:rPr>
                <w:sz w:val="20"/>
                <w:szCs w:val="20"/>
                <w:color w:val="auto"/>
              </w:rPr>
            </w:pPr>
            <w:r>
              <w:rPr>
                <w:rFonts w:ascii="Arial" w:cs="Arial" w:eastAsia="Arial" w:hAnsi="Arial"/>
                <w:sz w:val="18"/>
                <w:szCs w:val="18"/>
                <w:color w:val="auto"/>
              </w:rPr>
              <w:t>(12.2)</w:t>
            </w:r>
          </w:p>
        </w:tc>
        <w:tc>
          <w:tcPr>
            <w:tcW w:w="1340" w:type="dxa"/>
            <w:vAlign w:val="bottom"/>
          </w:tcPr>
          <w:p>
            <w:pPr>
              <w:jc w:val="right"/>
              <w:spacing w:after="0"/>
              <w:rPr>
                <w:sz w:val="20"/>
                <w:szCs w:val="20"/>
                <w:color w:val="auto"/>
              </w:rPr>
            </w:pPr>
            <w:r>
              <w:rPr>
                <w:rFonts w:ascii="Arial" w:cs="Arial" w:eastAsia="Arial" w:hAnsi="Arial"/>
                <w:sz w:val="18"/>
                <w:szCs w:val="18"/>
                <w:color w:val="auto"/>
              </w:rPr>
              <w:t>(32.7)</w:t>
            </w:r>
          </w:p>
        </w:tc>
      </w:tr>
    </w:tbl>
    <w:p>
      <w:pPr>
        <w:spacing w:after="0" w:line="200" w:lineRule="exact"/>
        <w:rPr>
          <w:sz w:val="20"/>
          <w:szCs w:val="20"/>
          <w:color w:val="auto"/>
        </w:rPr>
      </w:pPr>
    </w:p>
    <w:p>
      <w:pPr>
        <w:spacing w:after="0" w:line="326"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The effective tax rate was 25.1% for the quarter ended March 31, 2011, compared with an effective tax rate of 37.3% for the quarter ended March 31, 2010. The provision for income taxes for the quarter ended March 31, 2011 is comprised of foreign income taxes, U.S. federal and state taxes, withholding tax, and includes the benefit from adjustments in our intercompany transfer pricing associated with the benefit of stock options exercised by employees in various foreign subsidiaries.</w:t>
      </w:r>
    </w:p>
    <w:p>
      <w:pPr>
        <w:spacing w:after="0" w:line="187"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The decrease in the effective tax rate for the quarter ended March 31, 2011, compared with the same period in the prior year, is attributable primarily to the federal research tax credit and to adjustments in our intercompany transfer pricing associated with the benefit of stock options exercised by employees in various foreign subsidiaries.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0" w:type="dxa"/>
            <w:vAlign w:val="bottom"/>
          </w:tcPr>
          <w:p>
            <w:pPr>
              <w:spacing w:after="0"/>
              <w:rPr>
                <w:sz w:val="17"/>
                <w:szCs w:val="17"/>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March 31,</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80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89"/>
              </w:rPr>
              <w:t>2011</w:t>
            </w:r>
          </w:p>
        </w:tc>
        <w:tc>
          <w:tcPr>
            <w:tcW w:w="2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5"/>
              </w:rPr>
              <w:t>2010</w:t>
            </w:r>
          </w:p>
        </w:tc>
      </w:tr>
      <w:tr>
        <w:trPr>
          <w:trHeight w:val="33"/>
        </w:trPr>
        <w:tc>
          <w:tcPr>
            <w:tcW w:w="8000" w:type="dxa"/>
            <w:vAlign w:val="bottom"/>
          </w:tcPr>
          <w:p>
            <w:pPr>
              <w:spacing w:after="0"/>
              <w:rPr>
                <w:sz w:val="2"/>
                <w:szCs w:val="2"/>
                <w:color w:val="auto"/>
              </w:rPr>
            </w:pPr>
          </w:p>
        </w:tc>
        <w:tc>
          <w:tcPr>
            <w:tcW w:w="3420" w:type="dxa"/>
            <w:vAlign w:val="bottom"/>
            <w:tcBorders>
              <w:bottom w:val="single" w:sz="8" w:color="auto"/>
            </w:tcBorders>
            <w:gridSpan w:val="3"/>
          </w:tcPr>
          <w:p>
            <w:pPr>
              <w:spacing w:after="0"/>
              <w:rPr>
                <w:sz w:val="2"/>
                <w:szCs w:val="2"/>
                <w:color w:val="auto"/>
              </w:rPr>
            </w:pPr>
          </w:p>
        </w:tc>
      </w:tr>
      <w:tr>
        <w:trPr>
          <w:trHeight w:val="217"/>
        </w:trPr>
        <w:tc>
          <w:tcPr>
            <w:tcW w:w="8000" w:type="dxa"/>
            <w:vAlign w:val="bottom"/>
          </w:tcPr>
          <w:p>
            <w:pPr>
              <w:spacing w:after="0"/>
              <w:rPr>
                <w:sz w:val="18"/>
                <w:szCs w:val="18"/>
                <w:color w:val="auto"/>
              </w:rPr>
            </w:pPr>
          </w:p>
        </w:tc>
        <w:tc>
          <w:tcPr>
            <w:tcW w:w="3420" w:type="dxa"/>
            <w:vAlign w:val="bottom"/>
            <w:gridSpan w:val="3"/>
          </w:tcPr>
          <w:p>
            <w:pPr>
              <w:ind w:left="1020"/>
              <w:spacing w:after="0"/>
              <w:rPr>
                <w:sz w:val="20"/>
                <w:szCs w:val="20"/>
                <w:color w:val="auto"/>
              </w:rPr>
            </w:pPr>
            <w:r>
              <w:rPr>
                <w:rFonts w:ascii="Arial" w:cs="Arial" w:eastAsia="Arial" w:hAnsi="Arial"/>
                <w:sz w:val="16"/>
                <w:szCs w:val="16"/>
                <w:b w:val="1"/>
                <w:bCs w:val="1"/>
                <w:color w:val="auto"/>
              </w:rPr>
              <w:t>($ amounts in 000's)</w:t>
            </w:r>
          </w:p>
        </w:tc>
      </w:tr>
      <w:tr>
        <w:trPr>
          <w:trHeight w:val="33"/>
        </w:trPr>
        <w:tc>
          <w:tcPr>
            <w:tcW w:w="8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68,981</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66,859</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1620" w:type="dxa"/>
            <w:vAlign w:val="bottom"/>
          </w:tcPr>
          <w:p>
            <w:pPr>
              <w:jc w:val="right"/>
              <w:ind w:right="54"/>
              <w:spacing w:after="0"/>
              <w:rPr>
                <w:sz w:val="20"/>
                <w:szCs w:val="20"/>
                <w:color w:val="auto"/>
              </w:rPr>
            </w:pPr>
            <w:r>
              <w:rPr>
                <w:rFonts w:ascii="Arial" w:cs="Arial" w:eastAsia="Arial" w:hAnsi="Arial"/>
                <w:sz w:val="18"/>
                <w:szCs w:val="18"/>
                <w:color w:val="auto"/>
              </w:rPr>
              <w:t>363,722</w:t>
            </w:r>
          </w:p>
        </w:tc>
        <w:tc>
          <w:tcPr>
            <w:tcW w:w="22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320,601</w:t>
            </w:r>
          </w:p>
        </w:tc>
      </w:tr>
      <w:tr>
        <w:trPr>
          <w:trHeight w:val="27"/>
        </w:trPr>
        <w:tc>
          <w:tcPr>
            <w:tcW w:w="80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investments</w:t>
            </w:r>
          </w:p>
        </w:tc>
        <w:tc>
          <w:tcPr>
            <w:tcW w:w="16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432,703</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387,460</w:t>
            </w:r>
          </w:p>
        </w:tc>
      </w:tr>
      <w:tr>
        <w:trPr>
          <w:trHeight w:val="20"/>
        </w:trPr>
        <w:tc>
          <w:tcPr>
            <w:tcW w:w="80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63"/>
        </w:trPr>
        <w:tc>
          <w:tcPr>
            <w:tcW w:w="80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6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16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168,217</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201,776</w:t>
            </w:r>
          </w:p>
        </w:tc>
      </w:tr>
      <w:tr>
        <w:trPr>
          <w:trHeight w:val="20"/>
        </w:trPr>
        <w:tc>
          <w:tcPr>
            <w:tcW w:w="80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562"/>
        </w:trPr>
        <w:tc>
          <w:tcPr>
            <w:tcW w:w="8000" w:type="dxa"/>
            <w:vAlign w:val="bottom"/>
          </w:tcPr>
          <w:p>
            <w:pPr>
              <w:spacing w:after="0"/>
              <w:rPr>
                <w:sz w:val="24"/>
                <w:szCs w:val="24"/>
                <w:color w:val="auto"/>
              </w:rPr>
            </w:pPr>
          </w:p>
        </w:tc>
        <w:tc>
          <w:tcPr>
            <w:tcW w:w="3420" w:type="dxa"/>
            <w:vAlign w:val="bottom"/>
            <w:gridSpan w:val="3"/>
          </w:tcPr>
          <w:p>
            <w:pPr>
              <w:ind w:left="1020"/>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8000" w:type="dxa"/>
            <w:vAlign w:val="bottom"/>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9"/>
        </w:trPr>
        <w:tc>
          <w:tcPr>
            <w:tcW w:w="8000" w:type="dxa"/>
            <w:vAlign w:val="bottom"/>
          </w:tcPr>
          <w:p>
            <w:pPr>
              <w:spacing w:after="0"/>
              <w:rPr>
                <w:sz w:val="18"/>
                <w:szCs w:val="18"/>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March 31,</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4"/>
              </w:rPr>
              <w:t>March 31,</w:t>
            </w:r>
          </w:p>
        </w:tc>
      </w:tr>
      <w:tr>
        <w:trPr>
          <w:trHeight w:val="210"/>
        </w:trPr>
        <w:tc>
          <w:tcPr>
            <w:tcW w:w="80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89"/>
              </w:rPr>
              <w:t>2011</w:t>
            </w:r>
          </w:p>
        </w:tc>
        <w:tc>
          <w:tcPr>
            <w:tcW w:w="2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5"/>
              </w:rPr>
              <w:t>2010</w:t>
            </w:r>
          </w:p>
        </w:tc>
      </w:tr>
      <w:tr>
        <w:trPr>
          <w:trHeight w:val="33"/>
        </w:trPr>
        <w:tc>
          <w:tcPr>
            <w:tcW w:w="8000" w:type="dxa"/>
            <w:vAlign w:val="bottom"/>
          </w:tcPr>
          <w:p>
            <w:pPr>
              <w:spacing w:after="0"/>
              <w:rPr>
                <w:sz w:val="2"/>
                <w:szCs w:val="2"/>
                <w:color w:val="auto"/>
              </w:rPr>
            </w:pPr>
          </w:p>
        </w:tc>
        <w:tc>
          <w:tcPr>
            <w:tcW w:w="3420" w:type="dxa"/>
            <w:vAlign w:val="bottom"/>
            <w:tcBorders>
              <w:bottom w:val="single" w:sz="8" w:color="auto"/>
            </w:tcBorders>
            <w:gridSpan w:val="3"/>
          </w:tcPr>
          <w:p>
            <w:pPr>
              <w:spacing w:after="0"/>
              <w:rPr>
                <w:sz w:val="2"/>
                <w:szCs w:val="2"/>
                <w:color w:val="auto"/>
              </w:rPr>
            </w:pPr>
          </w:p>
        </w:tc>
      </w:tr>
      <w:tr>
        <w:trPr>
          <w:trHeight w:val="217"/>
        </w:trPr>
        <w:tc>
          <w:tcPr>
            <w:tcW w:w="8000" w:type="dxa"/>
            <w:vAlign w:val="bottom"/>
          </w:tcPr>
          <w:p>
            <w:pPr>
              <w:spacing w:after="0"/>
              <w:rPr>
                <w:sz w:val="18"/>
                <w:szCs w:val="18"/>
                <w:color w:val="auto"/>
              </w:rPr>
            </w:pPr>
          </w:p>
        </w:tc>
        <w:tc>
          <w:tcPr>
            <w:tcW w:w="3420" w:type="dxa"/>
            <w:vAlign w:val="bottom"/>
            <w:gridSpan w:val="3"/>
          </w:tcPr>
          <w:p>
            <w:pPr>
              <w:ind w:left="1020"/>
              <w:spacing w:after="0"/>
              <w:rPr>
                <w:sz w:val="20"/>
                <w:szCs w:val="20"/>
                <w:color w:val="auto"/>
              </w:rPr>
            </w:pPr>
            <w:r>
              <w:rPr>
                <w:rFonts w:ascii="Arial" w:cs="Arial" w:eastAsia="Arial" w:hAnsi="Arial"/>
                <w:sz w:val="16"/>
                <w:szCs w:val="16"/>
                <w:b w:val="1"/>
                <w:bCs w:val="1"/>
                <w:color w:val="auto"/>
              </w:rPr>
              <w:t>($ amounts in 000's)</w:t>
            </w:r>
          </w:p>
        </w:tc>
      </w:tr>
      <w:tr>
        <w:trPr>
          <w:trHeight w:val="33"/>
        </w:trPr>
        <w:tc>
          <w:tcPr>
            <w:tcW w:w="8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16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40,176</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21,816</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1620" w:type="dxa"/>
            <w:vAlign w:val="bottom"/>
          </w:tcPr>
          <w:p>
            <w:pPr>
              <w:jc w:val="right"/>
              <w:spacing w:after="0"/>
              <w:rPr>
                <w:sz w:val="20"/>
                <w:szCs w:val="20"/>
                <w:color w:val="auto"/>
              </w:rPr>
            </w:pPr>
            <w:r>
              <w:rPr>
                <w:rFonts w:ascii="Arial" w:cs="Arial" w:eastAsia="Arial" w:hAnsi="Arial"/>
                <w:sz w:val="18"/>
                <w:szCs w:val="18"/>
                <w:color w:val="auto"/>
              </w:rPr>
              <w:t>(46,934)</w:t>
            </w: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(60,972)</w:t>
            </w:r>
          </w:p>
        </w:tc>
      </w:tr>
      <w:tr>
        <w:trPr>
          <w:trHeight w:val="27"/>
        </w:trPr>
        <w:tc>
          <w:tcPr>
            <w:tcW w:w="8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financing activities</w:t>
            </w:r>
          </w:p>
        </w:tc>
        <w:tc>
          <w:tcPr>
            <w:tcW w:w="16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8,075</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1,309</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1620" w:type="dxa"/>
            <w:vAlign w:val="bottom"/>
          </w:tcPr>
          <w:p>
            <w:pPr>
              <w:jc w:val="right"/>
              <w:ind w:right="54"/>
              <w:spacing w:after="0"/>
              <w:rPr>
                <w:sz w:val="20"/>
                <w:szCs w:val="20"/>
                <w:color w:val="auto"/>
              </w:rPr>
            </w:pPr>
            <w:r>
              <w:rPr>
                <w:rFonts w:ascii="Arial" w:cs="Arial" w:eastAsia="Arial" w:hAnsi="Arial"/>
                <w:sz w:val="18"/>
                <w:szCs w:val="18"/>
                <w:color w:val="auto"/>
              </w:rPr>
              <w:t>805</w:t>
            </w: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(356)</w:t>
            </w:r>
          </w:p>
        </w:tc>
      </w:tr>
      <w:tr>
        <w:trPr>
          <w:trHeight w:val="27"/>
        </w:trPr>
        <w:tc>
          <w:tcPr>
            <w:tcW w:w="80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6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2,122</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(38,203)</w:t>
            </w:r>
          </w:p>
        </w:tc>
      </w:tr>
      <w:tr>
        <w:trPr>
          <w:trHeight w:val="20"/>
        </w:trPr>
        <w:tc>
          <w:tcPr>
            <w:tcW w:w="80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At March 31, 2011, our cash, cash equivalents and investments of $432.7 million were invested primarily in money market funds, commercial paper, corporate debt securities and U.S. government debt securities. We do not enter into investments for trading or speculative purposes. We believe that our cash from operations together with existing cash and cash equivalents will be sufficient to meet our anticipated cash needs for at least the next 12 months. Our future capital requirements will depend on many factors including our growth rate, the timing and extent of spending necessary to support development efforts, the expansion of sales and marketing activities, the introduction of new and enhanced products and services offerings, the costs to ensure the continuing market acceptance of our products, and any capital for acquisitions.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60" w:type="dxa"/>
            <w:vAlign w:val="bottom"/>
          </w:tcPr>
          <w:p>
            <w:pPr>
              <w:spacing w:after="0"/>
              <w:rPr>
                <w:sz w:val="18"/>
                <w:szCs w:val="18"/>
                <w:color w:val="auto"/>
              </w:rPr>
            </w:pPr>
          </w:p>
        </w:tc>
        <w:tc>
          <w:tcPr>
            <w:tcW w:w="2960" w:type="dxa"/>
            <w:vAlign w:val="bottom"/>
            <w:gridSpan w:val="3"/>
          </w:tcPr>
          <w:p>
            <w:pPr>
              <w:jc w:val="right"/>
              <w:ind w:right="631"/>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846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8460" w:type="dxa"/>
            <w:vAlign w:val="bottom"/>
          </w:tcPr>
          <w:p>
            <w:pPr>
              <w:spacing w:after="0"/>
              <w:rPr>
                <w:sz w:val="18"/>
                <w:szCs w:val="18"/>
                <w:color w:val="auto"/>
              </w:rPr>
            </w:pPr>
          </w:p>
        </w:tc>
        <w:tc>
          <w:tcPr>
            <w:tcW w:w="1600" w:type="dxa"/>
            <w:vAlign w:val="bottom"/>
            <w:gridSpan w:val="2"/>
          </w:tcPr>
          <w:p>
            <w:pPr>
              <w:ind w:left="320"/>
              <w:spacing w:after="0"/>
              <w:rPr>
                <w:sz w:val="20"/>
                <w:szCs w:val="20"/>
                <w:color w:val="auto"/>
              </w:rPr>
            </w:pPr>
            <w:r>
              <w:rPr>
                <w:rFonts w:ascii="Arial" w:cs="Arial" w:eastAsia="Arial" w:hAnsi="Arial"/>
                <w:sz w:val="16"/>
                <w:szCs w:val="16"/>
                <w:b w:val="1"/>
                <w:bCs w:val="1"/>
                <w:color w:val="auto"/>
              </w:rPr>
              <w:t>March 31,</w:t>
            </w:r>
          </w:p>
        </w:tc>
        <w:tc>
          <w:tcPr>
            <w:tcW w:w="1360" w:type="dxa"/>
            <w:vAlign w:val="bottom"/>
          </w:tcPr>
          <w:p>
            <w:pPr>
              <w:jc w:val="right"/>
              <w:ind w:right="251"/>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8460" w:type="dxa"/>
            <w:vAlign w:val="bottom"/>
          </w:tcPr>
          <w:p>
            <w:pPr>
              <w:spacing w:after="0"/>
              <w:rPr>
                <w:sz w:val="18"/>
                <w:szCs w:val="18"/>
                <w:color w:val="auto"/>
              </w:rPr>
            </w:pPr>
          </w:p>
        </w:tc>
        <w:tc>
          <w:tcPr>
            <w:tcW w:w="1380" w:type="dxa"/>
            <w:vAlign w:val="bottom"/>
          </w:tcPr>
          <w:p>
            <w:pPr>
              <w:jc w:val="right"/>
              <w:ind w:right="452"/>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1360" w:type="dxa"/>
            <w:vAlign w:val="bottom"/>
          </w:tcPr>
          <w:p>
            <w:pPr>
              <w:jc w:val="right"/>
              <w:ind w:right="431"/>
              <w:spacing w:after="0"/>
              <w:rPr>
                <w:sz w:val="20"/>
                <w:szCs w:val="20"/>
                <w:color w:val="auto"/>
              </w:rPr>
            </w:pPr>
            <w:r>
              <w:rPr>
                <w:rFonts w:ascii="Arial" w:cs="Arial" w:eastAsia="Arial" w:hAnsi="Arial"/>
                <w:sz w:val="16"/>
                <w:szCs w:val="16"/>
                <w:b w:val="1"/>
                <w:bCs w:val="1"/>
                <w:color w:val="auto"/>
              </w:rPr>
              <w:t>2010</w:t>
            </w:r>
          </w:p>
        </w:tc>
      </w:tr>
      <w:tr>
        <w:trPr>
          <w:trHeight w:val="33"/>
        </w:trPr>
        <w:tc>
          <w:tcPr>
            <w:tcW w:w="8460" w:type="dxa"/>
            <w:vAlign w:val="bottom"/>
          </w:tcPr>
          <w:p>
            <w:pPr>
              <w:spacing w:after="0"/>
              <w:rPr>
                <w:sz w:val="2"/>
                <w:szCs w:val="2"/>
                <w:color w:val="auto"/>
              </w:rPr>
            </w:pPr>
          </w:p>
        </w:tc>
        <w:tc>
          <w:tcPr>
            <w:tcW w:w="2960" w:type="dxa"/>
            <w:vAlign w:val="bottom"/>
            <w:tcBorders>
              <w:bottom w:val="single" w:sz="8" w:color="auto"/>
            </w:tcBorders>
            <w:gridSpan w:val="3"/>
          </w:tcPr>
          <w:p>
            <w:pPr>
              <w:spacing w:after="0"/>
              <w:rPr>
                <w:sz w:val="2"/>
                <w:szCs w:val="2"/>
                <w:color w:val="auto"/>
              </w:rPr>
            </w:pPr>
          </w:p>
        </w:tc>
      </w:tr>
      <w:tr>
        <w:trPr>
          <w:trHeight w:val="217"/>
        </w:trPr>
        <w:tc>
          <w:tcPr>
            <w:tcW w:w="8460" w:type="dxa"/>
            <w:vAlign w:val="bottom"/>
          </w:tcPr>
          <w:p>
            <w:pPr>
              <w:spacing w:after="0"/>
              <w:rPr>
                <w:sz w:val="18"/>
                <w:szCs w:val="18"/>
                <w:color w:val="auto"/>
              </w:rPr>
            </w:pPr>
          </w:p>
        </w:tc>
        <w:tc>
          <w:tcPr>
            <w:tcW w:w="2960" w:type="dxa"/>
            <w:vAlign w:val="bottom"/>
            <w:gridSpan w:val="3"/>
          </w:tcPr>
          <w:p>
            <w:pPr>
              <w:jc w:val="right"/>
              <w:ind w:right="671"/>
              <w:spacing w:after="0"/>
              <w:rPr>
                <w:sz w:val="20"/>
                <w:szCs w:val="20"/>
                <w:color w:val="auto"/>
              </w:rPr>
            </w:pPr>
            <w:r>
              <w:rPr>
                <w:rFonts w:ascii="Arial" w:cs="Arial" w:eastAsia="Arial" w:hAnsi="Arial"/>
                <w:sz w:val="16"/>
                <w:szCs w:val="16"/>
                <w:b w:val="1"/>
                <w:bCs w:val="1"/>
                <w:color w:val="auto"/>
              </w:rPr>
              <w:t>($ amounts in 000's)</w:t>
            </w:r>
          </w:p>
        </w:tc>
      </w:tr>
      <w:tr>
        <w:trPr>
          <w:trHeight w:val="33"/>
        </w:trPr>
        <w:tc>
          <w:tcPr>
            <w:tcW w:w="8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13,587</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4,218</w:t>
            </w:r>
          </w:p>
        </w:tc>
      </w:tr>
      <w:tr>
        <w:trPr>
          <w:trHeight w:val="270"/>
        </w:trPr>
        <w:tc>
          <w:tcPr>
            <w:tcW w:w="84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Adjustments for non-cash charges </w:t>
            </w:r>
            <w:r>
              <w:rPr>
                <w:rFonts w:ascii="Arial" w:cs="Arial" w:eastAsia="Arial" w:hAnsi="Arial"/>
                <w:sz w:val="25"/>
                <w:szCs w:val="25"/>
                <w:color w:val="auto"/>
                <w:vertAlign w:val="superscript"/>
              </w:rPr>
              <w:t>(1)</w:t>
            </w: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6,894</w:t>
            </w:r>
          </w:p>
        </w:tc>
        <w:tc>
          <w:tcPr>
            <w:tcW w:w="22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3,818</w:t>
            </w: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before non-cash charges</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20,481</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8,036</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Increase in deferred revenues</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13,398</w:t>
            </w:r>
          </w:p>
        </w:tc>
        <w:tc>
          <w:tcPr>
            <w:tcW w:w="2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9,607</w:t>
            </w:r>
          </w:p>
        </w:tc>
      </w:tr>
      <w:tr>
        <w:trPr>
          <w:trHeight w:val="27"/>
        </w:trPr>
        <w:tc>
          <w:tcPr>
            <w:tcW w:w="8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income tax payable and deferred tax assets, net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4,633</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1,353</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(Decrease) Increase in accrued payroll and compensation</w:t>
            </w:r>
          </w:p>
        </w:tc>
        <w:tc>
          <w:tcPr>
            <w:tcW w:w="138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839</w:t>
            </w:r>
          </w:p>
        </w:tc>
      </w:tr>
      <w:tr>
        <w:trPr>
          <w:trHeight w:val="27"/>
        </w:trPr>
        <w:tc>
          <w:tcPr>
            <w:tcW w:w="8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accounts payable and accrued liabilities, net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Increase in other liabilities</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3,623</w:t>
            </w:r>
          </w:p>
        </w:tc>
        <w:tc>
          <w:tcPr>
            <w:tcW w:w="2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accounts receivable</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1,009</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3,236</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Decrease (Increase) in inventories</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550</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8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prepaid expenses and other assets, net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97"/>
        </w:trPr>
        <w:tc>
          <w:tcPr>
            <w:tcW w:w="8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3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40,176</w:t>
            </w:r>
          </w:p>
        </w:tc>
        <w:tc>
          <w:tcPr>
            <w:tcW w:w="220" w:type="dxa"/>
            <w:vAlign w:val="bottom"/>
            <w:tcBorders>
              <w:bottom w:val="single" w:sz="8" w:color="CCEEFF"/>
            </w:tcBorders>
          </w:tcPr>
          <w:p>
            <w:pPr>
              <w:spacing w:after="0"/>
              <w:rPr>
                <w:sz w:val="24"/>
                <w:szCs w:val="24"/>
                <w:color w:val="auto"/>
              </w:rPr>
            </w:pP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21,816</w:t>
            </w:r>
          </w:p>
        </w:tc>
      </w:tr>
      <w:tr>
        <w:trPr>
          <w:trHeight w:val="230"/>
        </w:trPr>
        <w:tc>
          <w:tcPr>
            <w:tcW w:w="8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7"/>
        </w:trPr>
        <w:tc>
          <w:tcPr>
            <w:tcW w:w="84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ind w:left="740" w:right="20" w:hanging="732"/>
        <w:spacing w:after="0" w:line="261" w:lineRule="auto"/>
        <w:tabs>
          <w:tab w:leader="none" w:pos="265"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Non-cash charges primarily consist of stock-based compensation expense, depreciation and amortization, write-off of intangible assets, gain on disposal of fixed assets, amortization of investment premiums, and excess tax benefit from employee stock option plans.</w:t>
      </w:r>
    </w:p>
    <w:p>
      <w:pPr>
        <w:sectPr>
          <w:pgSz w:w="11900" w:h="16838" w:orient="portrait"/>
          <w:cols w:equalWidth="0" w:num="1">
            <w:col w:w="11420"/>
          </w:cols>
          <w:pgMar w:left="240" w:top="125"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5"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operating activities during the three months ended March 31, 2011 provided $40.2 million in cash as a result of net income of $13.6 million, increased by non-cash adjustments of $6.9 million and sources of cash of $23.2 million partially offset by uses of cash of $3.5 million. Non-cash adjustments consist of stock-based compensation of $3.1 million, amortization of investment premiums of $3.2 million, and depreciation and amortization of $1.7 million, offset by an excess tax benefit from employee stock option exercises of $1.1 million. Sources of cash were related to a $13.4 million increase in deferred revenue which was attributable primarily to increased sales of our subscription and support services, which have yet to be recognized in income, a $4.6 million increase in income tax payable, due to our continued profitability and timing of tax payments, a $3.6 million increase in other liabilities, mainly due to the deferral of the patent litigation settlement, which is being amortized over three years, a $1.0 million decrease in accounts receivable due to higher collections, and a $0.6 million decrease in inventory (net of evaluation equipment for internal use, which was transferred to fixed assets) due to better inventory management. Uses of cash were related to a $1.7 million increase in prepaid expenses and other assets and a $1.8 million decrease in accounts payable and accrued liabilities.</w:t>
      </w:r>
    </w:p>
    <w:p>
      <w:pPr>
        <w:spacing w:after="0" w:line="178"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In the first quarter of 2010, operating activities provided $21.8 million in cash as a result of net income of $4.2 million, reduced by non-cash items such as an excess tax benefit from employee stock option plans of $0.8 million, increased by stock-based compensation amounts of $2.1 million, depreciation and amortization amounts of $1.4 million, and amortization of investment premiums of $1.1 million. Changes in operating assets and liabilities provided $13.8 million in cash. Sources of cash totaled $15.4 million and were related to a $9.6 million increase in deferred revenue which was attributable primarily to increased sales of our subscription and support services, a $0.4 million decrease in deferred cost of revenue, a $3.2 million decrease in accounts receivable, a $0.8 million increase in accrued payroll and compensation primarily related to increased headcount, and a $1.4 million increase in taxes payable. Uses of cash totaled $1.6 million and were related to a $0.5 million increase in prepaid expenses and other assets, and a $1.1 million decrease in accounts payable and accrued liabilities, related to timing of payments.</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Our investing activities during the three months ended March 31, 2011 and March 31, 2010 consisted primarily of purchases and sales of investments, and to a lesser extent capital expenditures. The $46.9 million of cash used by investing activities during the three months ended months ended March 31, 2011 was due to net purchases of investments of $46.2 million and $0.7 million used for capital expenditures (net of evaluation equipment for internal use, which was transferred from inventory).</w:t>
      </w:r>
    </w:p>
    <w:p>
      <w:pPr>
        <w:spacing w:after="0" w:line="187"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Our investing activities during the first quarter of 2010 consisted primarily of purchases and sales of investments and capital expenditures. The $61.0 million of cash used by investing activities was due primarily to net purchases of investments of $60.0 million. Additionally, we used cash of $1.0 million for capital expenditures.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360" w:firstLine="486"/>
        <w:spacing w:after="0" w:line="342" w:lineRule="auto"/>
        <w:rPr>
          <w:sz w:val="20"/>
          <w:szCs w:val="20"/>
          <w:color w:val="auto"/>
        </w:rPr>
      </w:pPr>
      <w:r>
        <w:rPr>
          <w:rFonts w:ascii="Arial" w:cs="Arial" w:eastAsia="Arial" w:hAnsi="Arial"/>
          <w:sz w:val="16"/>
          <w:szCs w:val="16"/>
          <w:color w:val="auto"/>
        </w:rPr>
        <w:t>Our financing activities in the three months ended March 31, 2011 resulted in net cash provided of $8.1 million as a result of receiving proceeds of $7.0 million from the exercise of options to purchase our common stock and an excess tax benefit from employee stock option exercises of $1.1 million.</w:t>
      </w:r>
    </w:p>
    <w:p>
      <w:pPr>
        <w:spacing w:after="0" w:line="124" w:lineRule="exact"/>
        <w:rPr>
          <w:sz w:val="20"/>
          <w:szCs w:val="20"/>
          <w:color w:val="auto"/>
        </w:rPr>
      </w:pPr>
    </w:p>
    <w:p>
      <w:pPr>
        <w:jc w:val="both"/>
        <w:ind w:right="200" w:firstLine="432"/>
        <w:spacing w:after="0" w:line="286" w:lineRule="auto"/>
        <w:rPr>
          <w:sz w:val="20"/>
          <w:szCs w:val="20"/>
          <w:color w:val="auto"/>
        </w:rPr>
      </w:pPr>
      <w:r>
        <w:rPr>
          <w:rFonts w:ascii="Arial" w:cs="Arial" w:eastAsia="Arial" w:hAnsi="Arial"/>
          <w:sz w:val="17"/>
          <w:szCs w:val="17"/>
          <w:color w:val="auto"/>
        </w:rPr>
        <w:t>Our financing activities in the first quarter of 2010 resulted in net cash provided of $1.3 million as a result of receiving proceeds of $1.4 million from the exercise of options to purchase our common stock and an excess tax benefit from employee stock option exercises of $0.8 million, all partially offset by $0.9 million issuance cost paid in connection with our initial public offering, which had been accrued as of December 31,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summarizes our contractual obligations as of March 31, 2011: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2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90"/>
              </w:rPr>
              <w:t>Payments Due By Period</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0" w:type="dxa"/>
            <w:vAlign w:val="bottom"/>
            <w:gridSpan w:val="2"/>
          </w:tcPr>
          <w:p>
            <w:pPr>
              <w:jc w:val="right"/>
              <w:ind w:right="473"/>
              <w:spacing w:after="0"/>
              <w:rPr>
                <w:sz w:val="20"/>
                <w:szCs w:val="20"/>
                <w:color w:val="auto"/>
              </w:rPr>
            </w:pPr>
            <w:r>
              <w:rPr>
                <w:rFonts w:ascii="Arial" w:cs="Arial" w:eastAsia="Arial" w:hAnsi="Arial"/>
                <w:sz w:val="16"/>
                <w:szCs w:val="16"/>
                <w:b w:val="1"/>
                <w:bCs w:val="1"/>
                <w:color w:val="auto"/>
              </w:rPr>
              <w:t>1-3</w:t>
            </w:r>
          </w:p>
        </w:tc>
        <w:tc>
          <w:tcPr>
            <w:tcW w:w="220" w:type="dxa"/>
            <w:vAlign w:val="bottom"/>
          </w:tcPr>
          <w:p>
            <w:pPr>
              <w:spacing w:after="0"/>
              <w:rPr>
                <w:sz w:val="18"/>
                <w:szCs w:val="18"/>
                <w:color w:val="auto"/>
              </w:rPr>
            </w:pPr>
          </w:p>
        </w:tc>
        <w:tc>
          <w:tcPr>
            <w:tcW w:w="1380" w:type="dxa"/>
            <w:vAlign w:val="bottom"/>
          </w:tcPr>
          <w:p>
            <w:pPr>
              <w:jc w:val="right"/>
              <w:ind w:right="473"/>
              <w:spacing w:after="0"/>
              <w:rPr>
                <w:sz w:val="20"/>
                <w:szCs w:val="20"/>
                <w:color w:val="auto"/>
              </w:rPr>
            </w:pPr>
            <w:r>
              <w:rPr>
                <w:rFonts w:ascii="Arial" w:cs="Arial" w:eastAsia="Arial" w:hAnsi="Arial"/>
                <w:sz w:val="16"/>
                <w:szCs w:val="16"/>
                <w:b w:val="1"/>
                <w:bCs w:val="1"/>
                <w:color w:val="auto"/>
              </w:rPr>
              <w:t>4-5</w:t>
            </w:r>
          </w:p>
        </w:tc>
        <w:tc>
          <w:tcPr>
            <w:tcW w:w="200" w:type="dxa"/>
            <w:vAlign w:val="bottom"/>
          </w:tcPr>
          <w:p>
            <w:pPr>
              <w:spacing w:after="0"/>
              <w:rPr>
                <w:sz w:val="18"/>
                <w:szCs w:val="18"/>
                <w:color w:val="auto"/>
              </w:rPr>
            </w:pPr>
          </w:p>
        </w:tc>
        <w:tc>
          <w:tcPr>
            <w:tcW w:w="1360" w:type="dxa"/>
            <w:vAlign w:val="bottom"/>
          </w:tcPr>
          <w:p>
            <w:pPr>
              <w:ind w:left="300"/>
              <w:spacing w:after="0"/>
              <w:rPr>
                <w:sz w:val="20"/>
                <w:szCs w:val="20"/>
                <w:color w:val="auto"/>
              </w:rPr>
            </w:pPr>
            <w:r>
              <w:rPr>
                <w:rFonts w:ascii="Arial" w:cs="Arial" w:eastAsia="Arial" w:hAnsi="Arial"/>
                <w:sz w:val="16"/>
                <w:szCs w:val="16"/>
                <w:b w:val="1"/>
                <w:bCs w:val="1"/>
                <w:color w:val="auto"/>
              </w:rPr>
              <w:t>More Than</w:t>
            </w:r>
          </w:p>
        </w:tc>
        <w:tc>
          <w:tcPr>
            <w:tcW w:w="0" w:type="dxa"/>
            <w:vAlign w:val="bottom"/>
          </w:tcPr>
          <w:p>
            <w:pPr>
              <w:spacing w:after="0"/>
              <w:rPr>
                <w:sz w:val="1"/>
                <w:szCs w:val="1"/>
                <w:color w:val="auto"/>
              </w:rPr>
            </w:pPr>
          </w:p>
        </w:tc>
      </w:tr>
      <w:tr>
        <w:trPr>
          <w:trHeight w:val="210"/>
        </w:trPr>
        <w:tc>
          <w:tcPr>
            <w:tcW w:w="3660" w:type="dxa"/>
            <w:vAlign w:val="bottom"/>
          </w:tcPr>
          <w:p>
            <w:pPr>
              <w:spacing w:after="0"/>
              <w:rPr>
                <w:sz w:val="18"/>
                <w:szCs w:val="18"/>
                <w:color w:val="auto"/>
              </w:rPr>
            </w:pPr>
          </w:p>
        </w:tc>
        <w:tc>
          <w:tcPr>
            <w:tcW w:w="1620" w:type="dxa"/>
            <w:vAlign w:val="bottom"/>
            <w:gridSpan w:val="2"/>
          </w:tcPr>
          <w:p>
            <w:pPr>
              <w:ind w:left="520"/>
              <w:spacing w:after="0"/>
              <w:rPr>
                <w:sz w:val="20"/>
                <w:szCs w:val="20"/>
                <w:color w:val="auto"/>
              </w:rPr>
            </w:pPr>
            <w:r>
              <w:rPr>
                <w:rFonts w:ascii="Arial" w:cs="Arial" w:eastAsia="Arial" w:hAnsi="Arial"/>
                <w:sz w:val="16"/>
                <w:szCs w:val="16"/>
                <w:b w:val="1"/>
                <w:bCs w:val="1"/>
                <w:color w:val="auto"/>
              </w:rPr>
              <w:t>Total</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w w:val="92"/>
              </w:rPr>
              <w:t>Remainder of 2011</w:t>
            </w:r>
          </w:p>
        </w:tc>
        <w:tc>
          <w:tcPr>
            <w:tcW w:w="220" w:type="dxa"/>
            <w:vAlign w:val="bottom"/>
          </w:tcPr>
          <w:p>
            <w:pPr>
              <w:spacing w:after="0"/>
              <w:rPr>
                <w:sz w:val="18"/>
                <w:szCs w:val="18"/>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Years</w:t>
            </w:r>
          </w:p>
        </w:tc>
        <w:tc>
          <w:tcPr>
            <w:tcW w:w="1580" w:type="dxa"/>
            <w:vAlign w:val="bottom"/>
            <w:gridSpan w:val="2"/>
          </w:tcPr>
          <w:p>
            <w:pPr>
              <w:ind w:left="520"/>
              <w:spacing w:after="0"/>
              <w:rPr>
                <w:sz w:val="20"/>
                <w:szCs w:val="20"/>
                <w:color w:val="auto"/>
              </w:rPr>
            </w:pPr>
            <w:r>
              <w:rPr>
                <w:rFonts w:ascii="Arial" w:cs="Arial" w:eastAsia="Arial" w:hAnsi="Arial"/>
                <w:sz w:val="16"/>
                <w:szCs w:val="16"/>
                <w:b w:val="1"/>
                <w:bCs w:val="1"/>
                <w:color w:val="auto"/>
              </w:rPr>
              <w:t>Years</w:t>
            </w:r>
          </w:p>
        </w:tc>
        <w:tc>
          <w:tcPr>
            <w:tcW w:w="1360" w:type="dxa"/>
            <w:vAlign w:val="bottom"/>
          </w:tcPr>
          <w:p>
            <w:pPr>
              <w:ind w:left="440"/>
              <w:spacing w:after="0"/>
              <w:rPr>
                <w:sz w:val="20"/>
                <w:szCs w:val="20"/>
                <w:color w:val="auto"/>
              </w:rPr>
            </w:pPr>
            <w:r>
              <w:rPr>
                <w:rFonts w:ascii="Arial" w:cs="Arial" w:eastAsia="Arial" w:hAnsi="Arial"/>
                <w:sz w:val="16"/>
                <w:szCs w:val="16"/>
                <w:b w:val="1"/>
                <w:bCs w:val="1"/>
                <w:color w:val="auto"/>
              </w:rPr>
              <w:t>5 Years</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2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91"/>
              </w:rPr>
              <w:t>($ amounts in 000's)</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5"/>
                <w:szCs w:val="25"/>
                <w:color w:val="auto"/>
                <w:vertAlign w:val="superscript"/>
              </w:rPr>
              <w:t>(1)</w:t>
            </w: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18,710</w:t>
            </w:r>
          </w:p>
        </w:tc>
        <w:tc>
          <w:tcPr>
            <w:tcW w:w="2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5,705</w:t>
            </w:r>
          </w:p>
        </w:tc>
        <w:tc>
          <w:tcPr>
            <w:tcW w:w="160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11,609</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1,396</w:t>
            </w: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Purchase commitments </w:t>
            </w:r>
            <w:r>
              <w:rPr>
                <w:rFonts w:ascii="Arial" w:cs="Arial" w:eastAsia="Arial" w:hAnsi="Arial"/>
                <w:sz w:val="25"/>
                <w:szCs w:val="25"/>
                <w:color w:val="auto"/>
                <w:vertAlign w:val="superscript"/>
              </w:rPr>
              <w:t>(2)</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6,112</w:t>
            </w:r>
          </w:p>
        </w:tc>
        <w:tc>
          <w:tcPr>
            <w:tcW w:w="240" w:type="dxa"/>
            <w:vAlign w:val="bottom"/>
          </w:tcPr>
          <w:p>
            <w:pPr>
              <w:spacing w:after="0"/>
              <w:rPr>
                <w:sz w:val="23"/>
                <w:szCs w:val="23"/>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6,112</w:t>
            </w:r>
          </w:p>
        </w:tc>
        <w:tc>
          <w:tcPr>
            <w:tcW w:w="220" w:type="dxa"/>
            <w:vAlign w:val="bottom"/>
          </w:tcPr>
          <w:p>
            <w:pPr>
              <w:spacing w:after="0"/>
              <w:rPr>
                <w:sz w:val="23"/>
                <w:szCs w:val="23"/>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Royalty commitments </w:t>
            </w:r>
            <w:r>
              <w:rPr>
                <w:rFonts w:ascii="Arial" w:cs="Arial" w:eastAsia="Arial" w:hAnsi="Arial"/>
                <w:sz w:val="25"/>
                <w:szCs w:val="25"/>
                <w:color w:val="auto"/>
                <w:vertAlign w:val="superscript"/>
              </w:rPr>
              <w:t>(3)</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3,750</w:t>
            </w:r>
          </w:p>
        </w:tc>
        <w:tc>
          <w:tcPr>
            <w:tcW w:w="24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750</w:t>
            </w:r>
          </w:p>
        </w:tc>
        <w:tc>
          <w:tcPr>
            <w:tcW w:w="22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2,500</w:t>
            </w:r>
          </w:p>
        </w:tc>
        <w:tc>
          <w:tcPr>
            <w:tcW w:w="22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3660" w:type="dxa"/>
            <w:vAlign w:val="bottom"/>
          </w:tcPr>
          <w:p>
            <w:pPr>
              <w:ind w:left="180"/>
              <w:spacing w:after="0" w:line="264"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5"/>
                <w:szCs w:val="25"/>
                <w:color w:val="auto"/>
                <w:vertAlign w:val="superscript"/>
              </w:rPr>
              <w:t>(4)</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28,572</w:t>
            </w:r>
          </w:p>
        </w:tc>
        <w:tc>
          <w:tcPr>
            <w:tcW w:w="240" w:type="dxa"/>
            <w:vAlign w:val="bottom"/>
          </w:tcPr>
          <w:p>
            <w:pPr>
              <w:spacing w:after="0"/>
              <w:rPr>
                <w:sz w:val="22"/>
                <w:szCs w:val="22"/>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12,567</w:t>
            </w:r>
          </w:p>
        </w:tc>
        <w:tc>
          <w:tcPr>
            <w:tcW w:w="1600" w:type="dxa"/>
            <w:vAlign w:val="bottom"/>
            <w:gridSpan w:val="2"/>
          </w:tcPr>
          <w:p>
            <w:pPr>
              <w:jc w:val="right"/>
              <w:ind w:right="33"/>
              <w:spacing w:after="0"/>
              <w:rPr>
                <w:sz w:val="20"/>
                <w:szCs w:val="20"/>
                <w:color w:val="auto"/>
              </w:rPr>
            </w:pPr>
            <w:r>
              <w:rPr>
                <w:rFonts w:ascii="Arial" w:cs="Arial" w:eastAsia="Arial" w:hAnsi="Arial"/>
                <w:sz w:val="18"/>
                <w:szCs w:val="18"/>
                <w:color w:val="auto"/>
              </w:rPr>
              <w:t>14,109</w:t>
            </w:r>
          </w:p>
        </w:tc>
        <w:tc>
          <w:tcPr>
            <w:tcW w:w="220" w:type="dxa"/>
            <w:vAlign w:val="bottom"/>
          </w:tcPr>
          <w:p>
            <w:pPr>
              <w:spacing w:after="0"/>
              <w:rPr>
                <w:sz w:val="22"/>
                <w:szCs w:val="22"/>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1,896</w:t>
            </w:r>
          </w:p>
        </w:tc>
        <w:tc>
          <w:tcPr>
            <w:tcW w:w="200" w:type="dxa"/>
            <w:vAlign w:val="bottom"/>
          </w:tcPr>
          <w:p>
            <w:pPr>
              <w:spacing w:after="0"/>
              <w:rPr>
                <w:sz w:val="22"/>
                <w:szCs w:val="22"/>
                <w:color w:val="auto"/>
              </w:rPr>
            </w:pPr>
          </w:p>
        </w:tc>
        <w:tc>
          <w:tcPr>
            <w:tcW w:w="1360" w:type="dxa"/>
            <w:vAlign w:val="bottom"/>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6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660" w:type="dxa"/>
            <w:vAlign w:val="bottom"/>
            <w:vMerge w:val="continue"/>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00" w:hanging="392"/>
        <w:spacing w:after="0"/>
        <w:tabs>
          <w:tab w:leader="none" w:pos="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contractual obligations from non-cancelable office space under operating leases.</w:t>
      </w:r>
    </w:p>
    <w:p>
      <w:pPr>
        <w:spacing w:after="0" w:line="23" w:lineRule="exact"/>
        <w:rPr>
          <w:rFonts w:ascii="Arial" w:cs="Arial" w:eastAsia="Arial" w:hAnsi="Arial"/>
          <w:sz w:val="18"/>
          <w:szCs w:val="18"/>
          <w:color w:val="auto"/>
        </w:rPr>
      </w:pPr>
    </w:p>
    <w:p>
      <w:pPr>
        <w:ind w:left="400" w:hanging="392"/>
        <w:spacing w:after="0"/>
        <w:tabs>
          <w:tab w:leader="none" w:pos="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minimum purchase commitments with independent contract manufacturers.</w:t>
      </w:r>
    </w:p>
    <w:p>
      <w:pPr>
        <w:spacing w:after="0" w:line="9" w:lineRule="exact"/>
        <w:rPr>
          <w:rFonts w:ascii="Arial" w:cs="Arial" w:eastAsia="Arial" w:hAnsi="Arial"/>
          <w:sz w:val="18"/>
          <w:szCs w:val="18"/>
          <w:color w:val="auto"/>
        </w:rPr>
      </w:pPr>
    </w:p>
    <w:p>
      <w:pPr>
        <w:ind w:left="500" w:right="560" w:hanging="492"/>
        <w:spacing w:after="0" w:line="265" w:lineRule="auto"/>
        <w:tabs>
          <w:tab w:leader="none" w:pos="404"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Consists of minimum royalties claimed by Trend Micro pursuant to the January 2006 settlement and license agreement between Trend Micro and Fortinet, which are subject to dispute. See “Part II: Item 1 - Legal Proceedings.” We have accrued $4.9 million as of March 31, 2011, related to amounts under the settlement and license agreement with Trend Micro which have not been paid pursuant to the dispute.</w:t>
      </w:r>
    </w:p>
    <w:p>
      <w:pPr>
        <w:ind w:left="500" w:right="480" w:hanging="492"/>
        <w:spacing w:after="0" w:line="255" w:lineRule="auto"/>
        <w:tabs>
          <w:tab w:leader="none" w:pos="4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amounts related to ASC 740-10 (FIN 48) are included. As of March 31, 2011, we had approximately $15.9 million of tax liabilities, including interest, related to uncertain tax positions. Because of the high degree of uncertainty regarding the settlement of these liabilities, we are unable to estimate the years in which future cash outflows may occur.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right="380" w:firstLine="486"/>
        <w:spacing w:after="0" w:line="264" w:lineRule="auto"/>
        <w:rPr>
          <w:sz w:val="20"/>
          <w:szCs w:val="20"/>
          <w:color w:val="auto"/>
        </w:rPr>
      </w:pPr>
      <w:r>
        <w:rPr>
          <w:rFonts w:ascii="Arial" w:cs="Arial" w:eastAsia="Arial" w:hAnsi="Arial"/>
          <w:sz w:val="18"/>
          <w:szCs w:val="18"/>
          <w:color w:val="auto"/>
        </w:rPr>
        <w:t>As of March 31, 2011,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See Note 1 of Notes to Condensed Consolidated Financial Statements for recent accounting pronouncements that could have an effect on us.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There have been no material changes in our market risk during the three months ended March 31, 2011, compared to the disclosures in Part II, Item 7A of our Annual Report on Form 10-K for the year ended December 31,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Rules 13a-15(e) or 15d-15(e) under the Securities Exchange Act of 1934, as amended (the “Exchange Act”)) as of March 31, 2011.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93"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Based on that evaluation, our chief executive officer and chief financial officer concluded that our disclosure controls and procedures were effective as of March 31, 2011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There were no changes in our internal control over financial reporting (as defined in Rules 13a-15(f) or 15d-15(f) under the Exchange Act) during our first quarter of 2011 that have materially affected, or are reasonably likely to materially affect,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internal control over financial reporting.</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August 2009, Trend Micro Incorporated (“Trend Micro”) filed a complaint against us in the Superior Court of the State of California for Santa Clara County alleging breach of contract and seeking a declaratory judgment that we are obligated to make certain royalty payments to Trend Micro pursuant to a settlement and license agreement entered into in January 2006. We maintain that the patents that are the basis for the royalty payments are invalid and consequently that we have no contractual obligation to pay the royalties. We filed an action in the U.S. District Court for the Northern District of California that is stayed pending the resolution of the state court action. We have continued to accrue expense based on the quarterly royalties provided for in the settlement and license agreement. In January 2011, in response to petitions for re-examination we filed with the U.S. Patent and Trademark Office (“PTO”), the PTO issued an initial office action that the Trend Micro patents allegedly forming the basis for the royalty payments are invalid. Trend Micro has responded disputing this initial office action.</w:t>
      </w:r>
    </w:p>
    <w:p>
      <w:pPr>
        <w:spacing w:after="0" w:line="19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August 2009, Enhanced Security Research, LLC and Security Research Holdings LLC (collectively “ESR”), a non-practicing entity, filed a complaint against us in the U.S. District Court for the District of Delaware alleging infringement by us and other defendants of two patents. In June 2010, the Court granted our motion to stay pending the outcome of reexamination proceedings on both asserted patents. There is a related action that was dismissed by the Court, and that dismissal has been appealed by ESR to the Federal Circuit.</w:t>
      </w:r>
    </w:p>
    <w:p>
      <w:pPr>
        <w:spacing w:after="0" w:line="18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 July 2010, Network Protection Sciences, LLC ("NPS"), a non-practicing entity, filed a complaint in the United States District Court for the Eastern District of Texas alleging patent infringement by us and other defendants. In January 2011, we filed with the PTO a petition for re-examination of the patent asserted by NPS. Currently the case is in the early stages.</w:t>
      </w:r>
    </w:p>
    <w:p>
      <w:pPr>
        <w:spacing w:after="0" w:line="18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April 2010, an individual, a former stockholder of Fortinet, filed a class action lawsuit against us in the Superior Court of the State of California for the County of Los Angeles alleging violation of various California Corporations Code sections and related tort claims alleging misrepresentation and breach of fiduciary duty regarding the 2009 repurchase by Fortinet of shares of its stock while we were a privately-held company. In September 2010, the Court granted our motion to transfer the case to the California Superior Court for Santa Clara County and the plaintiff has filed an amended complaint in the Superior Court to add individual defendants, among other amendments.</w:t>
      </w:r>
    </w:p>
    <w:p>
      <w:pPr>
        <w:spacing w:after="0" w:line="188"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In addition to the above matters, we are subject to other litigation in the ordinary course of business. The results of legal proceedings cannot be predicted with certainty. If we do not prevail in any of these legal matters, our operating results may be materially affected. At this time, we are unable to estimate the financial impact these actions will likely have on us.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following risks and all other information contained in this 10-Q, including our condensed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and you may lose some or all of your investment.</w:t>
      </w:r>
    </w:p>
    <w:p>
      <w:pPr>
        <w:spacing w:after="0" w:line="118" w:lineRule="exact"/>
        <w:rPr>
          <w:sz w:val="20"/>
          <w:szCs w:val="20"/>
          <w:color w:val="auto"/>
        </w:rPr>
      </w:pPr>
    </w:p>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are likely to vary significantly and be unpredictable.</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Our operating results have historically varied from period to period, and we expect that they will continue to do so as a result of a number of factors, many of which are outside of our control and may be difficult to predict, including:</w:t>
      </w:r>
    </w:p>
    <w:p>
      <w:pPr>
        <w:spacing w:after="0" w:line="170"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level of demand for our products and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of channel partner and end-customer orders;</w:t>
      </w:r>
    </w:p>
    <w:p>
      <w:pPr>
        <w:spacing w:after="0" w:line="225" w:lineRule="exact"/>
        <w:rPr>
          <w:rFonts w:ascii="Arial" w:cs="Arial" w:eastAsia="Arial" w:hAnsi="Arial"/>
          <w:sz w:val="18"/>
          <w:szCs w:val="18"/>
          <w:color w:val="auto"/>
        </w:rPr>
      </w:pPr>
    </w:p>
    <w:p>
      <w:pPr>
        <w:ind w:left="5620" w:right="2180" w:hanging="4964"/>
        <w:spacing w:after="0" w:line="559" w:lineRule="auto"/>
        <w:tabs>
          <w:tab w:leader="none" w:pos="130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of shipments, which may depend on many factors such as inventory levels and logistics, our ability 36</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7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to ship new products on schedule and accurately forecast inventory requirements, and potential delays in the manufacturing process;</w:t>
      </w:r>
    </w:p>
    <w:p>
      <w:pPr>
        <w:spacing w:after="0" w:line="250" w:lineRule="exact"/>
        <w:rPr>
          <w:sz w:val="20"/>
          <w:szCs w:val="20"/>
          <w:color w:val="auto"/>
        </w:rPr>
      </w:pPr>
    </w:p>
    <w:p>
      <w:pPr>
        <w:ind w:left="130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mix of products sold, the mix of revenue between products and services and the degree to which products and services are bundled and sold together for a package price;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budgeting cycles and purchasing practices of our channel partners and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seasonal buying patterns of our end-customers;</w:t>
      </w:r>
    </w:p>
    <w:p>
      <w:pPr>
        <w:spacing w:after="0" w:line="225"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of revenue recognition for our sales, which may be affected by both the mix of sales by our “sell-in” versus our “sell-through” channel partners, and by the extent to which we bring on new distributors;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accuracy and timing of point of sale reporting by our sell-through distributors, which impacts our ability to recognize revenue;</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level of perceived threats to network security, which may fluctuate from period to period;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end-customer, distributor or reseller requirements or market needs;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growth rate of the network security or UTM markets;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success of new product and service introductions by us or our competitors or any other change in the competitive landscape of our industry, including consolidation among our competitors or end-customers;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deferral of orders from end-customers in anticipation of new products or product enhancements announced by us or our competitors;</w:t>
      </w:r>
    </w:p>
    <w:p>
      <w:pPr>
        <w:spacing w:after="0" w:line="236" w:lineRule="exact"/>
        <w:rPr>
          <w:rFonts w:ascii="Arial" w:cs="Arial" w:eastAsia="Arial" w:hAnsi="Arial"/>
          <w:sz w:val="17"/>
          <w:szCs w:val="17"/>
          <w:color w:val="auto"/>
        </w:rPr>
      </w:pPr>
    </w:p>
    <w:p>
      <w:pPr>
        <w:ind w:left="1300" w:right="14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increases or decreases in our expenses caused by fluctuations in foreign currency exchange rates, as a significant portion of our expenses are incurred and paid in currencies other than the U.S. dollar.</w:t>
      </w:r>
    </w:p>
    <w:p>
      <w:pPr>
        <w:spacing w:after="0" w:line="170" w:lineRule="exact"/>
        <w:rPr>
          <w:rFonts w:ascii="Arial" w:cs="Arial" w:eastAsia="Arial" w:hAnsi="Arial"/>
          <w:sz w:val="18"/>
          <w:szCs w:val="18"/>
          <w:color w:val="auto"/>
        </w:rPr>
      </w:pPr>
    </w:p>
    <w:p>
      <w:pPr>
        <w:ind w:left="1300" w:right="16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decisions by potential end-customers to purchase network security solutions from larger, more established security vendors or from their primary network equipment vendors;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price competition;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customer renewal rates for our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length of services contracts sold;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insolvency or credit difficulties confronting our customers, affecting their ability to purchase or pay for our products and services;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disruption in our channel or termination of our relationship with important channel partners;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key suppliers, which could disrupt our supply chain;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 our foreign markets;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Any one of the factors above or the cumulative effect of some of the factors referred to above may result in significant fluctuations in our quarterly financial and other operating results, including fluctuations in our key metrics. This variability and unpredictability could result in our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and based on forecasted revenue trends. Accordingly, in the event of revenue shortfalls, we are generally unable to mitigate the negative impact on margins in the short term.</w:t>
      </w: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00"/>
          </w:cols>
          <w:pgMar w:left="240" w:top="125" w:right="3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Reliance on a concentration of shipments at the end of the quarter could cause our revenue to fall below expected levels.</w:t>
      </w:r>
    </w:p>
    <w:p>
      <w:pPr>
        <w:spacing w:after="0" w:line="22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As a result of customer-buying patterns and the efforts of our sales force and channel partners to meet or exceed quarterly quotas, historically we have received a substantial portion of a quarter's sales orders and generated a substantial portion of a quarter's revenue during the last two weeks or last days of the quarter. If expected revenue at the end of any quarter is delayed for any reason, including the failure of anticipated purchase orders to materialize, our or our logistics partners' inability to ship products prior to quarter-end to fulfill purchase orders received near the end of the quarter, our failure to manage inventory to meet demand, our inability to release new products on schedule, any failure of our systems related to order review and processing, or any delays in shipments based on trade compliance requirements, our revenue for that quarter could fall below our expectations or those of securities analysts and investors, resulting in a decline in our stock price.</w:t>
      </w:r>
    </w:p>
    <w:p>
      <w:pPr>
        <w:spacing w:after="0" w:line="189" w:lineRule="exact"/>
        <w:rPr>
          <w:sz w:val="20"/>
          <w:szCs w:val="20"/>
          <w:color w:val="auto"/>
        </w:rPr>
      </w:pPr>
    </w:p>
    <w:p>
      <w:pPr>
        <w:ind w:right="160"/>
        <w:spacing w:after="0" w:line="381" w:lineRule="auto"/>
        <w:rPr>
          <w:sz w:val="20"/>
          <w:szCs w:val="20"/>
          <w:color w:val="auto"/>
        </w:rPr>
      </w:pPr>
      <w:r>
        <w:rPr>
          <w:rFonts w:ascii="Arial" w:cs="Arial" w:eastAsia="Arial" w:hAnsi="Arial"/>
          <w:sz w:val="15"/>
          <w:szCs w:val="15"/>
          <w:b w:val="1"/>
          <w:bCs w:val="1"/>
          <w:i w:val="1"/>
          <w:iCs w:val="1"/>
          <w:color w:val="auto"/>
        </w:rPr>
        <w:t>We rely significantly on revenue from subscription and support services which may decline, and, because we recognize revenue from subscriptions and support services over the term of the relevant service period, downturns or upturns in sales are not immediately reflected in full in our operating results.</w:t>
      </w:r>
    </w:p>
    <w:p>
      <w:pPr>
        <w:spacing w:after="0" w:line="101" w:lineRule="exact"/>
        <w:rPr>
          <w:sz w:val="20"/>
          <w:szCs w:val="20"/>
          <w:color w:val="auto"/>
        </w:rPr>
      </w:pPr>
    </w:p>
    <w:p>
      <w:pPr>
        <w:ind w:right="100" w:firstLine="486"/>
        <w:spacing w:after="0" w:line="287" w:lineRule="auto"/>
        <w:rPr>
          <w:sz w:val="20"/>
          <w:szCs w:val="20"/>
          <w:color w:val="auto"/>
        </w:rPr>
      </w:pPr>
      <w:r>
        <w:rPr>
          <w:rFonts w:ascii="Arial" w:cs="Arial" w:eastAsia="Arial" w:hAnsi="Arial"/>
          <w:sz w:val="16"/>
          <w:szCs w:val="16"/>
          <w:color w:val="auto"/>
        </w:rPr>
        <w:t>Our services revenue accounted for 52% and 55% of our total revenue for the first quarters of fiscal 2011 and 2010, respectively. Sales of new or renewal subscription and services contracts may decline and fluctuate as a result of a number of factors, including end-customers' level of satisfaction with our products and services, the prices of our products and services, the prices of products and services offered by our competitors or reductions in our customers' spending levels. If our sales of new or renewal subscription and services contracts decline, our revenue and revenue growth may decline and our business will suffer. In addition, we recognize subscription and service revenue monthly over the term of the relevant service period, which is typically one year but has been as long as five years. As a result, much of the revenue we report each quarter is the recognition of deferred revenue from subscription and services contracts entered into during previous quarters. Consequently, a decline in new or renewed subscription or service contracts in any one quarter will not be fully reflected in revenue in that quarter, but will negatively affect our revenue in future quarters. Accordingly, the effect of significant downturns in new or renewed sales of our subscriptions or services is not reflected in full in our results of operations until future periods. Our subscription and service revenue also makes it difficult for us to rapidly increase our revenue through additional service sales in any period, as revenue from new and renewal service contracts must be recognized over the applicable service period. Furthermore increases in the average term of services contracts would result in revenue for services contracts being recognized over longer periods of time.</w:t>
      </w:r>
    </w:p>
    <w:p>
      <w:pPr>
        <w:spacing w:after="0" w:line="16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Managing inventory of our products and product components is complex. Insufficient inventory may result in lost sales opportunities or delayed revenue, while excess inventory may harm our gross margins.</w:t>
      </w:r>
    </w:p>
    <w:p>
      <w:pPr>
        <w:spacing w:after="0" w:line="17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channel partners may increase orders during periods of product shortages, cancel orders if their inventory is too high, return product or take advantage of price protection (if any), or delay orders in anticipation of new products. They also may adjust their orders in response to the supply of our products and the products of our competitors that are available to them and in response to seasonal fluctuations in end-customer demand. Furthermore if the time required to manufacture certain products or ship products increases for any reason, this could result in inventory shortfalls. Management of our inventory is further complicated by the significant number of different products and models that we sell.</w:t>
      </w:r>
    </w:p>
    <w:p>
      <w:pPr>
        <w:spacing w:after="0" w:line="173"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In addition, for those channel partners that have rights of return, inventory held by such channel partners affects our results of operations. Our inventory management systems and related supply chain visibility tools may be inadequate to enable us to effectively manage inventory. Inventory management remains an area of focus as we balance the need to maintain inventory levels that are sufficient to ensure competitive lead times against the risk of inventory obsolescence because of rapidly changing technology and customer requirements. If we ultimately determine that we have excess inventory, we may have to reduce our prices and write-down inventory, which in turn could result in lower gross margins. Alternatively, insufficient inventory levels may lead to shortages that result in delayed revenue or loss of sales opportunities altogether as potential end-customers turn to competitors' products that are readily available. If we are unable to effectively manage our inventory and that of our distribution partners, our results of operations could be adversely affected.</w:t>
      </w:r>
    </w:p>
    <w:p>
      <w:pPr>
        <w:spacing w:after="0" w:line="192"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We rely on third-party channel partners to generate substantially all of our revenue. If our partners fail to perform, our ability to sell our products and services will be limited, and, if we fail to optimize our channel partner model going forward, our operating results will be harmed.</w:t>
      </w:r>
    </w:p>
    <w:p>
      <w:pPr>
        <w:spacing w:after="0" w:line="12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Substantially all of our revenue is generated through sales by our channel partners, which include distributors and resellers. We depend upon our channel partners to generate sales opportunities and manage the sales process. To the extent our channel partners are unsuccessful in selling our products, or we are unable to enter into arrangements with, and retain a sufficient number of high quality channel partners in each of the regions in which we sell products, and keep them motivated to</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sell our products, our ability to sell our products and operating results will be harmed. The termination of our relationship with any significant channel partner may adversely impact our sales and operating results.</w:t>
      </w:r>
    </w:p>
    <w:p>
      <w:pPr>
        <w:spacing w:after="0" w:line="170"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We provide sales channel partners with specific programs to assist them in selling our products, but there can be no assurance that these programs will be effective. In addition, our channel partners may be unsuccessful in marketing, selling and supporting our products and services. Our channel partners generally do not have minimum purchase requirements. They may also market, sell and support products and services that are competitive with ours, and may devote more resources to the marketing, sales and support of such products. They may have incentives to promote our competitors' products to the detriment of our own. They may cease selling our products altogether. We cannot assure you that we will retain these channel partners or that we will be able to secure additional or replacement partners. The loss of one or more of our significant channel partners or the failure to obtain and ship a number of large orders each quarter through them could harm our operating results. In addition, 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or our channel partners violate laws or our corporate policies. If we fail to manage existing sales channels, our business will be seriously harmed.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not successful in continuing to execute our strategy to increase our sales to larger end-customers, our results of operations may suffer.</w:t>
      </w:r>
    </w:p>
    <w:p>
      <w:pPr>
        <w:spacing w:after="0" w:line="248"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An important part of our growth strategy is to increase sales of our products to large enterprises, service providers and government entities. Sales to enterprises, service providers and government entities involve risks that may not be present (or that are present to a lesser extent) with sales to small-to-mid-sized entities. These risks include:</w:t>
      </w:r>
    </w:p>
    <w:p>
      <w:pPr>
        <w:spacing w:after="0" w:line="181" w:lineRule="exact"/>
        <w:rPr>
          <w:sz w:val="20"/>
          <w:szCs w:val="20"/>
          <w:color w:val="auto"/>
        </w:rPr>
      </w:pPr>
    </w:p>
    <w:p>
      <w:pPr>
        <w:ind w:left="1300" w:right="100" w:hanging="644"/>
        <w:spacing w:after="0" w:line="264"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competition from larger competitors, such as Cisco Systems, Inc., Check Point Software Technologies Ltd., McAfee, Inc. (acquired by Intel, Inc.), and Juniper Networks, Inc., that traditionally target enterprises, service providers and government entities and that may already have purchase commitments from those end-customers;</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purchasing power and leverage held by large end-customers in negotiating contractual arrangements with us;</w:t>
      </w:r>
    </w:p>
    <w:p>
      <w:pPr>
        <w:spacing w:after="0" w:line="225" w:lineRule="exact"/>
        <w:rPr>
          <w:rFonts w:ascii="Arial" w:cs="Arial" w:eastAsia="Arial" w:hAnsi="Arial"/>
          <w:sz w:val="18"/>
          <w:szCs w:val="18"/>
          <w:color w:val="auto"/>
        </w:rPr>
      </w:pPr>
    </w:p>
    <w:p>
      <w:pPr>
        <w:ind w:left="1300" w:right="46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more stringent requirements in our support service contracts, including stricter support response times, and increased penalties for any failure to meet support requirements; and</w:t>
      </w:r>
    </w:p>
    <w:p>
      <w:pPr>
        <w:spacing w:after="0" w:line="170"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longer sales cycles and the associated risk that substantial time and resources may be spent on a potential end-customer who elects not to purchase our products and services.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Large enterprises, service providers and government entities often undertake a significant evaluation process that results in a lengthy sales cycle, in some cases over 12 months. Although we have a channel sales model, our sales representatives typically engage in direct interaction with our distributors and resellers in connection with sales to larger end-customers. Due to the lengthy nature, the size and scope, and stringent requirements of these evaluations, we typically provide evaluation products to these customers. We may spend substantial time, effort and money in our sales efforts without being successful in producing any sales. If we are unsuccessful in converting these evaluations into sales, we may experience an increased inventory of used products and potentially increased write-offs. In addition, product purchases by enterprises, service providers and government entities are frequently subject to budget constraints, multiple approvals, and unplanned administrative, processing and other delays. Finally, enterprise, service providers and government entities typically have longer implementation cycles, require greater product functionality and scalability and a broader range of services, including design services, demand that vendors take on a larger share of risks, sometimes require acceptance provisions that can lead to a delay in revenue recognition, and expect greater payment flexibility from vendors. All these factors can add further risk to business conducted with these customers. If sales expected from a large end-customer for a particular quarter are not realized in that quarter or at all, our business, operating results and financial condition could be materially and adversely affected.</w:t>
      </w:r>
    </w:p>
    <w:p>
      <w:pPr>
        <w:spacing w:after="0" w:line="18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average sales prices of our products may decrease, which may reduce our gross profits and adversely impact our financial results and the trading price of our common stock.</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average sales prices for our products may decline for a variety of reasons, including competitive pricing pressures, discounts we offer, a change in our mix of products, anticipation of the introduction of new products or promotional programs. Competition continues to increase in the market segments in which we participate, and we expect competition to further increase in the future, thereby leading to increased pricing pressures. Larger competitors with more diverse product offerings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may reduce the price of products that compete with ours in order to promote the sale of other products or may bundle them with other products. Additionally, although we price our products and services worldwide in U.S. dollars, currency fluctuations in certain countries and regions may negatively impact actual prices that partners and customers are willing to pay in those countries and regions. Furthermore, we anticipate that the average sales prices and gross profits for our products will decrease over product life cycles. We cannot assure you that we will be successful in developing and introducing new offerings with enhanced functionality on a timely basis, or that our product offerings, if introduced, will enable us to maintain our prices and gross profits at levels that will allow us to maintain profitability.</w:t>
      </w:r>
    </w:p>
    <w:p>
      <w:pPr>
        <w:spacing w:after="0" w:line="19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Defects or vulnerabilities in our products or services, the failure of our products or services to prevent a virus or security breach, or misuse of our products could harm our reputation and divert resources.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Because our products and services are complex, they have contained and may contain defects or errors that are not detected until after their commercial release and deployment by our customers. Defects or vulnerabilities may impede or block network traffic or cause our products or services to be vulnerable to electronic break-ins or cause them to fail to help secure networks. Because the techniques used by computer hackers to access or sabotage networks change frequently and generally are not recognized until launched against a target, we may be unable to anticipate these techniques. In addition, defects or errors in our FortiGuard subscription updates or our FortiGate appliances could result in a failure of our FortiGuard services to effectively update end-customers' FortiGate appliances and thereby leave customers vulnerable to attacks. Furthermore, our solutions may also fail to detect or prevent viruses, worms or similar threats due to a number of reasons such as the evolving nature of such threats and the continual emergence of new threats that we may fail to add to our FortiGuard databases in time to protect our end-customers' networks. Our FortiGuard or FortiCare data centers and networks may also experience technical failures and downtime, and may fail to distribute appropriate updates, or fail to meet the increased requirements of a growing customer base. Any such technical failure, downtime, or failures in general may temporarily or permanently expose our end-customers' networks, leaving their networks unprotected against the latest security threats.</w:t>
      </w:r>
    </w:p>
    <w:p>
      <w:pPr>
        <w:spacing w:after="0" w:line="18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An actual or perceived security breach or infection of the network of one of our end-customers, regardless of whether the breach is attributable to the failure of our products or services to prevent the security breach, could adversely affect the market's perception of our security products. We may not be able to correct any security flaws or vulnerabilities promptly, or at all. Our products may also be misused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third-party. Any defects, errors or vulnerabilities in our products, or misuse of our products, could result in:</w:t>
      </w:r>
    </w:p>
    <w:p>
      <w:pPr>
        <w:spacing w:after="0" w:line="189" w:lineRule="exact"/>
        <w:rPr>
          <w:sz w:val="20"/>
          <w:szCs w:val="20"/>
          <w:color w:val="auto"/>
        </w:rPr>
      </w:pPr>
    </w:p>
    <w:p>
      <w:pPr>
        <w:ind w:left="1300" w:right="34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expenditure of significant financial and product development resources in efforts to analyze, correct, eliminate or work-around errors or defects or to address and eliminate vulnerabilities;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existing or potential end-customers or channel partners;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delayed or lost revenue;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 or failure to attain market acceptance;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negative publicity, which will harm our reputation;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litigation, regulatory inquiries or investigations that may be costly and harm our reputation.</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business and operations have experienced rapid growth, and if we do not appropriately manage any future growth, or are unable to improve our systems and processes, our operating results will be negatively affected.</w:t>
      </w:r>
    </w:p>
    <w:p>
      <w:pPr>
        <w:spacing w:after="0" w:line="17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have a high volume business that has grown over the last several years. We rely heavily on information technology systems to help manage critical functions such as order processing, revenue recognition, financial forecasts, inventory and supply chain management and trade compliance reviews. However, we have been slow to adopt and implement certain automated functions, like Electronic Data Interchange, which could have a negative impact on our business. For example, a large part of our order processing relies on the manual processing of emails internally and from our customers. Combined with the fact that we may receive a majority of our orders in the last few weeks of any given quarter, a significant interruption in our email service or other systems could result in delayed order fulfillment and decreased revenue for that quarter. To manage any future growth effectively, we must continue to improve and expand our information technology and financial infrastructure, operating and administrative systems and controls, and continue to manage headcount, capital and processes in an efficient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manner. We may not be able to successfully implement improvements to these systems and processes in a timely or efficient manner. In addition, our systems and processes may not prevent or detect all errors, omissions or fraud. Our failure to improve our systems and processes, or their failure to operate in the intended manner, may result in our inability to manage the growth of our business and to accurately forecast our revenue, expenses and earnings, or to prevent certain losses. Our productivity and the quality of our products and services may be adversely affected if we do not integrate and train our new employees quickly and effectively. Any future growth would add complexity to our organization and require effective coordination throughout our organization. Failure to manage any future growth effectively could result in increased costs and harm our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may not maintain profitability, and our revenue growth may not continue.</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incurred net losses through fiscal 2007. Although we were profitable in fiscal 2008, 2009 and 2010, we may not be able to sustain profitability in future periods if we fail to increase revenue or deferred revenue, manage our cost structure, or are subject to unanticipated liabilities. Revenue growth may slow or revenue may decline for a number of possible reasons, including slowing demand for our products or services, increasing competition, a decrease in the growth of our overall market, or if we fail for any reason to continue to capitalize on growth opportunities. Any failure by us to maintain profitability and continue our revenue growth could cause the price of our common stock to materially decline.</w:t>
      </w:r>
    </w:p>
    <w:p>
      <w:pPr>
        <w:spacing w:after="0" w:line="173"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4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in this Form 10-Q, the results of which form the basis for making judgments about the carrying values of assets and liabilities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consolidated financial statements include those related to revenue recognition, stock-based compensation, valuation of inventory, warranty liabilities, and accounting for income taxes.</w:t>
      </w:r>
    </w:p>
    <w:p>
      <w:pPr>
        <w:spacing w:after="0" w:line="166"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b w:val="1"/>
          <w:bCs w:val="1"/>
          <w:i w:val="1"/>
          <w:iCs w:val="1"/>
          <w:color w:val="auto"/>
        </w:rPr>
        <w:t>We offer retroactive price protection to certain of our major distributors, and if we fail to balance their inventory with end-customer demand for our products, our allowance for price protection may be inadequate, which could adversely affect our results of operations.</w:t>
      </w:r>
    </w:p>
    <w:p>
      <w:pPr>
        <w:spacing w:after="0" w:line="14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provide certain of our major distributors with price protection rights for inventories of our products held by them. If we reduce the list price of our products, certain distributors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our major distributors' inventories. If future price protection adjustments are higher than expected, our future results of operations could be materially and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will suffer.</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We have experienced turnover in our management-level personnel. None of our key employees has an employment agreement for a specific term, and any of our employees may terminate their employment at any time. Our ability to continue to attract and retain highly skilled personnel will be critical to our future success. Competition for highly skilled personnel is frequently intense, especially in the locations where we have a substantial presence and need for highly-skilled personnel: the San Francisco Bay Area, Vancouver, Canada and Beijing, China. A large portion of our employee base is substantially vested in significant stock option grants, and the ability to exercise those options and sell their stock may result in a larger than normal turnover rate. We may not be successful in attracting, assimilating or retaining qualified personnel to fulfill our current or future needs. Also, to the extent we hire personnel from competitors, we may be subject to allegations that they have been improperly solicited or divulged proprietary or other confidential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the continued services and performance of our senior management, the loss of any of whom could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adversely affect our business, operating results and financial condition.</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Our future performance depends on the continued services and continuing contributions of our senior management to execute on our business plan, and to identify and pursue new opportunities and product innovations. The loss of services of senior management, particularly Ken Xie, our Co-founder, President and Chief Executive Officer, Michael Xie, our Co-founder, Vice President of Engineering and Chief Technical Officer, and Ken Goldman, our Vice President and Chief Financial Officer, could significantly delay or prevent the achievement of our development and strategic objectives. In addition, key personnel may be distracted by activities unrelated to our business. The loss of the services, or distraction, of our senior management for any reason could adversely affect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information technology spending may adversely impact our business.</w:t>
      </w:r>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economic conditions, weak economic conditions in certain geographies, or a reduction in information technology spending regardless of macro-economic conditions, could adversely impact our business, financial condition and results of operations in a number of ways, including longer sales cycles, lower prices for our products and services, higher default rates among our distributors, reduced unit sales and lower or no growth.</w:t>
      </w:r>
    </w:p>
    <w:p>
      <w:pPr>
        <w:spacing w:after="0" w:line="17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outsource the manufacturing of our security appliance products to a variety of contract manufacturing partners and original design manufacturing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partners.</w:t>
      </w:r>
    </w:p>
    <w:p>
      <w:pPr>
        <w:spacing w:after="0" w:line="211"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Our reliance on our third-party manufacturers reduces our control over the manufacturing process, exposing us to risks, including reduced control over quality assurance, product costs and product supply and timing. Any manufacturing disruption by our third-party manufacturers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w:t>
      </w:r>
    </w:p>
    <w:p>
      <w:pPr>
        <w:spacing w:after="0" w:line="15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These manufacturers fulfill our supply requirements on the basis of individual purchase orders. We have no long-term contracts or arrangements with certain of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interruptions for any reason, such as a natural disaster, epidemic, capacity shortages, or quality problems, at one of our manufacturing partners would severely affect sales of our product lines manufactured by that manufacturing partner.</w:t>
      </w:r>
    </w:p>
    <w:p>
      <w:pPr>
        <w:spacing w:after="0" w:line="17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Our proprietary FortiASIC, which is the key to the performance of our appliances, is fabricated by contract manufacturers in foundries operated by UMC and Taiwan Semiconductor Manufacturing Corporation, or TSMC. Faraday (using UMC's foundry) and K-Micro (using TSMC's foundry) manufacture our ASICs on a purchase order basis, and these foundries do not guarantee any capacity and could reject orders from either Faraday or K-Micro or try to increase pricing. Accordingly, the foundries are not obligated to continue to fulfill our supply requirements, and due to the long lead time that a new foundry would require, we could suffer temporary or long term inventory shortages of our FortiASIC as well as increased costs. Our suppliers may also prioritize orders by other companies that order higher volumes of products. If any of these suppliers materially delays its supply of ASICs or specific product models to us, or requires us to find an alternate supplier and we are not able to do so on a timely and reasonable basis, or if these foundries materially increase their prices for fabrication of our ASICs or specific product models, our business would be harmed.</w:t>
      </w:r>
    </w:p>
    <w:p>
      <w:pPr>
        <w:spacing w:after="0" w:line="17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addition, our reliance on third-party manufacturers and foundries limits our control over environmental regulatory requirements such as the hazardous substance content of our products and therefore our ability to ensure compliance with the EU RoHS and other similar laws. See “If we fail to comply with environmental requirements, our business, financial condition, operating results and reputation could be adversely affected” for information on the effects of the failure to comply with these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laws.</w:t>
      </w:r>
    </w:p>
    <w:p>
      <w:pPr>
        <w:spacing w:after="0" w:line="225"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b w:val="1"/>
          <w:bCs w:val="1"/>
          <w:i w:val="1"/>
          <w:iCs w:val="1"/>
          <w:color w:val="auto"/>
        </w:rPr>
        <w:t>Because some of the key components in our products come from limited sources of supply, we are susceptible to supply shortages or supply changes, which could disrupt or delay our scheduled product deliveries to our customers and may result in the loss of sales and customers.</w:t>
      </w:r>
    </w:p>
    <w:p>
      <w:pPr>
        <w:spacing w:after="0" w:line="12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and our contract manufacturers currently purchase several key parts and components used in the manufacture of our products from limited sources of supply. We are therefore subject to the risk of shortages in the supply of these components and the risk that component suppliers discontinue or modify components used in our products. We have faced component shortages in the past. Certain of our limited source components for particular appliances and suppliers of those components include: specific types of central processing units from Intel Corporation, Advanced Micro Devices, Inc., RMI Corporation and VIA Technologies, Inc. and network chips from Broadcom Corporation, Marvell Technology Group Ltd. and Intel.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182"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Our manufacturing partners have experienced long lead times for the purchase of components incorporated into our products. Lead times for components may be adversely impacted by factors outside of our control, such as the earthquake in Japan. Our reliance on a limited number of suppliers involves several additional risks, including:</w:t>
      </w:r>
    </w:p>
    <w:p>
      <w:pPr>
        <w:spacing w:after="0" w:line="141"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potential inability to obtain an adequate supply of required parts or components when required;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financial or other difficulties faced by our suppliers;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infringement or misappropriation of our intellectual property;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price increases;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a component to meet environmental or other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meet delivery obligations in a timely fashion;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in component quality.</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The occurrence of any of these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which could negatively affect our financial condition and results of operations.</w:t>
      </w:r>
    </w:p>
    <w:p>
      <w:pPr>
        <w:spacing w:after="0" w:line="237"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A majority of our operating expenses are incurred outside the United States, are denominated in foreign currencies, and are subject to fluctuations due to changes in foreign currency exchange rates, particularly changes in the Euro and Canadian dollar. For example, during the first quarter of 2011, we were impacted by the weakening of the dollar against the Canadian dollar and the Euro, which caused our operating expenses to increase. Although we have been hedging currency exposures relating to certain balance sheet accounts and have periodically entered into cashflow hedges relating to certain operating expenses incurred outside of the United States, if we stop hedging against any of these risks or if our attempts to hedge against these currency exposures are not successful, our financial condition and results of operations could be adversely affected. In addition, our sales contracts are primarily denominated in U.S. dollars and therefore substantially all of our revenue is not subject to foreign currency risk. However, a strengthening of the U.S. dollar could increase the real cost of our products to our customers outside of the United States, which could adversely affect our financial condition and results of operations.</w:t>
      </w:r>
    </w:p>
    <w:p>
      <w:pPr>
        <w:spacing w:after="0" w:line="15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We market and sell our products throughout the world and have established sales offices in many parts of the world. Therefore, we are subject to risks associated with having worldwide operations. We are also subject to a number of risks typically associated with international sales and operations, including:</w:t>
      </w:r>
    </w:p>
    <w:p>
      <w:pPr>
        <w:spacing w:after="0" w:line="181"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rights in some countries;</w:t>
      </w:r>
    </w:p>
    <w:p>
      <w:pPr>
        <w:spacing w:after="0" w:line="225" w:lineRule="exact"/>
        <w:rPr>
          <w:rFonts w:ascii="Arial" w:cs="Arial" w:eastAsia="Arial" w:hAnsi="Arial"/>
          <w:sz w:val="18"/>
          <w:szCs w:val="18"/>
          <w:color w:val="auto"/>
        </w:rPr>
      </w:pPr>
    </w:p>
    <w:p>
      <w:pPr>
        <w:ind w:left="1300" w:right="42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of compliance with foreign policies, laws and regulations and the risks and costs of non-compliance with such policies, laws and regulations;</w:t>
      </w:r>
    </w:p>
    <w:p>
      <w:pPr>
        <w:spacing w:after="0" w:line="170"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of complying with U.S. laws and regulations for foreign operations, including the Foreign Corrupt Practices Act, import and export control laws, tariffs, trade barriers, and economic sanctions;</w:t>
      </w:r>
    </w:p>
    <w:p>
      <w:pPr>
        <w:spacing w:after="0" w:line="170" w:lineRule="exact"/>
        <w:rPr>
          <w:rFonts w:ascii="Arial" w:cs="Arial" w:eastAsia="Arial" w:hAnsi="Arial"/>
          <w:sz w:val="18"/>
          <w:szCs w:val="18"/>
          <w:color w:val="auto"/>
        </w:rPr>
      </w:pPr>
    </w:p>
    <w:p>
      <w:pPr>
        <w:ind w:left="1300" w:right="46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regulatory or contractual limitations on our ability to sell our products in certain foreign markets, and the risks and costs of non-compliance;</w:t>
      </w:r>
    </w:p>
    <w:p>
      <w:pPr>
        <w:spacing w:after="0" w:line="170" w:lineRule="exact"/>
        <w:rPr>
          <w:rFonts w:ascii="Arial" w:cs="Arial" w:eastAsia="Arial" w:hAnsi="Arial"/>
          <w:sz w:val="18"/>
          <w:szCs w:val="18"/>
          <w:color w:val="auto"/>
        </w:rPr>
      </w:pPr>
    </w:p>
    <w:p>
      <w:pPr>
        <w:ind w:left="1300" w:right="260" w:hanging="644"/>
        <w:spacing w:after="0" w:line="308"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heightened risks of unfair or corrupt business practices in certain geographies and of improper or fraudulent sales arrangements that may impact financial results and result in restatements of financial statements and irregularities in financial statements;</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for political unrest, terrorism, hostilities or war;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multiple and possibly overlapping tax structures.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Product and service sales may be subject to foreign governmental regulations, which vary substantially from country to country. Further, we may be unable to keep up-to-date with changes in government requirements as they change from time to time. Failure to comply with these regulations could result in adverse affects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products and services and could have a material adverse effect on our business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governmental export and import controls that could subject us to liability or impair our ability to compete in international markets.</w:t>
      </w:r>
    </w:p>
    <w:p>
      <w:pPr>
        <w:spacing w:after="0" w:line="248"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Certain of our products are subject to U.S. export controls and may be exported outside the U.S. only with the required export license or through an export license exception, because we incorporate encryption technology into our products. If we were to fail to comply with U.S. export licensing, U.S. Customs regulations, U.S. economic sanctions and other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we may also be adversely affected, through reputational harm and penalties. Obtaining the necessary export license for a particular sale may be time-consuming, and may result in the delay or loss of sales opportunities.</w:t>
      </w:r>
    </w:p>
    <w:p>
      <w:pPr>
        <w:spacing w:after="0" w:line="16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Furthermore, U.S. export control laws and economic sanctions prohibit the shipment of certain products to U.S. embargoed or sanctioned countries, governments and persons. Even though we take precautions to prevent our product from</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being shipped to U.S. sanctions targets, our products could be shipped to those targets by our channel partners, despite such precautions. Any such shipment could have negative consequences including government investigations and penalties and in reputational harm. In addition, various countries regulate the import of certain encryption technology, including import permitting/licensing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comply with environmental requirements, our business, financial condition, operating results and reputation could be adversely affected.</w:t>
      </w:r>
    </w:p>
    <w:p>
      <w:pPr>
        <w:spacing w:after="0" w:line="248"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We are subject to various environmental laws and regulations including laws governing the hazardous material content of our products and laws relating to the recycling of electrical and electronic equipment. The laws and regulations to which we are subject include the European Union, or EU, RoHS and the EU Waste Electrical and Electronic Equipment (WEEE) Directive as well as the implementing legislation of the EU member states. Similar laws and regulations have been passed or are pending in China, South Korea, Norway and Japan and may be enacted in other regions, including in the United States and we are, or may in the future be, subject to these laws and regulations.</w:t>
      </w:r>
    </w:p>
    <w:p>
      <w:pPr>
        <w:spacing w:after="0" w:line="173"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EU RoHS and the similar laws of other jurisdictions ban the use of certain hazardous materials such as lead, mercury and cadmium in the manufacture of electrical equipment, including our products. We have incurred costs to comply with these laws, including research and development costs, costs associated with assuring the supply of compliant components and costs associated with writing off noncompliant inventory. We expect to incur more of these costs in the future. With respect to the EU RoHS, we and our competitors rely on an exemption for lead in network infrastructure equipment. It is possible this exemption will be revoked in the near future. If revoked,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or disrupt our operations or logistics.</w:t>
      </w:r>
    </w:p>
    <w:p>
      <w:pPr>
        <w:spacing w:after="0" w:line="178"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The EU has also adopted the WEEE Directive, which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w:t>
      </w:r>
    </w:p>
    <w:p>
      <w:pPr>
        <w:spacing w:after="0" w:line="154"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Our failure to comply with these and future environmental rules and regulations could result in reduced sales of our products, increased costs, substantial product inventory write-offs, reputational damage, penalties and other sanctions.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portion of our revenue is generated by sales to government entities, which are subject to a number of challenges and risks.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Sales to U.S. and foreign federal, state and local governmental agency end-customers have accounted for a portion of our revenue in past periods, and we may in the future increase sales to government entities. Sales into government entities are subject to a number of risks. Selling to government entities can be highly competitive, expensive and time consuming, often requiring significant upfront time and expense without any assurance that we will win a sale. Government demand and payment for our products and services may be impacted by public sector budgetary cycles and funding authorizations, with funding reductions or delays adversely affecting public sector demand for our products. Most of our sales to government entities have been made indirectly through our distribution channel. Government entities may have contractual or other legal rights to terminate contracts with our distributors and resellers for convenience or due to a default, and any such termination may adversely impact our future results of operations. For example, if the distributor receives a significant portion of its revenue from sales to such governmental entity, the financial health of the distributor could be substantially harmed, which could negatively affect our future sales to such distributor. Governments routinely investigate and audit government contractors' administrative processes, and any unfavorable audit could result in the government refusing to continue buying our products and services, a reduction of revenue or fines or civil or criminal liability if the audit uncovers improper or illegal activities. Any such penalties could adversely impact our results of operations in a material way. Finally, for purchases by the U.S.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125" w:right="27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government, the government may require certain products to be manufactured in the United States and other high cost manufacturing locations, and we may not manufacture all products in locations that meet the requirements of the U.S. government.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False detection of viruses or security breaches or false identification of spam or spyware could adversely affect our business.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antivirus and our intrusion prevention services may falsely detect viruses or other threats that do not actually exist. This risk is heightened by the inclusion of a “heuristics” feature in our products, which attempts to identify viruses and other threats not based on any known signatures but based on characteristics or anomalies that may indicate that a particular item is a threat. When our end-customers enable the heuristics feature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antispam and antispyware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Any such false identification of important files or applications could result in negative publicity, loss of end-customers and sales, increased costs to remedy any problem, and costly litigation.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internal network system is compromised by computer hackers, public perception of our products and services will be harmed.</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We will not succeed unless the marketplace is confident that we provide effective network security protection. Because we provide network security products, we may be a more attractive target for attacks by computer hackers. Although we have not experienced significant damages from unauthorized access by a third-party of our internal network, if an actual or perceived breach of network security occurs in our internal systems it could adversely affect the market perception of our products and services. In addition, such a security breach could impair our ability to operate our business, including our ability to provide subscription and support services to our end-customers. If this happens, our revenue could decline and our business could suffer.</w:t>
      </w:r>
    </w:p>
    <w:p>
      <w:pPr>
        <w:spacing w:after="0" w:line="15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ability to sell our products is dependent on the quality of our technical support services, and our failure to offer high quality technical support services would have a material adverse effect on our sales and results of operations.</w:t>
      </w:r>
    </w:p>
    <w:p>
      <w:pPr>
        <w:spacing w:after="0" w:line="170"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Once our products are deployed within our end-customers' networks, our end-customers depend on our technical support services, as well as the support of our channel partners, to resolve any issues relating to our products. If we or our channel partners do not effectively assist our customers in deploying our products, succeed in helping our customers quickly resolve post-deployment issues, and provide effective ongoing support, our ability to sell additional products and services to existing customers would be adversely affected and our reputation with potential customers could be damaged. Many enterprise, service provider and government entity end-customers require higher levels of support than smaller end-customers. If we fail to meet the requirements of the larger end-customers, it may be more difficult to execute on our strategy to increase our penetration with larger end-customers.</w:t>
      </w:r>
    </w:p>
    <w:p>
      <w:pPr>
        <w:spacing w:after="0" w:line="16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As a result, our failure to maintain high quality support services would have a material adverse effect on our business,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our provision for income taxes or adverse outcomes resulting from examination of our income tax returns could adversely affect our results.</w:t>
      </w:r>
    </w:p>
    <w:p>
      <w:pPr>
        <w:spacing w:after="0" w:line="26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Our provision for income taxes is subject to volatility and could be adversely affected by several factors, many of which are outside of our control, including:</w:t>
      </w:r>
    </w:p>
    <w:p>
      <w:pPr>
        <w:spacing w:after="0" w:line="170" w:lineRule="exact"/>
        <w:rPr>
          <w:sz w:val="20"/>
          <w:szCs w:val="20"/>
          <w:color w:val="auto"/>
        </w:rPr>
      </w:pPr>
    </w:p>
    <w:p>
      <w:pPr>
        <w:ind w:left="1300" w:right="34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earnings being lower than anticipated in countries that have lower tax rates and higher than anticipated in countries that have higher tax rates;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expiration of, or lapses in the research and development tax credit laws;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transfer pricing adjustments including the effect of acquisitions on our intercompany research and development and legal structure;</w:t>
      </w:r>
    </w:p>
    <w:p>
      <w:pPr>
        <w:spacing w:after="0" w:line="236" w:lineRule="exact"/>
        <w:rPr>
          <w:rFonts w:ascii="Arial" w:cs="Arial" w:eastAsia="Arial" w:hAnsi="Arial"/>
          <w:sz w:val="17"/>
          <w:szCs w:val="17"/>
          <w:color w:val="auto"/>
        </w:rPr>
      </w:pPr>
    </w:p>
    <w:p>
      <w:pPr>
        <w:ind w:left="1300" w:right="320" w:hanging="64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in non-deductible expenses for tax purposes, including certain stock-based compensation expense, write-offs of acquired in-process research and development, and impairment of goodwill;</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tax costs related to intercompany realignments;</w:t>
      </w:r>
    </w:p>
    <w:p>
      <w:pPr>
        <w:spacing w:after="0" w:line="225" w:lineRule="exact"/>
        <w:rPr>
          <w:rFonts w:ascii="Arial" w:cs="Arial" w:eastAsia="Arial" w:hAnsi="Arial"/>
          <w:sz w:val="18"/>
          <w:szCs w:val="18"/>
          <w:color w:val="auto"/>
        </w:rPr>
      </w:pPr>
    </w:p>
    <w:p>
      <w:pPr>
        <w:ind w:left="1300" w:right="540" w:hanging="64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tax assessments resulting from income tax audits or any related tax interest or penalties that could significantly affect our income tax provision for the period in which the settlement take place;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change in our decision to indefinitely reinvest foreign earnings;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accounting principles; or</w:t>
      </w:r>
    </w:p>
    <w:p>
      <w:pPr>
        <w:spacing w:after="0" w:line="225" w:lineRule="exact"/>
        <w:rPr>
          <w:rFonts w:ascii="Arial" w:cs="Arial" w:eastAsia="Arial" w:hAnsi="Arial"/>
          <w:sz w:val="18"/>
          <w:szCs w:val="18"/>
          <w:color w:val="auto"/>
        </w:rPr>
      </w:pPr>
    </w:p>
    <w:p>
      <w:pPr>
        <w:jc w:val="both"/>
        <w:ind w:left="1300" w:right="180" w:hanging="644"/>
        <w:spacing w:after="0" w:line="264"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tax laws and regulations including possible changes in the United States to the taxation of earnings of our foreign subsidiaries, and the deductibility of expenses attributable to foreign income, or the foreign tax credit rules, or changes to the United States income tax rate, which would necessitate a revaluation of our deferred tax assets and liabilities.</w:t>
      </w:r>
    </w:p>
    <w:p>
      <w:pPr>
        <w:spacing w:after="0" w:line="181"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Significant judgment is required to determine the recognition and measurement attribute prescribed in ASC 740-10 (</w:t>
      </w:r>
      <w:r>
        <w:rPr>
          <w:rFonts w:ascii="Arial" w:cs="Arial" w:eastAsia="Arial" w:hAnsi="Arial"/>
          <w:sz w:val="17"/>
          <w:szCs w:val="17"/>
          <w:i w:val="1"/>
          <w:iCs w:val="1"/>
          <w:color w:val="auto"/>
        </w:rPr>
        <w:t>formerly referred to as</w:t>
      </w:r>
      <w:r>
        <w:rPr>
          <w:rFonts w:ascii="Arial" w:cs="Arial" w:eastAsia="Arial" w:hAnsi="Arial"/>
          <w:sz w:val="17"/>
          <w:szCs w:val="17"/>
          <w:color w:val="auto"/>
        </w:rPr>
        <w:t xml:space="preserve"> </w:t>
      </w:r>
      <w:r>
        <w:rPr>
          <w:rFonts w:ascii="Arial" w:cs="Arial" w:eastAsia="Arial" w:hAnsi="Arial"/>
          <w:sz w:val="17"/>
          <w:szCs w:val="17"/>
          <w:i w:val="1"/>
          <w:iCs w:val="1"/>
          <w:color w:val="auto"/>
        </w:rPr>
        <w:t>Statement of Financial Accounting Standards (SFAS) Interpretation No. 48, Accounting for Uncertainty in Income Taxes-an interpretation of SFAS No. 109 (FIN 48)</w:t>
      </w:r>
      <w:r>
        <w:rPr>
          <w:rFonts w:ascii="Arial" w:cs="Arial" w:eastAsia="Arial" w:hAnsi="Arial"/>
          <w:sz w:val="17"/>
          <w:szCs w:val="17"/>
          <w:color w:val="auto"/>
        </w:rPr>
        <w:t>). In addition, ASC 740-10 applies to all income tax positions, including the potential recovery of previously paid taxes, which if settled unfavorably</w:t>
      </w:r>
      <w:r>
        <w:rPr>
          <w:rFonts w:ascii="Arial" w:cs="Arial" w:eastAsia="Arial" w:hAnsi="Arial"/>
          <w:sz w:val="17"/>
          <w:szCs w:val="17"/>
          <w:i w:val="1"/>
          <w:iCs w:val="1"/>
          <w:color w:val="auto"/>
        </w:rPr>
        <w:t xml:space="preserve"> </w:t>
      </w:r>
      <w:r>
        <w:rPr>
          <w:rFonts w:ascii="Arial" w:cs="Arial" w:eastAsia="Arial" w:hAnsi="Arial"/>
          <w:sz w:val="17"/>
          <w:szCs w:val="17"/>
          <w:color w:val="auto"/>
        </w:rPr>
        <w:t>could adversely impact our provision for income taxes or additional paid-in capital. Further, as a result of certain of our ongoing employment and capital investment actions and commitments, our income in certain countries is subject to reduced tax rates and in some cases is wholly exempt from tax. Our failure to meet these commitments could adversely impact our provision for income taxes. In addition, we are subject to the continuous examination of our income tax returns by the Internal Revenue Service and other tax authorities. We regularly assess the likelihood of adverse outcomes resulting from these examinations to determine the adequacy of our provision for income taxes. There can be no assurance that the outcomes from these continuous examinations will not have an adverse effect on our results of operations.</w:t>
      </w:r>
    </w:p>
    <w:p>
      <w:pPr>
        <w:spacing w:after="0" w:line="182"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Although we released our entire valuation allowance in fiscal 2009, we may in the future be required to establish a new valuation allowance. We will continue to assess the need for a valuation allowance on the deferred tax asset by evaluating both positive and negative evidence that may exist.</w:t>
      </w:r>
    </w:p>
    <w:p>
      <w:pPr>
        <w:spacing w:after="0" w:line="124" w:lineRule="exact"/>
        <w:rPr>
          <w:sz w:val="20"/>
          <w:szCs w:val="20"/>
          <w:color w:val="auto"/>
        </w:rPr>
      </w:pPr>
    </w:p>
    <w:p>
      <w:pPr>
        <w:jc w:val="both"/>
        <w:ind w:right="680" w:firstLine="648"/>
        <w:spacing w:after="0" w:line="264" w:lineRule="auto"/>
        <w:rPr>
          <w:sz w:val="20"/>
          <w:szCs w:val="20"/>
          <w:color w:val="auto"/>
        </w:rPr>
      </w:pPr>
      <w:r>
        <w:rPr>
          <w:rFonts w:ascii="Arial" w:cs="Arial" w:eastAsia="Arial" w:hAnsi="Arial"/>
          <w:sz w:val="18"/>
          <w:szCs w:val="18"/>
          <w:color w:val="auto"/>
        </w:rPr>
        <w:t>We are currently under audit by the Canada Revenue Agency for fiscal years 2006-2009 associated with our international transactions. The California Franchise Tax Board has notified us of their intent to examine our fiscal 2008 and 2009 California tax returns. The scope of the California Franchise Tax Board examinations is unclear at this time.</w:t>
      </w:r>
    </w:p>
    <w:p>
      <w:pPr>
        <w:spacing w:after="0" w:line="18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If the ultimate determination of income taxes assessed under the current Canadian or California audits or under audits being conducted, or to be conducted, in any of the other tax jurisdictions in which we operate results in an amount in excess of the tax provision we have recorded or reserved for, our operating results, cash flows and financial condition could be adversely affected.</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Forecasts of our income tax position and effective tax rate are complex and subject to uncertainty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effective tax rates by jurisdiction is different than those estimated, our actual tax rate could be materially different than forecasted, which could have a material impact on our results of business, financial condition and results of operations.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and tax holidays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taxing authorities may impose tax assessments or judgments against us that could materially impact our tax liability and/or our effective income tax rate.</w:t>
      </w:r>
    </w:p>
    <w:p>
      <w:pPr>
        <w:spacing w:after="0" w:line="178" w:lineRule="exact"/>
        <w:rPr>
          <w:sz w:val="20"/>
          <w:szCs w:val="20"/>
          <w:color w:val="auto"/>
        </w:rPr>
      </w:pPr>
    </w:p>
    <w:p>
      <w:pPr>
        <w:jc w:val="both"/>
        <w:ind w:right="140" w:firstLine="648"/>
        <w:spacing w:after="0" w:line="302" w:lineRule="auto"/>
        <w:rPr>
          <w:sz w:val="20"/>
          <w:szCs w:val="20"/>
          <w:color w:val="auto"/>
        </w:rPr>
      </w:pPr>
      <w:r>
        <w:rPr>
          <w:rFonts w:ascii="Arial" w:cs="Arial" w:eastAsia="Arial" w:hAnsi="Arial"/>
          <w:sz w:val="16"/>
          <w:szCs w:val="16"/>
          <w:color w:val="auto"/>
        </w:rPr>
        <w:t>In addition, we may be subject to examination of our income tax returns by the Internal Revenue Service and other tax authorities. If tax authorities challenge the relative mix of U.S. and international income, our future effective income tax rates could be adversely affected. While we regularly assess the likelihood of adverse outcomes from such examinations and the adequacy of our provision for income taxes, there can be no assurance that such provision is sufficient and that a determination by a tax authority will not have an adverse effect on our business,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acquire and integrate other businesses, products or technologies could seriously harm our competitive position.</w:t>
      </w:r>
    </w:p>
    <w:p>
      <w:pPr>
        <w:spacing w:after="0" w:line="225"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In order to remain competitive, we may seek to acquire additional businesses, products, or technologies and intellectual property, such as patents. If we identify an appropriate acquisition candidate, we may not be successful in negotiating the terms of the acquisition, financing the acquisition, or effectively integrating the acquired business, product, technology or intellectual property into our existing business and operations. We may have difficulty incorporating acquired technologies, intellectual property or products with our existing product lines and maintaining uniform standards, controls, procedures and policies. Our due diligence may fail to identify all of the problems, liabilities or other shortcomings or challenges of an acquired business, product or technology, including issues with intellectual property, product quality or product architecture, regulatory compliance practices, revenue recognition or other accounting practices or employee or customer issues. In addition, any acquisitions we are able to complete may not be accretive to earnings and may not result in any synergies or other benefits we had expected to achieve, which could result in write-offs that could be substantial. Further, completing a potential acquisition and integrating acquired businesses, products, technologies or intellectual property will significantly divert management time and resources.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of warranty claims, product returns, product liability and product defects.</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Our products are very complex and, despite testing prior to their release, have contained and may contain undetected defects or errors, especially when first introduced or when new versions are released. For example, one of our high-end product models has been experiencing a defect in limited deployments. Product errors have affected the performance of our products and could delay the development or release of new products or new versions of products, adversely affect our reputation and our end-customers' willingness to buy products from us,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18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Although we have limitation of liability provisions in our standard terms and conditions of sale, they may not fully or effectively protect us from claims as a result of federal, state or local laws or ordinances or unfavorable judicial decisions in the United States or other countries. The sale and support of our products also entail the risk of product liability claims. We maintain insurance to protect against certain claims associated with the use of our products, but our insurance coverage may not adequately cover any claim asserted against us. In addition, even claims that ultimately are unsuccessful could result in our expenditure of funds in litigation and divert management's time and other resources.</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power outages, floods and other catastrophic events, and to interruption by manmade problems such as civil unrest and terrorism.</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A significant natural disaster, such as an earthquake, fire, a flood, or significant power outage could have a material adverse impact on our business, operating results and financial condition. Our corporate headquarters are located in the San Francisco Bay Area, a region known for seismic activity. We have sales operations in Japan that have been impacted by the earthquake in Japan and that could continue to be impacted by that disaster, and we have sales operations in the Middle East that could continue to be negatively impacted by civil unrest there. In addition, natural disasters could affect our manufacturing vendors or logistics providers' ability to perform services such as obtaining product components and manufacturing products on a timely basis and assisting with shipments on a timely basis. For example, our primary international logistics provider is located in Taiwan which is an area known for typhoons. In the event our or our service providers' information technology systems or manufacturing or logistics abilities are hindered by any of the events discussed above, shipments could be delayed, resulting in missing financial targets, such as revenue and shipment targets, for a particular quarter. In addition, regional instability, acts of terrorism and other geo-political unrest could cause disruptions in our business or the business of our manufacturers, logistics providers, partners, or end-customers or the economy as a whole. Given our typical concentration of sales at each quarter end, any disruption in the business of our manufacturers, logistics providers, partners or end-customers that impacts sales at the end of our quarter could have a significant adverse impact on our quarterly results. All of the aforementioned risks may be augmented if the disaster recovery plans for us and our suppliers prove to be inadequate. To the extent that any of the above results in delays or cancellations of customer orders, or the delay in the manufacture, deployment or shipment of our products, our business, financial condition and results of operations would be adversely affected.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and changing end-customer needs, our competitive position and prospects will be harmed.</w:t>
      </w:r>
    </w:p>
    <w:p>
      <w:pPr>
        <w:spacing w:after="0" w:line="181"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enterprise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it needs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 consuming research and development processes.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For example, in the first quarter of fiscal 2009, we released a new model within our FortiGate product line and, after its initial release, we detected errors in the product that required us to redesign certain aspects of the product which delayed the availability of the product for one quarter and delayed our recognition of revenue from large orders that included such product until the following quarter when the product became available. If we do not quickly respond to the rapidly changing and rigorous needs of our end-customers by developing and releasing and making available on a timely basis new products and services or enhancements that can respond adequately to new security threats, our competitive position and business prospects will be harmed.</w:t>
      </w:r>
    </w:p>
    <w:p>
      <w:pPr>
        <w:spacing w:after="0" w:line="16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URL database for our Web filtering service may fail to keep pace with the rapid growth of URLs and may not categorize websites in accordance with our end-customers' expectations.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will impair the market acceptance of our products, which in turn will harm our business, financial condition and results of operations.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160" w:firstLine="648"/>
        <w:spacing w:after="0" w:line="290" w:lineRule="auto"/>
        <w:rPr>
          <w:sz w:val="20"/>
          <w:szCs w:val="20"/>
          <w:color w:val="auto"/>
        </w:rPr>
      </w:pPr>
      <w:r>
        <w:rPr>
          <w:rFonts w:ascii="Arial" w:cs="Arial" w:eastAsia="Arial" w:hAnsi="Arial"/>
          <w:sz w:val="16"/>
          <w:szCs w:val="16"/>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users'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will impair the growth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new products and product enhancements do not achieve sufficient market acceptance, our results of operations and competitive position will suffer.</w:t>
      </w:r>
    </w:p>
    <w:p>
      <w:pPr>
        <w:spacing w:after="0" w:line="260"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spend substantial amounts of time and money to research and develop new products and enhanced versions of our existing products to incorporate additional features, improved functionality or other enhancements in order to meet our customers' rapidly evolving demands for network security in our highly competitive industry. When we develop a new product or an enhanced version of an existing product, we typically incur expenses and expend resources upfront to market, promote and sell the new offering. Therefore, when we develop and introduce new or enhanced products, they must achieve high levels of market acceptance in order to justify the amount of our investment in developing and bringing them to market.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new products or product enhancements could fail to attain sufficient market acceptance for many reasons, including:</w:t>
      </w:r>
    </w:p>
    <w:p>
      <w:pPr>
        <w:spacing w:after="0" w:line="225"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releasing our new products or enhancements to the market;</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accurately predict market demand in terms of product functionality and to supply products that meet this demand in a timely fashion;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of our sales force and partners to focus on selling new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interoperate effectively with the networks or applications of our prospective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protect against new types of attacks or techniques used by hackers;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poor business conditions for our end-customers, causing them to delay IT purchases;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easing of regulatory requirements around security;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reluctance of customers to purchase products incorporating open source software.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If our new products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or enhancement.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we continue to develop better market awareness of our company and our products, our revenue may not continue to grow.</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We are a relatively new entrant in the network security market and we believe that we have not yet established sufficient market awareness of our participation in that market. Market awareness of our capabilities and products is essential to our continued growth and our success in all of our markets, particularly for the large enterprise, service provider and</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5" w:right="25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government entities markets. If our marketing programs are not successful in creating market awareness of our company and products, our business, financial condition and results of operations will be adversely affected, and we will not be able to achieve sustained growth.</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Demand for Unified Threat Management products may be limited by market perception that UTM products are inferior to network security solutions from multiple vendors.</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Sales of most of our products depend on increased demand for UTM products. If the UTM market fails to grow as we anticipate, our business will be seriously harmed. Target customers may view UTM “all-in-one” solutions as inferior to security solutions from multiple vendors because of, among other things, their perception that UTM products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UTM solutions create a “single point of failure” in their networks, which means that an error, vulnerability or failure of the UTM product may place the entire network at risk. In addition, the market perception that UTM solutions may be suitable only for small and medium sized businesses because UTM lacks the performance capabilities and functionality of other solutions may harm our sales to large enterprise, service provider, and government entity end-customers. If the foregoing concerns and perceptions become prevalent, even if there is no factual basis for these concerns and perceptions, or if other issues arise with the UTM market in general, demand for UTM products could be severely limited, which would limit our growth and harm our business, financial condition and results of operations. Further a successful and publicized targeted attack against us or another well known UTM vendor exposing a “single point of failure” could significantly increase these concerns and perceptions and may harm our business and results of operations.</w:t>
      </w:r>
    </w:p>
    <w:p>
      <w:pPr>
        <w:spacing w:after="0" w:line="1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face intense competition in our market, especially from larger, better-known companies, and we may lack sufficient financial or other resources to maintain or improve our competitive position.</w:t>
      </w:r>
    </w:p>
    <w:p>
      <w:pPr>
        <w:spacing w:after="0" w:line="170"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The market for network security products is intensely competitive and we expect competition to intensify in the future. Our competitors include networking companies such as Cisco Systems, Inc. and Juniper Networks, Inc., security vendors such as Check Point Software Technologies Ltd., McAfee, Inc. (acquired by Intel, Inc.), and SonicWALL, Inc. (acquired by Thoma Bravo), and other point solution security vendors.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Many of our existing and potential competitors enjoy substantial competitive advantages such as:</w:t>
      </w:r>
    </w:p>
    <w:p>
      <w:pPr>
        <w:spacing w:after="0" w:line="225"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greater name recognition and longer operating histories;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broader distribution and established relationships with distribution partners and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lower labor and development costs;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addition, some of our larger competitors have substantially broader product offerings and leverage their relationships based on other products or incorporate functionality into existing products in a manner that discourages users from purchasing our products. These larger competitors often have broader product lines and market focus, are in a better position to withstand any significant reduction in capital spending by end-customers in these markets, and will therefore not be as susceptible to downturns in a particular market. Also, many of our smaller competitors that specialize in providing protection from a single type of network security threat are often able to deliver these specialized network security products to the market more quickly than we can. Some of our smaller competitors are using third-party chips designed to accelerate performance. Conditions in our markets could change rapidly and significantly as a result of technological advancements or continuing market consolidation. Our current and potential competitors may also establish cooperative relationships among themselves or with third parties that may further enhance their resources. In addition, current or potential competitors may be acquired by third parties with greater available resources, such as Juniper's acquisition of NetScreen Technologies, Inc., Intel's acquisition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5" w:right="25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of McAfee and Check Point's acquisition of Nokia's security appliance business. As a result of such acquisitions,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17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Large, well-established providers of networking equipment such as Cisco Systems, Inc. and Juniper Networks, Inc.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proprietary rights may be difficult to enforce, which could enable others to copy or use aspects of our products without compensating us.</w:t>
      </w:r>
    </w:p>
    <w:p>
      <w:pPr>
        <w:spacing w:after="0" w:line="248"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We rely primarily on patent, trademark, copyright and trade secrets laws, confidentiality procedures and contractual provisions to protect our technology. We purchased most of our issued U.S. patents and many of our pending U.S. patent applications from other entities.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As a result, we may not be able to obtain adequate patent protection or effectively enforce our issued patents.</w:t>
      </w:r>
    </w:p>
    <w:p>
      <w:pPr>
        <w:spacing w:after="0" w:line="169"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assure you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time-to-time, legal action by us may be necessary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than by patent rights), we may find ourselves at a competitive disadvantage to others who need not incur the additional expense, time and effort required to create the innovative products that have enabled us to be successful to date.</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w:t>
      </w:r>
    </w:p>
    <w:p>
      <w:pPr>
        <w:spacing w:after="0" w:line="170" w:lineRule="exact"/>
        <w:rPr>
          <w:sz w:val="20"/>
          <w:szCs w:val="20"/>
          <w:color w:val="auto"/>
        </w:rPr>
      </w:pPr>
    </w:p>
    <w:p>
      <w:pPr>
        <w:jc w:val="both"/>
        <w:ind w:right="20" w:firstLine="648"/>
        <w:spacing w:after="0" w:line="288" w:lineRule="auto"/>
        <w:rPr>
          <w:sz w:val="20"/>
          <w:szCs w:val="20"/>
          <w:color w:val="auto"/>
        </w:rPr>
      </w:pPr>
      <w:r>
        <w:rPr>
          <w:rFonts w:ascii="Arial" w:cs="Arial" w:eastAsia="Arial" w:hAnsi="Arial"/>
          <w:sz w:val="16"/>
          <w:szCs w:val="16"/>
          <w:color w:val="auto"/>
        </w:rPr>
        <w:t>Our products contain software modules licensed to us by third-party authors under “open source” licenses, including the GNU Public License (GPL), the GNU Lesser Public License (LGPL), the BSD License, the Apache License and others. From time-to-time, there have been claims against companies that distribute or use open source software in their products and services, asserting that open source software infringes the claimants' intellectual property rights.</w:t>
      </w:r>
    </w:p>
    <w:p>
      <w:pPr>
        <w:spacing w:after="0" w:line="252" w:lineRule="auto"/>
        <w:rPr>
          <w:sz w:val="20"/>
          <w:szCs w:val="20"/>
          <w:color w:val="auto"/>
        </w:rPr>
      </w:pPr>
      <w:r>
        <w:rPr>
          <w:rFonts w:ascii="Arial" w:cs="Arial" w:eastAsia="Arial" w:hAnsi="Arial"/>
          <w:sz w:val="18"/>
          <w:szCs w:val="18"/>
          <w:color w:val="auto"/>
        </w:rPr>
        <w:t>We could be subject to suits by parties claiming infringement of intellectual property rights in what we believe to be licensed open source software. Use and distribution of open source software may entail greater risks than use of third-party commercial software, as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93"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Although we monitor our use of open source software to avoid subjecting our products to conditions we do not intend, the terms of many open source licenses have not been interpreted by United States courts, and there is a risk that these licenses could be construed in a way that could impose unanticipated conditions or restrictions on our ability to commercialize our products. In this event, we could be required to seek licenses from third parties to continue offering our products, to make generally available, in source code form, our proprietary code, to re-engineer our products, or to discontinue the sale of our products if re-engineering could not be accomplished on a timely basis, any of which could adversely affect our business, operating results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 their proprietary technology could harm our business.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Patent and other intellectual property disputes are common in the network security industry. Third parties have asserted and may in the future assert claims of infringement of intellectual property rights against us. They may also assert such claims against our end-customers or channel partners whom we typically indemnify against claims that our products infringe the intellectual property rights of third parties. As the number of products and competitors in our market increases and overlaps occur, infringement claims may increase. Any claim of infringement by a third-party, even those without merit, could cause us to incur substantial costs defending against the claim and could distract our management from our business. In addition, future litigation may involve patent holding companies or other adverse patent owners who have no relevant product revenue and against whom our own patents may therefore provide little or no deterrence or protection.</w:t>
      </w:r>
    </w:p>
    <w:p>
      <w:pPr>
        <w:spacing w:after="0" w:line="189"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16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18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We have been involved in patent disputes in the past, are currently involved in several patent disputes, and likely will be involved in additional disputes in the future. In May 2004, Trend Micro Incorporated filed a complaint against us alleging that we infringed a Trend Micro patent related to antivirus software. The International Trade Commission, or ITC, subsequently instituted an investigation which resulted in an exclusion order and a cease and desist order prohibiting us from selling a broad array of our products in the United States. In January 2006, we settled the lawsuit with Trend Micro, and subsequently the ITC terminated its action and rescinded the orders. Pursuant to the settlement and license agreement, we initially paid Trend Micro $15.0 million. The settlement and license agreement provides for additional quarterly royalty payments, not expected to exceed 1% of our total revenue each quarter, through 2015. In November 2008, we filed a complaint against Trend Micro in the United States District Court for the Northern District of California alleging, among other claims, that the patents that are the basis for</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ongoing royalty payments are invalid and consequently that we have no contractual obligation to pay the royalties. Trend Micro moved to dismiss the case, and, in June 2009, the court dismissed the case without prejudice on procedural grounds, and we appealed the dismissal in July 2009. Based on the dispute, we ceased paying royalties under the settlement and license agreement. In August 2009, Trend Micro filed a complaint against us in the Superior Court of the State of California for Santa Clara County alleging breach of contract and seeking a declaratory judgment that we are obligated to make certain royalty payments to Trend Micro. In December 2009, we withdrew our appeal of the June 2009 dismissal by the United States District Court for the Northern District of California and filed a new complaint against Trend Micro in the United States District Court for the Northern District of California alleging, among other claims, that the patents that are the basis for the ongoing royalty payments are invalid and consequently that we have no contractual obligation to pay the royalties. In February 2010, Trend Micro filed demurrers in the state Superior Court action regarding Fortinet's affirmative defenses that Fortinet has no obligation to pay royalties because the Trend Micro patents are invalid or unenforceable. In March 2010, Trend Micro filed a motion to dismiss our new complaint that we filed in the United States District Court for the Northern District of California. In May 2010, the state Superior Court denied Trend Micro's demurrer in its entirety. Also in May 2010, the United States District Court for the Northern District of California denied Trend Micro's motion to dismiss without prejudice and stayed the action before that court pending the conclusion of the state Superior Court action. In January 2011, in response to petitions for re-examination we filed with the U.S. Patent and Trademark Office ("PTO"), the PTO issued an initial office action that Trend Micro's patents at issue were invalid. At this stage it is not possible to predict the outcome. An adverse outcome in this dispute could result in accelerated royalty payments and additional damages.</w:t>
      </w:r>
    </w:p>
    <w:p>
      <w:pPr>
        <w:spacing w:after="0" w:line="183"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As discussed in "Item 1-Legal Proceedings," from time to time we are subject to lawsuits claiming patent infringement and there are lawsuits claiming patent infringement currently pending. If we are unsuccessful in defending any such claims, our operating results and financial condition and results may be materially and adversely affected. For example, we may be required to pay substantial damages and could be prevented from selling certain of our products. In addition to the lawsuits described in "Legal Proceedings," several other non-practicing patent holding companies have sent us letters proposing that we license certain of their patents, and, given this and the proliferation of lawsuits in our industry and other similar industries by both non-practicing entities and operating entities, we expect that we will be sued for patent infringement in the future, regardless of the merits of any such lawsuits. The cost to defend such lawsuits and any adverse result in such lawsuits could have a material adverse effect on our results of operations and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the availability of third-party licenses.</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Many of our products include software or other intellectual property licensed from third parties. It may be necessary in the future to renew licenses relating to various aspects of these products or to seek new licenses for existing or new products. There can be no assurance that the necessary licenses would be available on acceptable terms, if at all. The inability to obtain certain licenses or other rights or to obtain such licenses or rights on favorable terms, or the need to engage in litigation regarding these matters, could result in delays in product releases until equivalent technology can be identified, licensed or developed, if at all, and integrated into our products and may have a material adverse effect on our business, operating results, and financial condition. Moreover, the inclusion in our products of software or other intellectual property licensed from third parties on a nonexclusive basis could limit our ability to differentiate our products from those of our competitors.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70"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Sarbanes-Oxley Act of 2002, the Dodd-Frank Wall Street Reform and Consumer Protection Act of 2010, as well as other rules implemented by the SEC and The NASDAQ Stock Market, impose various requirements on public companies, including requiring changes in corporate governance practices. These and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The Sarbanes-Oxley Act requires, among other things, that we assess the effectiveness of our internal control over financial reporting annually and disclosure controls and procedures quarterly. We are in the early stages of completing our evaluation of our internal controls over financial reporting for fiscal 2011 as required by Section 404 of the Sarbanes-Oxley Act of 2002. Although our assessment, testing and evaluation resulted in our conclusion that as of December 31, 2010, our internal controls over financial reporting were effective, we cannot predict the outcome of our testing in future periods. If our internal controls or disclosure controls are ineffective in future periods, our business and reputation could be harmed. We may incur additional expenses and commitment of management's time in connection with further evaluations, both of which could materially increase our operating expenses and accordingly reduce our operating results.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financial accounting standards may cause adverse unexpected fluctuations and affect our reported results of operations.</w:t>
      </w:r>
    </w:p>
    <w:p>
      <w:pPr>
        <w:spacing w:after="0" w:line="225" w:lineRule="exact"/>
        <w:rPr>
          <w:sz w:val="20"/>
          <w:szCs w:val="20"/>
          <w:color w:val="auto"/>
        </w:rPr>
      </w:pPr>
    </w:p>
    <w:p>
      <w:pPr>
        <w:ind w:right="280" w:firstLine="648"/>
        <w:spacing w:after="0" w:line="293" w:lineRule="auto"/>
        <w:rPr>
          <w:sz w:val="20"/>
          <w:szCs w:val="20"/>
          <w:color w:val="auto"/>
        </w:rPr>
      </w:pPr>
      <w:r>
        <w:rPr>
          <w:rFonts w:ascii="Arial" w:cs="Arial" w:eastAsia="Arial" w:hAnsi="Arial"/>
          <w:sz w:val="16"/>
          <w:szCs w:val="16"/>
          <w:color w:val="auto"/>
        </w:rPr>
        <w:t>A change in accounting standards or practices and varying interpretations of existing accounting pronouncements, such as changes to standards related to revenue recognition recently adopted by the FASB, the increased use of fair value measure, the recent proposed change to revenue recognition, lease accounting, financial instrument accounting standards, and the potential requirement that U.S. registrants prepare financial statements in accordance with International Financial Reporting Standards (“IFRS”), could have a significant effect on our reported financial results or the way we conduct our business. Effective January 1, 2011, we started reporting revenue recognition based on the new revenue standards issued by the FASB. If we do not ensure that proper systems and processes for revenue recognition are aligned with the new standards, this could have a material adverse impact on our business.</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stop publishing research or publish inaccurate or unfavorable research about our business, our stock price and trading volume could decline.</w:t>
      </w:r>
    </w:p>
    <w:p>
      <w:pPr>
        <w:spacing w:after="0" w:line="17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The trading market for our common stock will depend in part on the research and reports that securities or industry analysts publish about us or our business. If we do not maintain adequate research coverage or if one or more of the analysts who covers us downgrades our stock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is likely to be volatile.</w:t>
      </w:r>
    </w:p>
    <w:p>
      <w:pPr>
        <w:spacing w:after="0" w:line="225"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The market price of our common stock is subject to wide fluctuations in response to, among other things, the risk factors described in this periodic report, and other factors such as rumors or fluctuations in the valuation of companies perceived by investors to be comparable to us.</w:t>
      </w:r>
    </w:p>
    <w:p>
      <w:pPr>
        <w:spacing w:after="0" w:line="14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failure to raise additional capital or generate the significant capital necessary to expand our operations and invest in new products could reduce our ability to compete and could harm our business.</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expect that our existing cash and cash equivalents will be sufficient to meet our anticipated cash needs for at least the next 12 months. After that, we may need to raise additional funds, and we may not be able to obtain additional debt or equity financing on favorable terms, if at all. If we raise additional equity financing, our stockholders may experience significant dilution of their ownership interests and the per-share value of our common stock could decline. Furthermore, if we engage in debt financing, the holders of debt would have priority over the holders of common stock and we may be required to accept terms that restrict our ability to incur additional indebtedness. We may also be required to take other actions that would otherwise be in the interests of the stockholders and force us to maintain specified liquidity or other ratios, any of which could harm our business, operating results and financial condition. If we need additional capital and cannot raise it on acceptable terms, we may not be able to, among other things:</w:t>
      </w:r>
    </w:p>
    <w:p>
      <w:pPr>
        <w:spacing w:after="0" w:line="167"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 or enhance our products and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continue to expand our sales and marketing and research and development organizations;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acquire complementary technologies, products or businesses;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expand operations, in the United States or internationally;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hire, train and retain employees;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respond to competitive pressures or unanticipated working capital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failure to do any of these things could seriously harm our business, financial condition and results of operations.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Concentration of ownership among our existing executive officers, directors and their affiliates may prevent new investors from influencing significant corporate decisions.</w:t>
      </w:r>
    </w:p>
    <w:p>
      <w:pPr>
        <w:spacing w:after="0" w:line="170"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As of April 28, 2011, our executive officers, directors and their affiliates beneficially owned, in the aggregate, approximately 20.6% of our outstanding common stock. As a result, these stockholders are able to exercise a significant level of control over all matters requiring stockholder approval, including the election of directors, amendment of our certificate of incorporation and approval of significant corporate transactions. This control could have the effect of delaying or preventing a change of control of our company or changes in management and will make the approval of certain transactions difficult or impossible without the support of these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Anti-takeover provisions contained in our certificate of incorporation and bylaws, as well as provisions of Delaware law, could impair a takeover attempt.</w:t>
      </w:r>
    </w:p>
    <w:p>
      <w:pPr>
        <w:spacing w:after="0" w:line="260"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47"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creating a classified board of directors whose members serve staggered three-year terms;</w:t>
      </w:r>
    </w:p>
    <w:p>
      <w:pPr>
        <w:spacing w:after="0" w:line="225" w:lineRule="exact"/>
        <w:rPr>
          <w:rFonts w:ascii="Arial" w:cs="Arial" w:eastAsia="Arial" w:hAnsi="Arial"/>
          <w:sz w:val="18"/>
          <w:szCs w:val="18"/>
          <w:color w:val="auto"/>
        </w:rPr>
      </w:pPr>
    </w:p>
    <w:p>
      <w:pPr>
        <w:ind w:left="1300" w:right="48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225"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and stockholder meetings; and</w:t>
      </w:r>
    </w:p>
    <w:p>
      <w:pPr>
        <w:spacing w:after="0" w:line="225" w:lineRule="exact"/>
        <w:rPr>
          <w:rFonts w:ascii="Arial" w:cs="Arial" w:eastAsia="Arial" w:hAnsi="Arial"/>
          <w:sz w:val="18"/>
          <w:szCs w:val="18"/>
          <w:color w:val="auto"/>
        </w:rPr>
      </w:pPr>
    </w:p>
    <w:p>
      <w:pPr>
        <w:ind w:left="1300" w:right="60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providing the board of directors with the express power to postpone previously scheduled annual meetings and to cancel previously scheduled special meetings.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a substantial majority of all of our outstanding common stock.</w:t>
      </w:r>
    </w:p>
    <w:p>
      <w:pPr>
        <w:spacing w:after="0" w:line="18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Any provision of our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125" w:right="27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exhibits listed in the accompanying Exhibit Index are filed or incorporated by reference as part of this Quarterly Report.</w:t>
      </w:r>
    </w:p>
    <w:p>
      <w:pPr>
        <w:spacing w:after="0" w:line="200" w:lineRule="exact"/>
        <w:rPr>
          <w:sz w:val="20"/>
          <w:szCs w:val="20"/>
          <w:color w:val="auto"/>
        </w:rPr>
      </w:pPr>
    </w:p>
    <w:p>
      <w:pPr>
        <w:spacing w:after="0" w:line="29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219"/>
          </w:cols>
          <w:pgMar w:left="240" w:top="125" w:right="1440"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5, 2011</w:t>
      </w:r>
    </w:p>
    <w:p>
      <w:pPr>
        <w:spacing w:after="0" w:line="383"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FORTINET, INC.</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240" w:type="dxa"/>
            <w:vAlign w:val="bottom"/>
          </w:tcPr>
          <w:p>
            <w:pPr>
              <w:ind w:left="5700"/>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/s/ K</w:t>
            </w:r>
            <w:r>
              <w:rPr>
                <w:rFonts w:ascii="Arial" w:cs="Arial" w:eastAsia="Arial" w:hAnsi="Arial"/>
                <w:sz w:val="12"/>
                <w:szCs w:val="12"/>
                <w:color w:val="auto"/>
              </w:rPr>
              <w:t>EN</w:t>
            </w:r>
            <w:r>
              <w:rPr>
                <w:rFonts w:ascii="Arial" w:cs="Arial" w:eastAsia="Arial" w:hAnsi="Arial"/>
                <w:sz w:val="18"/>
                <w:szCs w:val="18"/>
                <w:color w:val="auto"/>
              </w:rPr>
              <w:t xml:space="preserve"> G</w:t>
            </w:r>
            <w:r>
              <w:rPr>
                <w:rFonts w:ascii="Arial" w:cs="Arial" w:eastAsia="Arial" w:hAnsi="Arial"/>
                <w:sz w:val="12"/>
                <w:szCs w:val="12"/>
                <w:color w:val="auto"/>
              </w:rPr>
              <w:t>OLDMAN</w:t>
            </w:r>
          </w:p>
        </w:tc>
        <w:tc>
          <w:tcPr>
            <w:tcW w:w="0" w:type="dxa"/>
            <w:vAlign w:val="bottom"/>
          </w:tcPr>
          <w:p>
            <w:pPr>
              <w:spacing w:after="0"/>
              <w:rPr>
                <w:sz w:val="1"/>
                <w:szCs w:val="1"/>
                <w:color w:val="auto"/>
              </w:rPr>
            </w:pPr>
          </w:p>
        </w:tc>
      </w:tr>
      <w:tr>
        <w:trPr>
          <w:trHeight w:val="27"/>
        </w:trPr>
        <w:tc>
          <w:tcPr>
            <w:tcW w:w="6240" w:type="dxa"/>
            <w:vAlign w:val="bottom"/>
            <w:vMerge w:val="restart"/>
          </w:tcPr>
          <w:p>
            <w:pPr>
              <w:spacing w:after="0"/>
              <w:rPr>
                <w:sz w:val="20"/>
                <w:szCs w:val="20"/>
                <w:color w:val="auto"/>
              </w:rPr>
            </w:pPr>
            <w:r>
              <w:rPr>
                <w:rFonts w:ascii="Arial" w:cs="Arial" w:eastAsia="Arial" w:hAnsi="Arial"/>
                <w:sz w:val="14"/>
                <w:szCs w:val="14"/>
                <w:b w:val="1"/>
                <w:bCs w:val="1"/>
                <w:color w:val="FFFFFF"/>
              </w:rPr>
              <w:t>Ken Goldman</w:t>
            </w:r>
          </w:p>
        </w:tc>
        <w:tc>
          <w:tcPr>
            <w:tcW w:w="5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6240" w:type="dxa"/>
            <w:vAlign w:val="bottom"/>
            <w:vMerge w:val="continue"/>
          </w:tcPr>
          <w:p>
            <w:pPr>
              <w:spacing w:after="0"/>
              <w:rPr>
                <w:sz w:val="12"/>
                <w:szCs w:val="12"/>
                <w:color w:val="auto"/>
              </w:rPr>
            </w:pPr>
          </w:p>
        </w:tc>
        <w:tc>
          <w:tcPr>
            <w:tcW w:w="5140" w:type="dxa"/>
            <w:vAlign w:val="bottom"/>
          </w:tcPr>
          <w:p>
            <w:pPr>
              <w:ind w:left="40"/>
              <w:spacing w:after="0" w:line="147" w:lineRule="exact"/>
              <w:rPr>
                <w:sz w:val="20"/>
                <w:szCs w:val="20"/>
                <w:color w:val="auto"/>
              </w:rPr>
            </w:pPr>
            <w:r>
              <w:rPr>
                <w:rFonts w:ascii="Arial" w:cs="Arial" w:eastAsia="Arial" w:hAnsi="Arial"/>
                <w:sz w:val="14"/>
                <w:szCs w:val="14"/>
                <w:b w:val="1"/>
                <w:bCs w:val="1"/>
                <w:color w:val="auto"/>
              </w:rPr>
              <w:t>Ken Goldman</w:t>
            </w:r>
          </w:p>
        </w:tc>
        <w:tc>
          <w:tcPr>
            <w:tcW w:w="0" w:type="dxa"/>
            <w:vAlign w:val="bottom"/>
          </w:tcPr>
          <w:p>
            <w:pPr>
              <w:spacing w:after="0"/>
              <w:rPr>
                <w:sz w:val="1"/>
                <w:szCs w:val="1"/>
                <w:color w:val="auto"/>
              </w:rPr>
            </w:pPr>
          </w:p>
        </w:tc>
      </w:tr>
      <w:tr>
        <w:trPr>
          <w:trHeight w:val="186"/>
        </w:trPr>
        <w:tc>
          <w:tcPr>
            <w:tcW w:w="6240" w:type="dxa"/>
            <w:vAlign w:val="bottom"/>
          </w:tcPr>
          <w:p>
            <w:pPr>
              <w:spacing w:after="0"/>
              <w:rPr>
                <w:sz w:val="20"/>
                <w:szCs w:val="20"/>
                <w:color w:val="auto"/>
              </w:rPr>
            </w:pPr>
            <w:r>
              <w:rPr>
                <w:rFonts w:ascii="Arial" w:cs="Arial" w:eastAsia="Arial" w:hAnsi="Arial"/>
                <w:sz w:val="14"/>
                <w:szCs w:val="14"/>
                <w:b w:val="1"/>
                <w:bCs w:val="1"/>
                <w:color w:val="FFFFFF"/>
              </w:rPr>
              <w:t>Vice President and Chief Financial Officer</w:t>
            </w:r>
          </w:p>
        </w:tc>
        <w:tc>
          <w:tcPr>
            <w:tcW w:w="5140" w:type="dxa"/>
            <w:vAlign w:val="bottom"/>
          </w:tcPr>
          <w:p>
            <w:pPr>
              <w:ind w:left="40"/>
              <w:spacing w:after="0"/>
              <w:rPr>
                <w:sz w:val="20"/>
                <w:szCs w:val="20"/>
                <w:color w:val="auto"/>
              </w:rPr>
            </w:pPr>
            <w:r>
              <w:rPr>
                <w:rFonts w:ascii="Arial" w:cs="Arial" w:eastAsia="Arial" w:hAnsi="Arial"/>
                <w:sz w:val="14"/>
                <w:szCs w:val="14"/>
                <w:b w:val="1"/>
                <w:bCs w:val="1"/>
                <w:color w:val="auto"/>
              </w:rPr>
              <w:t>Vice President and Chief Financial Officer</w:t>
            </w:r>
          </w:p>
        </w:tc>
        <w:tc>
          <w:tcPr>
            <w:tcW w:w="0" w:type="dxa"/>
            <w:vAlign w:val="bottom"/>
          </w:tcPr>
          <w:p>
            <w:pPr>
              <w:spacing w:after="0"/>
              <w:rPr>
                <w:sz w:val="1"/>
                <w:szCs w:val="1"/>
                <w:color w:val="auto"/>
              </w:rPr>
            </w:pPr>
          </w:p>
        </w:tc>
      </w:tr>
      <w:tr>
        <w:trPr>
          <w:trHeight w:val="687"/>
        </w:trPr>
        <w:tc>
          <w:tcPr>
            <w:tcW w:w="6240" w:type="dxa"/>
            <w:vAlign w:val="bottom"/>
          </w:tcPr>
          <w:p>
            <w:pPr>
              <w:jc w:val="right"/>
              <w:ind w:right="399"/>
              <w:spacing w:after="0"/>
              <w:rPr>
                <w:sz w:val="20"/>
                <w:szCs w:val="20"/>
                <w:color w:val="auto"/>
              </w:rPr>
            </w:pPr>
            <w:r>
              <w:rPr>
                <w:rFonts w:ascii="Arial" w:cs="Arial" w:eastAsia="Arial" w:hAnsi="Arial"/>
                <w:sz w:val="18"/>
                <w:szCs w:val="18"/>
                <w:color w:val="auto"/>
              </w:rPr>
              <w:t>58</w:t>
            </w: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60" w:type="dxa"/>
            <w:vAlign w:val="bottom"/>
            <w:gridSpan w:val="2"/>
          </w:tcPr>
          <w:p>
            <w:pPr>
              <w:ind w:left="38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75"/>
        </w:trPr>
        <w:tc>
          <w:tcPr>
            <w:tcW w:w="920" w:type="dxa"/>
            <w:vAlign w:val="bottom"/>
          </w:tcPr>
          <w:p>
            <w:pPr>
              <w:ind w:left="40"/>
              <w:spacing w:after="0"/>
              <w:rPr>
                <w:sz w:val="20"/>
                <w:szCs w:val="20"/>
                <w:color w:val="auto"/>
              </w:rPr>
            </w:pPr>
            <w:r>
              <w:rPr>
                <w:rFonts w:ascii="Arial" w:cs="Arial" w:eastAsia="Arial" w:hAnsi="Arial"/>
                <w:sz w:val="16"/>
                <w:szCs w:val="16"/>
                <w:b w:val="1"/>
                <w:bCs w:val="1"/>
                <w:color w:val="auto"/>
              </w:rPr>
              <w:t>Exhibit</w:t>
            </w:r>
          </w:p>
        </w:tc>
        <w:tc>
          <w:tcPr>
            <w:tcW w:w="240" w:type="dxa"/>
            <w:vAlign w:val="bottom"/>
          </w:tcPr>
          <w:p>
            <w:pPr>
              <w:spacing w:after="0"/>
              <w:rPr>
                <w:sz w:val="24"/>
                <w:szCs w:val="24"/>
                <w:color w:val="auto"/>
              </w:rPr>
            </w:pPr>
          </w:p>
        </w:tc>
        <w:tc>
          <w:tcPr>
            <w:tcW w:w="5260" w:type="dxa"/>
            <w:vAlign w:val="bottom"/>
            <w:gridSpan w:val="2"/>
          </w:tcPr>
          <w:p>
            <w:pPr>
              <w:ind w:left="216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33"/>
        </w:trPr>
        <w:tc>
          <w:tcPr>
            <w:tcW w:w="9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Number</w:t>
            </w:r>
          </w:p>
        </w:tc>
        <w:tc>
          <w:tcPr>
            <w:tcW w:w="24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2"/>
        </w:trPr>
        <w:tc>
          <w:tcPr>
            <w:tcW w:w="920" w:type="dxa"/>
            <w:vAlign w:val="bottom"/>
          </w:tcPr>
          <w:p>
            <w:pPr>
              <w:jc w:val="right"/>
              <w:ind w:right="254"/>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5260" w:type="dxa"/>
            <w:vAlign w:val="bottom"/>
            <w:gridSpan w:val="2"/>
          </w:tcPr>
          <w:p>
            <w:pPr>
              <w:ind w:left="20"/>
              <w:spacing w:after="0"/>
              <w:rPr>
                <w:sz w:val="20"/>
                <w:szCs w:val="20"/>
                <w:color w:val="auto"/>
              </w:rPr>
            </w:pPr>
            <w:r>
              <w:rPr>
                <w:rFonts w:ascii="Arial" w:cs="Arial" w:eastAsia="Arial" w:hAnsi="Arial"/>
                <w:sz w:val="18"/>
                <w:szCs w:val="18"/>
                <w:color w:val="auto"/>
              </w:rPr>
              <w:t>Certification of Chief Executive Officer pursuant to Exchange Act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60" w:type="dxa"/>
            <w:vAlign w:val="bottom"/>
            <w:gridSpan w:val="2"/>
          </w:tcPr>
          <w:p>
            <w:pPr>
              <w:ind w:left="20"/>
              <w:spacing w:after="0"/>
              <w:rPr>
                <w:sz w:val="20"/>
                <w:szCs w:val="20"/>
                <w:color w:val="auto"/>
              </w:rPr>
            </w:pPr>
            <w:r>
              <w:rPr>
                <w:rFonts w:ascii="Arial" w:cs="Arial" w:eastAsia="Arial" w:hAnsi="Arial"/>
                <w:sz w:val="18"/>
                <w:szCs w:val="18"/>
                <w:color w:val="auto"/>
                <w:w w:val="92"/>
              </w:rPr>
              <w:t>Rules 13a-14(a) and 15d-14(a), as adopted pursuant to Section 302 of</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60" w:type="dxa"/>
            <w:vAlign w:val="bottom"/>
            <w:gridSpan w:val="2"/>
          </w:tcPr>
          <w:p>
            <w:pPr>
              <w:ind w:left="20"/>
              <w:spacing w:after="0"/>
              <w:rPr>
                <w:sz w:val="20"/>
                <w:szCs w:val="20"/>
                <w:color w:val="auto"/>
              </w:rPr>
            </w:pPr>
            <w:r>
              <w:rPr>
                <w:rFonts w:ascii="Arial" w:cs="Arial" w:eastAsia="Arial" w:hAnsi="Arial"/>
                <w:sz w:val="18"/>
                <w:szCs w:val="18"/>
                <w:color w:val="auto"/>
              </w:rPr>
              <w:t>the Sarbanes-Oxley Act of 2002</w:t>
            </w:r>
          </w:p>
        </w:tc>
        <w:tc>
          <w:tcPr>
            <w:tcW w:w="0" w:type="dxa"/>
            <w:vAlign w:val="bottom"/>
          </w:tcPr>
          <w:p>
            <w:pPr>
              <w:spacing w:after="0"/>
              <w:rPr>
                <w:sz w:val="1"/>
                <w:szCs w:val="1"/>
                <w:color w:val="auto"/>
              </w:rPr>
            </w:pPr>
          </w:p>
        </w:tc>
      </w:tr>
      <w:tr>
        <w:trPr>
          <w:trHeight w:val="485"/>
        </w:trPr>
        <w:tc>
          <w:tcPr>
            <w:tcW w:w="920" w:type="dxa"/>
            <w:vAlign w:val="bottom"/>
          </w:tcPr>
          <w:p>
            <w:pPr>
              <w:jc w:val="right"/>
              <w:ind w:right="254"/>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5260" w:type="dxa"/>
            <w:vAlign w:val="bottom"/>
            <w:gridSpan w:val="2"/>
          </w:tcPr>
          <w:p>
            <w:pPr>
              <w:ind w:left="20"/>
              <w:spacing w:after="0"/>
              <w:rPr>
                <w:sz w:val="20"/>
                <w:szCs w:val="20"/>
                <w:color w:val="auto"/>
              </w:rPr>
            </w:pPr>
            <w:r>
              <w:rPr>
                <w:rFonts w:ascii="Arial" w:cs="Arial" w:eastAsia="Arial" w:hAnsi="Arial"/>
                <w:sz w:val="18"/>
                <w:szCs w:val="18"/>
                <w:color w:val="auto"/>
              </w:rPr>
              <w:t>Certification of Chief Financial Officer pursuant to Exchange Act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60" w:type="dxa"/>
            <w:vAlign w:val="bottom"/>
            <w:gridSpan w:val="2"/>
          </w:tcPr>
          <w:p>
            <w:pPr>
              <w:ind w:left="20"/>
              <w:spacing w:after="0"/>
              <w:rPr>
                <w:sz w:val="20"/>
                <w:szCs w:val="20"/>
                <w:color w:val="auto"/>
              </w:rPr>
            </w:pPr>
            <w:r>
              <w:rPr>
                <w:rFonts w:ascii="Arial" w:cs="Arial" w:eastAsia="Arial" w:hAnsi="Arial"/>
                <w:sz w:val="18"/>
                <w:szCs w:val="18"/>
                <w:color w:val="auto"/>
                <w:w w:val="92"/>
              </w:rPr>
              <w:t>Rules 13a-14(a) and 15d-14(a), as adopted pursuant to Section 302 of</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60" w:type="dxa"/>
            <w:vAlign w:val="bottom"/>
            <w:gridSpan w:val="2"/>
          </w:tcPr>
          <w:p>
            <w:pPr>
              <w:ind w:left="20"/>
              <w:spacing w:after="0"/>
              <w:rPr>
                <w:sz w:val="20"/>
                <w:szCs w:val="20"/>
                <w:color w:val="auto"/>
              </w:rPr>
            </w:pPr>
            <w:r>
              <w:rPr>
                <w:rFonts w:ascii="Arial" w:cs="Arial" w:eastAsia="Arial" w:hAnsi="Arial"/>
                <w:sz w:val="18"/>
                <w:szCs w:val="18"/>
                <w:color w:val="auto"/>
              </w:rPr>
              <w:t>the Sarbanes-Oxley Act of 2002</w:t>
            </w:r>
          </w:p>
        </w:tc>
        <w:tc>
          <w:tcPr>
            <w:tcW w:w="0" w:type="dxa"/>
            <w:vAlign w:val="bottom"/>
          </w:tcPr>
          <w:p>
            <w:pPr>
              <w:spacing w:after="0"/>
              <w:rPr>
                <w:sz w:val="1"/>
                <w:szCs w:val="1"/>
                <w:color w:val="auto"/>
              </w:rPr>
            </w:pPr>
          </w:p>
        </w:tc>
      </w:tr>
      <w:tr>
        <w:trPr>
          <w:trHeight w:val="500"/>
        </w:trPr>
        <w:tc>
          <w:tcPr>
            <w:tcW w:w="920" w:type="dxa"/>
            <w:vAlign w:val="bottom"/>
          </w:tcPr>
          <w:p>
            <w:pPr>
              <w:jc w:val="right"/>
              <w:ind w:right="254"/>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5260" w:type="dxa"/>
            <w:vAlign w:val="bottom"/>
            <w:gridSpan w:val="2"/>
          </w:tcPr>
          <w:p>
            <w:pPr>
              <w:ind w:left="20"/>
              <w:spacing w:after="0"/>
              <w:rPr>
                <w:sz w:val="20"/>
                <w:szCs w:val="20"/>
                <w:color w:val="auto"/>
              </w:rPr>
            </w:pPr>
            <w:r>
              <w:rPr>
                <w:rFonts w:ascii="Arial" w:cs="Arial" w:eastAsia="Arial" w:hAnsi="Arial"/>
                <w:sz w:val="18"/>
                <w:szCs w:val="18"/>
                <w:color w:val="auto"/>
                <w:w w:val="98"/>
              </w:rPr>
              <w:t>Certifications of Chief Executive Officer and Chief Financial Officer</w:t>
            </w:r>
          </w:p>
        </w:tc>
        <w:tc>
          <w:tcPr>
            <w:tcW w:w="0" w:type="dxa"/>
            <w:vAlign w:val="bottom"/>
          </w:tcPr>
          <w:p>
            <w:pPr>
              <w:spacing w:after="0"/>
              <w:rPr>
                <w:sz w:val="1"/>
                <w:szCs w:val="1"/>
                <w:color w:val="auto"/>
              </w:rPr>
            </w:pPr>
          </w:p>
        </w:tc>
      </w:tr>
    </w:tbl>
    <w:p>
      <w:pPr>
        <w:ind w:left="1180" w:right="1040"/>
        <w:spacing w:after="0" w:line="261"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w:t>
      </w:r>
    </w:p>
    <w:p>
      <w:pPr>
        <w:spacing w:after="0" w:line="224"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00" w:lineRule="exact"/>
        <w:rPr>
          <w:sz w:val="20"/>
          <w:szCs w:val="20"/>
          <w:color w:val="auto"/>
        </w:rPr>
      </w:pP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37465</wp:posOffset>
            </wp:positionV>
            <wp:extent cx="31127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66" w:lineRule="exact"/>
        <w:rPr>
          <w:sz w:val="20"/>
          <w:szCs w:val="20"/>
          <w:color w:val="auto"/>
        </w:rPr>
      </w:pPr>
    </w:p>
    <w:p>
      <w:pPr>
        <w:ind w:left="80"/>
        <w:spacing w:after="0"/>
        <w:tabs>
          <w:tab w:leader="none" w:pos="2540" w:val="left"/>
        </w:tabs>
        <w:rPr>
          <w:sz w:val="20"/>
          <w:szCs w:val="20"/>
          <w:color w:val="auto"/>
        </w:rPr>
      </w:pPr>
      <w:r>
        <w:rPr>
          <w:rFonts w:ascii="Arial" w:cs="Arial" w:eastAsia="Arial" w:hAnsi="Arial"/>
          <w:sz w:val="15"/>
          <w:szCs w:val="15"/>
          <w:b w:val="1"/>
          <w:bCs w:val="1"/>
          <w:u w:val="single" w:color="auto"/>
          <w:color w:val="auto"/>
        </w:rPr>
        <w:t>Form</w:t>
      </w:r>
      <w:r>
        <w:rPr>
          <w:sz w:val="20"/>
          <w:szCs w:val="20"/>
          <w:color w:val="auto"/>
        </w:rPr>
        <w:tab/>
      </w:r>
      <w:r>
        <w:rPr>
          <w:rFonts w:ascii="Arial" w:cs="Arial" w:eastAsia="Arial" w:hAnsi="Arial"/>
          <w:sz w:val="15"/>
          <w:szCs w:val="15"/>
          <w:b w:val="1"/>
          <w:bCs w:val="1"/>
          <w:u w:val="single" w:color="auto"/>
          <w:color w:val="auto"/>
        </w:rPr>
        <w:t>Date</w:t>
      </w:r>
    </w:p>
    <w:p>
      <w:pPr>
        <w:sectPr>
          <w:pgSz w:w="11900" w:h="16838" w:orient="portrait"/>
          <w:cols w:equalWidth="0" w:num="2">
            <w:col w:w="7060" w:space="720"/>
            <w:col w:w="2900"/>
          </w:cols>
          <w:pgMar w:left="240" w:top="125" w:right="97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Ken Xie, certify that:</w:t>
      </w:r>
    </w:p>
    <w:p>
      <w:pPr>
        <w:spacing w:after="0" w:line="77" w:lineRule="exact"/>
        <w:rPr>
          <w:sz w:val="20"/>
          <w:szCs w:val="20"/>
          <w:color w:val="auto"/>
        </w:rPr>
      </w:pPr>
    </w:p>
    <w:p>
      <w:pPr>
        <w:ind w:left="720" w:hanging="307"/>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76" w:lineRule="exact"/>
        <w:rPr>
          <w:rFonts w:ascii="Arial" w:cs="Arial" w:eastAsia="Arial" w:hAnsi="Arial"/>
          <w:sz w:val="18"/>
          <w:szCs w:val="18"/>
          <w:color w:val="auto"/>
        </w:rPr>
      </w:pPr>
    </w:p>
    <w:p>
      <w:pPr>
        <w:ind w:left="880" w:right="100" w:hanging="467"/>
        <w:spacing w:after="0" w:line="264" w:lineRule="auto"/>
        <w:tabs>
          <w:tab w:leader="none" w:pos="736"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Arial" w:cs="Arial" w:eastAsia="Arial" w:hAnsi="Arial"/>
          <w:sz w:val="18"/>
          <w:szCs w:val="18"/>
          <w:color w:val="auto"/>
        </w:rPr>
      </w:pPr>
    </w:p>
    <w:p>
      <w:pPr>
        <w:ind w:left="880" w:right="180" w:hanging="467"/>
        <w:spacing w:after="0" w:line="306" w:lineRule="auto"/>
        <w:tabs>
          <w:tab w:leader="none" w:pos="736"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880" w:right="440" w:hanging="467"/>
        <w:spacing w:after="0" w:line="277" w:lineRule="auto"/>
        <w:tabs>
          <w:tab w:leader="none" w:pos="73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1" w:lineRule="exact"/>
        <w:rPr>
          <w:rFonts w:ascii="Arial" w:cs="Arial" w:eastAsia="Arial" w:hAnsi="Arial"/>
          <w:sz w:val="18"/>
          <w:szCs w:val="18"/>
          <w:color w:val="auto"/>
        </w:rPr>
      </w:pPr>
    </w:p>
    <w:p>
      <w:pPr>
        <w:ind w:left="1300" w:right="60" w:hanging="455"/>
        <w:spacing w:after="0" w:line="264" w:lineRule="auto"/>
        <w:tabs>
          <w:tab w:leader="none" w:pos="1146"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ind w:left="1300" w:right="380" w:hanging="455"/>
        <w:spacing w:after="0" w:line="325" w:lineRule="auto"/>
        <w:tabs>
          <w:tab w:leader="none" w:pos="1156"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455"/>
        <w:spacing w:after="0" w:line="264" w:lineRule="auto"/>
        <w:tabs>
          <w:tab w:leader="none" w:pos="1146"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2" w:lineRule="exact"/>
        <w:rPr>
          <w:rFonts w:ascii="Arial" w:cs="Arial" w:eastAsia="Arial" w:hAnsi="Arial"/>
          <w:sz w:val="18"/>
          <w:szCs w:val="18"/>
          <w:color w:val="auto"/>
        </w:rPr>
      </w:pPr>
    </w:p>
    <w:p>
      <w:pPr>
        <w:ind w:left="880" w:right="120" w:hanging="467"/>
        <w:spacing w:after="0" w:line="306" w:lineRule="auto"/>
        <w:tabs>
          <w:tab w:leader="none" w:pos="733"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1300" w:right="800" w:hanging="455"/>
        <w:spacing w:after="0" w:line="325" w:lineRule="auto"/>
        <w:tabs>
          <w:tab w:leader="none" w:pos="1136"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500" w:hanging="455"/>
        <w:spacing w:after="0" w:line="277" w:lineRule="auto"/>
        <w:tabs>
          <w:tab w:leader="none" w:pos="1146"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Date: May 5, 2011</w:t>
            </w:r>
          </w:p>
        </w:tc>
        <w:tc>
          <w:tcPr>
            <w:tcW w:w="6740" w:type="dxa"/>
            <w:vAlign w:val="bottom"/>
            <w:gridSpan w:val="2"/>
          </w:tcPr>
          <w:p>
            <w:pPr>
              <w:ind w:left="1180"/>
              <w:spacing w:after="0"/>
              <w:rPr>
                <w:sz w:val="20"/>
                <w:szCs w:val="20"/>
                <w:color w:val="auto"/>
              </w:rPr>
            </w:pPr>
            <w:r>
              <w:rPr>
                <w:rFonts w:ascii="Arial" w:cs="Arial" w:eastAsia="Arial" w:hAnsi="Arial"/>
                <w:sz w:val="18"/>
                <w:szCs w:val="18"/>
                <w:color w:val="auto"/>
              </w:rPr>
              <w:t>By:  /s/ Ken Xie</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6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4"/>
                <w:szCs w:val="14"/>
                <w:color w:val="auto"/>
              </w:rPr>
              <w:t>Ken Xie</w:t>
            </w:r>
          </w:p>
        </w:tc>
        <w:tc>
          <w:tcPr>
            <w:tcW w:w="0" w:type="dxa"/>
            <w:vAlign w:val="bottom"/>
          </w:tcPr>
          <w:p>
            <w:pPr>
              <w:spacing w:after="0"/>
              <w:rPr>
                <w:sz w:val="1"/>
                <w:szCs w:val="1"/>
                <w:color w:val="auto"/>
              </w:rPr>
            </w:pPr>
          </w:p>
        </w:tc>
      </w:tr>
      <w:tr>
        <w:trPr>
          <w:trHeight w:val="241"/>
        </w:trPr>
        <w:tc>
          <w:tcPr>
            <w:tcW w:w="4640" w:type="dxa"/>
            <w:vAlign w:val="bottom"/>
          </w:tcPr>
          <w:p>
            <w:pPr>
              <w:spacing w:after="0"/>
              <w:rPr>
                <w:sz w:val="20"/>
                <w:szCs w:val="20"/>
                <w:color w:val="auto"/>
              </w:rPr>
            </w:pPr>
            <w:r>
              <w:rPr>
                <w:rFonts w:ascii="Arial" w:cs="Arial" w:eastAsia="Arial" w:hAnsi="Arial"/>
                <w:sz w:val="18"/>
                <w:szCs w:val="18"/>
                <w:i w:val="1"/>
                <w:iCs w:val="1"/>
                <w:color w:val="FFFFFF"/>
              </w:rPr>
              <w:t>President, Chief Executive Officer and Director</w:t>
            </w:r>
          </w:p>
        </w:tc>
        <w:tc>
          <w:tcPr>
            <w:tcW w:w="1600" w:type="dxa"/>
            <w:vAlign w:val="bottom"/>
          </w:tcPr>
          <w:p>
            <w:pPr>
              <w:spacing w:after="0"/>
              <w:rPr>
                <w:sz w:val="20"/>
                <w:szCs w:val="20"/>
                <w:color w:val="auto"/>
              </w:rPr>
            </w:pPr>
          </w:p>
        </w:tc>
        <w:tc>
          <w:tcPr>
            <w:tcW w:w="51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President, Chief Executive Officer and Director</w:t>
            </w:r>
          </w:p>
        </w:tc>
        <w:tc>
          <w:tcPr>
            <w:tcW w:w="0" w:type="dxa"/>
            <w:vAlign w:val="bottom"/>
          </w:tcPr>
          <w:p>
            <w:pPr>
              <w:spacing w:after="0"/>
              <w:rPr>
                <w:sz w:val="1"/>
                <w:szCs w:val="1"/>
                <w:color w:val="auto"/>
              </w:rPr>
            </w:pPr>
          </w:p>
        </w:tc>
      </w:tr>
      <w:tr>
        <w:trPr>
          <w:trHeight w:val="59"/>
        </w:trPr>
        <w:tc>
          <w:tcPr>
            <w:tcW w:w="4640" w:type="dxa"/>
            <w:vAlign w:val="bottom"/>
            <w:vMerge w:val="restart"/>
          </w:tcPr>
          <w:p>
            <w:pPr>
              <w:spacing w:after="0"/>
              <w:rPr>
                <w:sz w:val="20"/>
                <w:szCs w:val="20"/>
                <w:color w:val="auto"/>
              </w:rPr>
            </w:pPr>
            <w:r>
              <w:rPr>
                <w:rFonts w:ascii="Arial" w:cs="Arial" w:eastAsia="Arial" w:hAnsi="Arial"/>
                <w:sz w:val="18"/>
                <w:szCs w:val="18"/>
                <w:i w:val="1"/>
                <w:iCs w:val="1"/>
                <w:color w:val="FFFFFF"/>
              </w:rPr>
              <w:t>(Principal Executive Officer)</w:t>
            </w:r>
          </w:p>
        </w:tc>
        <w:tc>
          <w:tcPr>
            <w:tcW w:w="1600" w:type="dxa"/>
            <w:vAlign w:val="bottom"/>
          </w:tcPr>
          <w:p>
            <w:pPr>
              <w:spacing w:after="0"/>
              <w:rPr>
                <w:sz w:val="5"/>
                <w:szCs w:val="5"/>
                <w:color w:val="auto"/>
              </w:rPr>
            </w:pPr>
          </w:p>
        </w:tc>
        <w:tc>
          <w:tcPr>
            <w:tcW w:w="5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4640" w:type="dxa"/>
            <w:vAlign w:val="bottom"/>
            <w:vMerge w:val="continue"/>
          </w:tcPr>
          <w:p>
            <w:pPr>
              <w:spacing w:after="0"/>
              <w:rPr>
                <w:sz w:val="16"/>
                <w:szCs w:val="16"/>
                <w:color w:val="auto"/>
              </w:rPr>
            </w:pPr>
          </w:p>
        </w:tc>
        <w:tc>
          <w:tcPr>
            <w:tcW w:w="1600" w:type="dxa"/>
            <w:vAlign w:val="bottom"/>
          </w:tcPr>
          <w:p>
            <w:pPr>
              <w:spacing w:after="0"/>
              <w:rPr>
                <w:sz w:val="16"/>
                <w:szCs w:val="16"/>
                <w:color w:val="auto"/>
              </w:rPr>
            </w:pPr>
          </w:p>
        </w:tc>
        <w:tc>
          <w:tcPr>
            <w:tcW w:w="5140" w:type="dxa"/>
            <w:vAlign w:val="bottom"/>
          </w:tcPr>
          <w:p>
            <w:pPr>
              <w:ind w:left="40"/>
              <w:spacing w:after="0"/>
              <w:rPr>
                <w:sz w:val="20"/>
                <w:szCs w:val="20"/>
                <w:color w:val="auto"/>
              </w:rPr>
            </w:pPr>
            <w:r>
              <w:rPr>
                <w:rFonts w:ascii="Arial" w:cs="Arial" w:eastAsia="Arial" w:hAnsi="Arial"/>
                <w:sz w:val="14"/>
                <w:szCs w:val="14"/>
                <w:b w:val="1"/>
                <w:b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Ken Goldman, certify that:</w:t>
      </w:r>
    </w:p>
    <w:p>
      <w:pPr>
        <w:spacing w:after="0" w:line="77" w:lineRule="exact"/>
        <w:rPr>
          <w:sz w:val="20"/>
          <w:szCs w:val="20"/>
          <w:color w:val="auto"/>
        </w:rPr>
      </w:pPr>
    </w:p>
    <w:p>
      <w:pPr>
        <w:ind w:left="720" w:hanging="307"/>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76" w:lineRule="exact"/>
        <w:rPr>
          <w:rFonts w:ascii="Arial" w:cs="Arial" w:eastAsia="Arial" w:hAnsi="Arial"/>
          <w:sz w:val="18"/>
          <w:szCs w:val="18"/>
          <w:color w:val="auto"/>
        </w:rPr>
      </w:pPr>
    </w:p>
    <w:p>
      <w:pPr>
        <w:ind w:left="880" w:right="100" w:hanging="467"/>
        <w:spacing w:after="0" w:line="264" w:lineRule="auto"/>
        <w:tabs>
          <w:tab w:leader="none" w:pos="736"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Arial" w:cs="Arial" w:eastAsia="Arial" w:hAnsi="Arial"/>
          <w:sz w:val="18"/>
          <w:szCs w:val="18"/>
          <w:color w:val="auto"/>
        </w:rPr>
      </w:pPr>
    </w:p>
    <w:p>
      <w:pPr>
        <w:ind w:left="880" w:right="180" w:hanging="467"/>
        <w:spacing w:after="0" w:line="306" w:lineRule="auto"/>
        <w:tabs>
          <w:tab w:leader="none" w:pos="736"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880" w:right="440" w:hanging="467"/>
        <w:spacing w:after="0" w:line="277" w:lineRule="auto"/>
        <w:tabs>
          <w:tab w:leader="none" w:pos="73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1" w:lineRule="exact"/>
        <w:rPr>
          <w:rFonts w:ascii="Arial" w:cs="Arial" w:eastAsia="Arial" w:hAnsi="Arial"/>
          <w:sz w:val="18"/>
          <w:szCs w:val="18"/>
          <w:color w:val="auto"/>
        </w:rPr>
      </w:pPr>
    </w:p>
    <w:p>
      <w:pPr>
        <w:ind w:left="1320" w:right="40" w:hanging="461"/>
        <w:spacing w:after="0" w:line="264" w:lineRule="auto"/>
        <w:tabs>
          <w:tab w:leader="none" w:pos="1166"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ind w:left="1320" w:right="380" w:hanging="461"/>
        <w:spacing w:after="0" w:line="325" w:lineRule="auto"/>
        <w:tabs>
          <w:tab w:leader="none" w:pos="1176"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20" w:right="80" w:hanging="461"/>
        <w:spacing w:after="0" w:line="264" w:lineRule="auto"/>
        <w:tabs>
          <w:tab w:leader="none" w:pos="1166"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2" w:lineRule="exact"/>
        <w:rPr>
          <w:rFonts w:ascii="Arial" w:cs="Arial" w:eastAsia="Arial" w:hAnsi="Arial"/>
          <w:sz w:val="18"/>
          <w:szCs w:val="18"/>
          <w:color w:val="auto"/>
        </w:rPr>
      </w:pPr>
    </w:p>
    <w:p>
      <w:pPr>
        <w:ind w:left="880" w:right="120" w:hanging="467"/>
        <w:spacing w:after="0" w:line="306" w:lineRule="auto"/>
        <w:tabs>
          <w:tab w:leader="none" w:pos="733"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1320" w:right="780" w:hanging="461"/>
        <w:spacing w:after="0" w:line="325" w:lineRule="auto"/>
        <w:tabs>
          <w:tab w:leader="none" w:pos="1156"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20" w:right="480" w:hanging="461"/>
        <w:spacing w:after="0" w:line="277" w:lineRule="auto"/>
        <w:tabs>
          <w:tab w:leader="none" w:pos="1166"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600" w:val="left"/>
          <w:tab w:leader="none" w:pos="5840" w:val="left"/>
          <w:tab w:leader="none" w:pos="6300" w:val="left"/>
        </w:tabs>
        <w:rPr>
          <w:sz w:val="20"/>
          <w:szCs w:val="20"/>
          <w:color w:val="auto"/>
        </w:rPr>
      </w:pPr>
      <w:r>
        <w:rPr>
          <w:rFonts w:ascii="Arial" w:cs="Arial" w:eastAsia="Arial" w:hAnsi="Arial"/>
          <w:sz w:val="18"/>
          <w:szCs w:val="18"/>
          <w:color w:val="auto"/>
        </w:rPr>
        <w:t>Date:</w:t>
        <w:tab/>
        <w:t>May 5,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 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06" w:lineRule="exact"/>
        <w:rPr>
          <w:sz w:val="20"/>
          <w:szCs w:val="20"/>
          <w:color w:val="auto"/>
        </w:rPr>
      </w:pPr>
    </w:p>
    <w:p>
      <w:pPr>
        <w:ind w:left="6320"/>
        <w:spacing w:after="0"/>
        <w:rPr>
          <w:sz w:val="20"/>
          <w:szCs w:val="20"/>
          <w:color w:val="auto"/>
        </w:rPr>
      </w:pPr>
      <w:r>
        <w:rPr>
          <w:rFonts w:ascii="Arial" w:cs="Arial" w:eastAsia="Arial" w:hAnsi="Arial"/>
          <w:sz w:val="14"/>
          <w:szCs w:val="14"/>
          <w:color w:val="auto"/>
        </w:rPr>
        <w:t>Ken Goldman</w:t>
      </w:r>
    </w:p>
    <w:p>
      <w:pPr>
        <w:spacing w:after="0" w:line="38" w:lineRule="exact"/>
        <w:rPr>
          <w:sz w:val="20"/>
          <w:szCs w:val="20"/>
          <w:color w:val="auto"/>
        </w:rPr>
      </w:pPr>
    </w:p>
    <w:p>
      <w:pPr>
        <w:ind w:left="6320"/>
        <w:spacing w:after="0"/>
        <w:rPr>
          <w:sz w:val="20"/>
          <w:szCs w:val="20"/>
          <w:color w:val="auto"/>
        </w:rPr>
      </w:pPr>
      <w:r>
        <w:rPr>
          <w:rFonts w:ascii="Arial" w:cs="Arial" w:eastAsia="Arial" w:hAnsi="Arial"/>
          <w:sz w:val="14"/>
          <w:szCs w:val="14"/>
          <w:b w:val="1"/>
          <w:bCs w:val="1"/>
          <w:color w:val="auto"/>
        </w:rPr>
        <w:t>Chief Financial Officer</w:t>
      </w:r>
    </w:p>
    <w:p>
      <w:pPr>
        <w:spacing w:after="0" w:line="4" w:lineRule="exact"/>
        <w:rPr>
          <w:sz w:val="20"/>
          <w:szCs w:val="20"/>
          <w:color w:val="auto"/>
        </w:rPr>
      </w:pPr>
    </w:p>
    <w:p>
      <w:pPr>
        <w:ind w:left="6320"/>
        <w:spacing w:after="0"/>
        <w:rPr>
          <w:sz w:val="20"/>
          <w:szCs w:val="20"/>
          <w:color w:val="auto"/>
        </w:rPr>
      </w:pPr>
      <w:r>
        <w:rPr>
          <w:rFonts w:ascii="Arial" w:cs="Arial" w:eastAsia="Arial" w:hAnsi="Arial"/>
          <w:sz w:val="14"/>
          <w:szCs w:val="14"/>
          <w:b w:val="1"/>
          <w:bCs w:val="1"/>
          <w:color w:val="auto"/>
        </w:rPr>
        <w:t>(Principal Financing Officer)</w:t>
      </w:r>
    </w:p>
    <w:p>
      <w:pPr>
        <w:sectPr>
          <w:pgSz w:w="11900" w:h="16838" w:orient="portrait"/>
          <w:cols w:equalWidth="0" w:num="1">
            <w:col w:w="11420"/>
          </w:cols>
          <w:pgMar w:left="240" w:top="580"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373" w:lineRule="exact"/>
        <w:rPr>
          <w:sz w:val="20"/>
          <w:szCs w:val="20"/>
          <w:color w:val="auto"/>
        </w:rPr>
      </w:pPr>
    </w:p>
    <w:p>
      <w:pPr>
        <w:jc w:val="both"/>
        <w:ind w:right="20" w:firstLine="520"/>
        <w:spacing w:after="0" w:line="257" w:lineRule="auto"/>
        <w:rPr>
          <w:sz w:val="20"/>
          <w:szCs w:val="20"/>
          <w:color w:val="auto"/>
        </w:rPr>
      </w:pPr>
      <w:r>
        <w:rPr>
          <w:rFonts w:ascii="Arial" w:cs="Arial" w:eastAsia="Arial" w:hAnsi="Arial"/>
          <w:sz w:val="18"/>
          <w:szCs w:val="18"/>
          <w:color w:val="auto"/>
        </w:rPr>
        <w:t>In connection with the Quarterly Report on Form 10-Q of Fortinet, Inc. for the quarterly period ended March 31, 2011 as filed with the Securities and Exchange Commission on the date hereof (the “Report”), Ken Xie, as Principal Executive Officer of Fortinet, Inc., hereby certifies, pursuant to 18 U.S.C. Section 1350, as adopted pursuant to Section 906 of the Sarbanes-Oxley Act of 2002, that the Report fully complies with the requirements of Section 13(a) or 15(d) of the Securities Exchange Act of 1934, and the information contained in the Report fairly presents, in all material respects, the financial condition and results of operations of Fortinet, Inc.</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Date:  May 5, 2011</w:t>
            </w:r>
          </w:p>
        </w:tc>
        <w:tc>
          <w:tcPr>
            <w:tcW w:w="5980" w:type="dxa"/>
            <w:vAlign w:val="bottom"/>
            <w:gridSpan w:val="2"/>
          </w:tcPr>
          <w:p>
            <w:pPr>
              <w:ind w:left="420"/>
              <w:spacing w:after="0"/>
              <w:rPr>
                <w:sz w:val="20"/>
                <w:szCs w:val="20"/>
                <w:color w:val="auto"/>
              </w:rPr>
            </w:pPr>
            <w:r>
              <w:rPr>
                <w:rFonts w:ascii="Arial" w:cs="Arial" w:eastAsia="Arial" w:hAnsi="Arial"/>
                <w:sz w:val="18"/>
                <w:szCs w:val="18"/>
                <w:color w:val="auto"/>
              </w:rPr>
              <w:t>By:  /s/ Ken Xie</w:t>
            </w:r>
          </w:p>
        </w:tc>
      </w:tr>
      <w:tr>
        <w:trPr>
          <w:trHeight w:val="27"/>
        </w:trPr>
        <w:tc>
          <w:tcPr>
            <w:tcW w:w="5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8"/>
        </w:trPr>
        <w:tc>
          <w:tcPr>
            <w:tcW w:w="5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4"/>
                <w:szCs w:val="14"/>
                <w:color w:val="auto"/>
              </w:rPr>
              <w:t>Ken Xie</w:t>
            </w:r>
          </w:p>
        </w:tc>
      </w:tr>
      <w:tr>
        <w:trPr>
          <w:trHeight w:val="241"/>
        </w:trPr>
        <w:tc>
          <w:tcPr>
            <w:tcW w:w="5400" w:type="dxa"/>
            <w:vAlign w:val="bottom"/>
          </w:tcPr>
          <w:p>
            <w:pPr>
              <w:ind w:left="580"/>
              <w:spacing w:after="0"/>
              <w:rPr>
                <w:sz w:val="20"/>
                <w:szCs w:val="20"/>
                <w:color w:val="auto"/>
              </w:rPr>
            </w:pPr>
            <w:r>
              <w:rPr>
                <w:rFonts w:ascii="Arial" w:cs="Arial" w:eastAsia="Arial" w:hAnsi="Arial"/>
                <w:sz w:val="18"/>
                <w:szCs w:val="18"/>
                <w:color w:val="FFFFFF"/>
              </w:rPr>
              <w:t>President and Chief Executive Officer and Director(Principal</w:t>
            </w:r>
          </w:p>
        </w:tc>
        <w:tc>
          <w:tcPr>
            <w:tcW w:w="840" w:type="dxa"/>
            <w:vAlign w:val="bottom"/>
          </w:tcPr>
          <w:p>
            <w:pPr>
              <w:spacing w:after="0"/>
              <w:rPr>
                <w:sz w:val="20"/>
                <w:szCs w:val="20"/>
                <w:color w:val="auto"/>
              </w:rPr>
            </w:pPr>
          </w:p>
        </w:tc>
        <w:tc>
          <w:tcPr>
            <w:tcW w:w="5140" w:type="dxa"/>
            <w:vAlign w:val="bottom"/>
          </w:tcPr>
          <w:p>
            <w:pPr>
              <w:spacing w:after="0"/>
              <w:rPr>
                <w:sz w:val="20"/>
                <w:szCs w:val="20"/>
                <w:color w:val="auto"/>
              </w:rPr>
            </w:pPr>
          </w:p>
        </w:tc>
      </w:tr>
      <w:tr>
        <w:trPr>
          <w:trHeight w:val="245"/>
        </w:trPr>
        <w:tc>
          <w:tcPr>
            <w:tcW w:w="5400" w:type="dxa"/>
            <w:vAlign w:val="bottom"/>
          </w:tcPr>
          <w:p>
            <w:pPr>
              <w:ind w:left="580"/>
              <w:spacing w:after="0"/>
              <w:rPr>
                <w:sz w:val="20"/>
                <w:szCs w:val="20"/>
                <w:color w:val="auto"/>
              </w:rPr>
            </w:pPr>
            <w:r>
              <w:rPr>
                <w:rFonts w:ascii="Arial" w:cs="Arial" w:eastAsia="Arial" w:hAnsi="Arial"/>
                <w:sz w:val="18"/>
                <w:szCs w:val="18"/>
                <w:color w:val="FFFFFF"/>
              </w:rPr>
              <w:t>FExecutiveOfficer)</w:t>
            </w:r>
          </w:p>
        </w:tc>
        <w:tc>
          <w:tcPr>
            <w:tcW w:w="840" w:type="dxa"/>
            <w:vAlign w:val="bottom"/>
          </w:tcPr>
          <w:p>
            <w:pPr>
              <w:spacing w:after="0"/>
              <w:rPr>
                <w:sz w:val="21"/>
                <w:szCs w:val="21"/>
                <w:color w:val="auto"/>
              </w:rPr>
            </w:pPr>
          </w:p>
        </w:tc>
        <w:tc>
          <w:tcPr>
            <w:tcW w:w="5140" w:type="dxa"/>
            <w:vAlign w:val="bottom"/>
          </w:tcPr>
          <w:p>
            <w:pPr>
              <w:ind w:left="40"/>
              <w:spacing w:after="0"/>
              <w:rPr>
                <w:sz w:val="20"/>
                <w:szCs w:val="20"/>
                <w:color w:val="auto"/>
              </w:rPr>
            </w:pPr>
            <w:r>
              <w:rPr>
                <w:rFonts w:ascii="Arial" w:cs="Arial" w:eastAsia="Arial" w:hAnsi="Arial"/>
                <w:sz w:val="14"/>
                <w:szCs w:val="14"/>
                <w:b w:val="1"/>
                <w:bCs w:val="1"/>
                <w:color w:val="auto"/>
                <w:w w:val="96"/>
              </w:rPr>
              <w:t>President and Chief Executive Officer and Director (Principal Executive Officer)</w:t>
            </w:r>
          </w:p>
        </w:tc>
      </w:tr>
    </w:tbl>
    <w:p>
      <w:pPr>
        <w:spacing w:after="0" w:line="322" w:lineRule="exact"/>
        <w:rPr>
          <w:sz w:val="20"/>
          <w:szCs w:val="20"/>
          <w:color w:val="auto"/>
        </w:rPr>
      </w:pPr>
    </w:p>
    <w:p>
      <w:pPr>
        <w:jc w:val="both"/>
        <w:ind w:right="20" w:firstLine="520"/>
        <w:spacing w:after="0" w:line="257" w:lineRule="auto"/>
        <w:rPr>
          <w:sz w:val="20"/>
          <w:szCs w:val="20"/>
          <w:color w:val="auto"/>
        </w:rPr>
      </w:pPr>
      <w:r>
        <w:rPr>
          <w:rFonts w:ascii="Arial" w:cs="Arial" w:eastAsia="Arial" w:hAnsi="Arial"/>
          <w:sz w:val="18"/>
          <w:szCs w:val="18"/>
          <w:color w:val="auto"/>
        </w:rPr>
        <w:t>In connection with the Quarterly Report on Form 10-Q of Fortinet, Inc. for the quarterly period ended March 31, 2011 as filed with the Securities and Exchange Commission on the date hereof (the “Report”), Ken Goldman, as Principal Financial Officer of Fortinet, Inc., hereby certifies, pursuant to 18 U.S.C. Section 1350, as adopted pursuant to Section 906 of the Sarbanes-Oxley Act of 2002, that the Report fully complies with the requirements of Section 13(a) or 15(d) of the Securities Exchange Act of 1934, and the information contained in the Report fairly presents, in all material respects, the financial condition and results of operations of Fortinet, Inc.</w:t>
      </w:r>
    </w:p>
    <w:p>
      <w:pPr>
        <w:spacing w:after="0" w:line="323" w:lineRule="exact"/>
        <w:rPr>
          <w:sz w:val="20"/>
          <w:szCs w:val="20"/>
          <w:color w:val="auto"/>
        </w:rPr>
      </w:pPr>
    </w:p>
    <w:p>
      <w:pPr>
        <w:spacing w:after="0"/>
        <w:tabs>
          <w:tab w:leader="none" w:pos="560" w:val="left"/>
          <w:tab w:leader="none" w:pos="5800" w:val="left"/>
          <w:tab w:leader="none" w:pos="6260" w:val="left"/>
        </w:tabs>
        <w:rPr>
          <w:sz w:val="20"/>
          <w:szCs w:val="20"/>
          <w:color w:val="auto"/>
        </w:rPr>
      </w:pPr>
      <w:r>
        <w:rPr>
          <w:rFonts w:ascii="Arial" w:cs="Arial" w:eastAsia="Arial" w:hAnsi="Arial"/>
          <w:sz w:val="18"/>
          <w:szCs w:val="18"/>
          <w:color w:val="auto"/>
        </w:rPr>
        <w:t>Date:</w:t>
        <w:tab/>
        <w:t>May 5,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 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3967480</wp:posOffset>
            </wp:positionH>
            <wp:positionV relativeFrom="paragraph">
              <wp:posOffset>31750</wp:posOffset>
            </wp:positionV>
            <wp:extent cx="32588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06" w:lineRule="exact"/>
        <w:rPr>
          <w:sz w:val="20"/>
          <w:szCs w:val="20"/>
          <w:color w:val="auto"/>
        </w:rPr>
      </w:pPr>
    </w:p>
    <w:p>
      <w:pPr>
        <w:ind w:left="6280"/>
        <w:spacing w:after="0"/>
        <w:rPr>
          <w:sz w:val="20"/>
          <w:szCs w:val="20"/>
          <w:color w:val="auto"/>
        </w:rPr>
      </w:pPr>
      <w:r>
        <w:rPr>
          <w:rFonts w:ascii="Arial" w:cs="Arial" w:eastAsia="Arial" w:hAnsi="Arial"/>
          <w:sz w:val="14"/>
          <w:szCs w:val="14"/>
          <w:color w:val="auto"/>
        </w:rPr>
        <w:t>Ken Goldman</w:t>
      </w:r>
    </w:p>
    <w:p>
      <w:pPr>
        <w:spacing w:after="0" w:line="38" w:lineRule="exact"/>
        <w:rPr>
          <w:sz w:val="20"/>
          <w:szCs w:val="20"/>
          <w:color w:val="auto"/>
        </w:rPr>
      </w:pPr>
    </w:p>
    <w:p>
      <w:pPr>
        <w:ind w:left="6280"/>
        <w:spacing w:after="0"/>
        <w:rPr>
          <w:sz w:val="20"/>
          <w:szCs w:val="20"/>
          <w:color w:val="auto"/>
        </w:rPr>
      </w:pPr>
      <w:r>
        <w:rPr>
          <w:rFonts w:ascii="Arial" w:cs="Arial" w:eastAsia="Arial" w:hAnsi="Arial"/>
          <w:sz w:val="14"/>
          <w:szCs w:val="14"/>
          <w:b w:val="1"/>
          <w:bCs w:val="1"/>
          <w:color w:val="auto"/>
        </w:rPr>
        <w:t>Chief Financial Officer</w:t>
      </w:r>
    </w:p>
    <w:p>
      <w:pPr>
        <w:spacing w:after="0" w:line="4" w:lineRule="exact"/>
        <w:rPr>
          <w:sz w:val="20"/>
          <w:szCs w:val="20"/>
          <w:color w:val="auto"/>
        </w:rPr>
      </w:pPr>
    </w:p>
    <w:p>
      <w:pPr>
        <w:ind w:left="6280"/>
        <w:spacing w:after="0"/>
        <w:rPr>
          <w:sz w:val="20"/>
          <w:szCs w:val="20"/>
          <w:color w:val="auto"/>
        </w:rPr>
      </w:pPr>
      <w:r>
        <w:rPr>
          <w:rFonts w:ascii="Arial" w:cs="Arial" w:eastAsia="Arial" w:hAnsi="Arial"/>
          <w:sz w:val="14"/>
          <w:szCs w:val="14"/>
          <w:b w:val="1"/>
          <w:bCs w:val="1"/>
          <w:color w:val="auto"/>
        </w:rPr>
        <w:t>(Principal Financing Officer)</w:t>
      </w:r>
    </w:p>
    <w:sectPr>
      <w:pgSz w:w="11900" w:h="16838" w:orient="portrait"/>
      <w:cols w:equalWidth="0" w:num="1">
        <w:col w:w="11380"/>
      </w:cols>
      <w:pgMar w:left="28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lowerRoman"/>
      <w:start w:val="10"/>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decimal"/>
      <w:start w:val="2"/>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2019-12-10T22:58:24Z</dcterms:created>
  <dcterms:modified xsi:type="dcterms:W3CDTF">2019-12-10T22:58:24Z</dcterms:modified>
</cp:coreProperties>
</file>