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418465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332105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72" w:lineRule="exact"/>
        <w:rPr>
          <w:sz w:val="24"/>
          <w:szCs w:val="24"/>
          <w:color w:val="auto"/>
        </w:rPr>
      </w:pPr>
    </w:p>
    <w:p>
      <w:pPr>
        <w:ind w:left="3740" w:right="1760" w:hanging="3705"/>
        <w:spacing w:after="0" w:line="461"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2015</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251460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c>
          <w:tcPr>
            <w:tcW w:w="1460" w:type="dxa"/>
            <w:vAlign w:val="bottom"/>
          </w:tcPr>
          <w:p>
            <w:pPr>
              <w:spacing w:after="0"/>
              <w:rPr>
                <w:sz w:val="19"/>
                <w:szCs w:val="19"/>
                <w:color w:val="auto"/>
              </w:rPr>
            </w:pPr>
          </w:p>
        </w:tc>
      </w:tr>
      <w:tr>
        <w:trPr>
          <w:trHeight w:val="205"/>
        </w:trPr>
        <w:tc>
          <w:tcPr>
            <w:tcW w:w="6220" w:type="dxa"/>
            <w:vAlign w:val="bottom"/>
          </w:tcPr>
          <w:p>
            <w:pPr>
              <w:jc w:val="center"/>
              <w:ind w:left="207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460" w:type="dxa"/>
            <w:vAlign w:val="bottom"/>
          </w:tcPr>
          <w:p>
            <w:pPr>
              <w:spacing w:after="0"/>
              <w:rPr>
                <w:sz w:val="17"/>
                <w:szCs w:val="17"/>
                <w:color w:val="auto"/>
              </w:rPr>
            </w:pPr>
          </w:p>
        </w:tc>
      </w:tr>
      <w:tr>
        <w:trPr>
          <w:trHeight w:val="335"/>
        </w:trPr>
        <w:tc>
          <w:tcPr>
            <w:tcW w:w="6220" w:type="dxa"/>
            <w:vAlign w:val="bottom"/>
          </w:tcPr>
          <w:p>
            <w:pPr>
              <w:jc w:val="center"/>
              <w:ind w:left="211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1460" w:type="dxa"/>
            <w:vAlign w:val="bottom"/>
          </w:tcPr>
          <w:p>
            <w:pPr>
              <w:spacing w:after="0"/>
              <w:rPr>
                <w:sz w:val="24"/>
                <w:szCs w:val="24"/>
                <w:color w:val="auto"/>
              </w:rPr>
            </w:pPr>
          </w:p>
        </w:tc>
      </w:tr>
      <w:tr>
        <w:trPr>
          <w:trHeight w:val="194"/>
        </w:trPr>
        <w:tc>
          <w:tcPr>
            <w:tcW w:w="6220" w:type="dxa"/>
            <w:vAlign w:val="bottom"/>
          </w:tcPr>
          <w:p>
            <w:pPr>
              <w:jc w:val="center"/>
              <w:ind w:left="207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60" w:type="dxa"/>
            <w:vAlign w:val="bottom"/>
          </w:tcPr>
          <w:p>
            <w:pPr>
              <w:spacing w:after="0"/>
              <w:rPr>
                <w:sz w:val="16"/>
                <w:szCs w:val="16"/>
                <w:color w:val="auto"/>
              </w:rPr>
            </w:pPr>
          </w:p>
        </w:tc>
      </w:tr>
      <w:tr>
        <w:trPr>
          <w:trHeight w:val="210"/>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1460" w:type="dxa"/>
            <w:vAlign w:val="bottom"/>
          </w:tcPr>
          <w:p>
            <w:pPr>
              <w:spacing w:after="0"/>
              <w:rPr>
                <w:sz w:val="18"/>
                <w:szCs w:val="18"/>
                <w:color w:val="auto"/>
              </w:rPr>
            </w:pPr>
          </w:p>
        </w:tc>
      </w:tr>
      <w:tr>
        <w:trPr>
          <w:trHeight w:val="587"/>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6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77-0560389</w:t>
            </w:r>
          </w:p>
        </w:tc>
      </w:tr>
      <w:tr>
        <w:trPr>
          <w:trHeight w:val="241"/>
        </w:trPr>
        <w:tc>
          <w:tcPr>
            <w:tcW w:w="6220" w:type="dxa"/>
            <w:vAlign w:val="bottom"/>
          </w:tcPr>
          <w:p>
            <w:pPr>
              <w:jc w:val="center"/>
              <w:ind w:right="3431"/>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89"/>
        </w:trPr>
        <w:tc>
          <w:tcPr>
            <w:tcW w:w="622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899 Kifer Road</w:t>
            </w:r>
          </w:p>
        </w:tc>
        <w:tc>
          <w:tcPr>
            <w:tcW w:w="1460" w:type="dxa"/>
            <w:vAlign w:val="bottom"/>
          </w:tcPr>
          <w:p>
            <w:pPr>
              <w:spacing w:after="0"/>
              <w:rPr>
                <w:sz w:val="24"/>
                <w:szCs w:val="24"/>
                <w:color w:val="auto"/>
              </w:rPr>
            </w:pPr>
          </w:p>
        </w:tc>
      </w:tr>
      <w:tr>
        <w:trPr>
          <w:trHeight w:val="238"/>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1460" w:type="dxa"/>
            <w:vAlign w:val="bottom"/>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60" w:type="dxa"/>
            <w:vAlign w:val="bottom"/>
          </w:tcPr>
          <w:p>
            <w:pPr>
              <w:jc w:val="center"/>
              <w:ind w:left="115"/>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33"/>
        </w:trPr>
        <w:tc>
          <w:tcPr>
            <w:tcW w:w="6220" w:type="dxa"/>
            <w:vAlign w:val="bottom"/>
          </w:tcPr>
          <w:p>
            <w:pPr>
              <w:jc w:val="center"/>
              <w:ind w:left="209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1460" w:type="dxa"/>
            <w:vAlign w:val="bottom"/>
          </w:tcPr>
          <w:p>
            <w:pPr>
              <w:spacing w:after="0"/>
              <w:rPr>
                <w:sz w:val="20"/>
                <w:szCs w:val="20"/>
                <w:color w:val="auto"/>
              </w:rPr>
            </w:pPr>
          </w:p>
        </w:tc>
      </w:tr>
      <w:tr>
        <w:trPr>
          <w:trHeight w:val="212"/>
        </w:trPr>
        <w:tc>
          <w:tcPr>
            <w:tcW w:w="6220" w:type="dxa"/>
            <w:vAlign w:val="bottom"/>
          </w:tcPr>
          <w:p>
            <w:pPr>
              <w:jc w:val="center"/>
              <w:ind w:left="207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460" w:type="dxa"/>
            <w:vAlign w:val="bottom"/>
          </w:tcPr>
          <w:p>
            <w:pPr>
              <w:spacing w:after="0"/>
              <w:rPr>
                <w:sz w:val="18"/>
                <w:szCs w:val="18"/>
                <w:color w:val="auto"/>
              </w:rPr>
            </w:pPr>
          </w:p>
        </w:tc>
      </w:tr>
    </w:tbl>
    <w:p>
      <w:pPr>
        <w:spacing w:after="0" w:line="163"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ind w:right="140"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4"/>
          <w:szCs w:val="24"/>
          <w:color w:val="auto"/>
        </w:rPr>
      </w:pPr>
    </w:p>
    <w:p>
      <w:pPr>
        <w:ind w:firstLine="27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00"/>
          </w:cols>
          <w:pgMar w:left="240" w:top="225" w:right="35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85" w:lineRule="exact"/>
        <w:rPr>
          <w:sz w:val="24"/>
          <w:szCs w:val="24"/>
          <w:color w:val="auto"/>
        </w:rPr>
      </w:pPr>
    </w:p>
    <w:p>
      <w:pPr>
        <w:sectPr>
          <w:pgSz w:w="11900" w:h="16838" w:orient="portrait"/>
          <w:cols w:equalWidth="0" w:num="4">
            <w:col w:w="2000" w:space="720"/>
            <w:col w:w="4780" w:space="720"/>
            <w:col w:w="1960" w:space="720"/>
            <w:col w:w="400"/>
          </w:cols>
          <w:pgMar w:left="240" w:top="225" w:right="35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Times New Roman" w:cs="Times New Roman" w:eastAsia="Times New Roman" w:hAnsi="Times New Roman"/>
          <w:sz w:val="18"/>
          <w:szCs w:val="18"/>
          <w:color w:val="auto"/>
        </w:rPr>
        <w:t>(Do not check if smaller reporting</w:t>
      </w:r>
    </w:p>
    <w:p>
      <w:pPr>
        <w:spacing w:after="0" w:line="27" w:lineRule="exact"/>
        <w:rPr>
          <w:sz w:val="24"/>
          <w:szCs w:val="24"/>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1" w:lineRule="exact"/>
        <w:rPr>
          <w:sz w:val="24"/>
          <w:szCs w:val="24"/>
          <w:color w:val="auto"/>
        </w:rPr>
      </w:pPr>
    </w:p>
    <w:p>
      <w:pPr>
        <w:sectPr>
          <w:pgSz w:w="11900" w:h="16838" w:orient="portrait"/>
          <w:cols w:equalWidth="0" w:num="4">
            <w:col w:w="2000" w:space="720"/>
            <w:col w:w="4780" w:space="720"/>
            <w:col w:w="1960" w:space="720"/>
            <w:col w:w="400"/>
          </w:cols>
          <w:pgMar w:left="240" w:top="225" w:right="3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 x</w:t>
      </w:r>
    </w:p>
    <w:p>
      <w:pPr>
        <w:spacing w:after="0" w:line="171" w:lineRule="exact"/>
        <w:rPr>
          <w:sz w:val="24"/>
          <w:szCs w:val="24"/>
          <w:color w:val="auto"/>
        </w:rPr>
      </w:pPr>
    </w:p>
    <w:p>
      <w:pPr>
        <w:sectPr>
          <w:pgSz w:w="11900" w:h="16838" w:orient="portrait"/>
          <w:cols w:equalWidth="0" w:num="3">
            <w:col w:w="7700" w:space="180"/>
            <w:col w:w="440" w:space="220"/>
            <w:col w:w="2760"/>
          </w:cols>
          <w:pgMar w:left="240" w:top="225" w:right="3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As of October 30, 2015, there were 172,264,048 shares of the registrant’s common stock outstanding.</w:t>
      </w:r>
    </w:p>
    <w:p>
      <w:pPr>
        <w:sectPr>
          <w:pgSz w:w="11900" w:h="16838" w:orient="portrait"/>
          <w:cols w:equalWidth="0" w:num="1">
            <w:col w:w="11300"/>
          </w:cols>
          <w:pgMar w:left="240" w:top="225" w:right="35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2015</w:t>
      </w:r>
    </w:p>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2015 and December 31, 2014</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Operations for the Three and Nine Months Ended September 30, 2015 and 2014</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40" w:type="dxa"/>
            <w:vAlign w:val="bottom"/>
            <w:gridSpan w:val="1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for the Three and Nine Months Ended September 30, 2015 and</w:t>
              </w:r>
            </w:hyperlink>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2014</w:t>
              </w:r>
            </w:hyperlink>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9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Nine Months Ended September 30, 2015 and 2014</w:t>
              </w:r>
            </w:hyperlink>
          </w:p>
        </w:tc>
        <w:tc>
          <w:tcPr>
            <w:tcW w:w="150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54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3.</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4.</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Controls and Procedures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41</w:t>
              </w:r>
            </w:hyperlink>
          </w:p>
        </w:tc>
        <w:tc>
          <w:tcPr>
            <w:tcW w:w="0" w:type="dxa"/>
            <w:vAlign w:val="bottom"/>
          </w:tcPr>
          <w:p>
            <w:pPr>
              <w:spacing w:after="0"/>
              <w:rPr>
                <w:sz w:val="1"/>
                <w:szCs w:val="1"/>
                <w:color w:val="auto"/>
              </w:rPr>
            </w:pPr>
          </w:p>
        </w:tc>
      </w:tr>
      <w:tr>
        <w:trPr>
          <w:trHeight w:val="615"/>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3"/>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Item 1.</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42">
              <w:r>
                <w:rPr>
                  <w:rFonts w:ascii="Times New Roman" w:cs="Times New Roman" w:eastAsia="Times New Roman" w:hAnsi="Times New Roman"/>
                  <w:sz w:val="18"/>
                  <w:szCs w:val="18"/>
                  <w:color w:val="0000EE"/>
                  <w:w w:val="96"/>
                </w:rPr>
                <w:t>Item 1A.</w:t>
              </w:r>
            </w:hyperlink>
          </w:p>
        </w:tc>
        <w:tc>
          <w:tcPr>
            <w:tcW w:w="280" w:type="dxa"/>
            <w:vAlign w:val="bottom"/>
          </w:tcPr>
          <w:p>
            <w:pPr>
              <w:spacing w:after="0"/>
              <w:rPr>
                <w:sz w:val="21"/>
                <w:szCs w:val="21"/>
                <w:color w:val="auto"/>
              </w:rPr>
            </w:pPr>
          </w:p>
        </w:tc>
        <w:tc>
          <w:tcPr>
            <w:tcW w:w="900" w:type="dxa"/>
            <w:vAlign w:val="bottom"/>
            <w:gridSpan w:val="4"/>
          </w:tcPr>
          <w:p>
            <w:pPr>
              <w:spacing w:after="0"/>
              <w:rPr>
                <w:rFonts w:ascii="Times New Roman" w:cs="Times New Roman" w:eastAsia="Times New Roman" w:hAnsi="Times New Roman"/>
                <w:sz w:val="18"/>
                <w:szCs w:val="18"/>
                <w:color w:val="0000EE"/>
                <w:w w:val="97"/>
              </w:rPr>
            </w:pPr>
            <w:hyperlink w:anchor="page42">
              <w:r>
                <w:rPr>
                  <w:rFonts w:ascii="Times New Roman" w:cs="Times New Roman" w:eastAsia="Times New Roman" w:hAnsi="Times New Roman"/>
                  <w:sz w:val="18"/>
                  <w:szCs w:val="18"/>
                  <w:color w:val="0000EE"/>
                  <w:w w:val="97"/>
                </w:rPr>
                <w:t>Risk Factors</w:t>
              </w:r>
            </w:hyperlink>
          </w:p>
        </w:tc>
        <w:tc>
          <w:tcPr>
            <w:tcW w:w="88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2.</w:t>
              </w:r>
            </w:hyperlink>
          </w:p>
        </w:tc>
        <w:tc>
          <w:tcPr>
            <w:tcW w:w="280" w:type="dxa"/>
            <w:vAlign w:val="bottom"/>
          </w:tcPr>
          <w:p>
            <w:pPr>
              <w:spacing w:after="0"/>
              <w:rPr>
                <w:sz w:val="21"/>
                <w:szCs w:val="21"/>
                <w:color w:val="auto"/>
              </w:rPr>
            </w:pPr>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Unregistered Sales of Equity Securities and Use of Proceeds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58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 6.</w:t>
              </w:r>
            </w:hyperlink>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Exhibits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3"/>
          </w:tcPr>
          <w:p>
            <w:pPr>
              <w:spacing w:after="0"/>
              <w:rPr>
                <w:rFonts w:ascii="Times New Roman" w:cs="Times New Roman" w:eastAsia="Times New Roman" w:hAnsi="Times New Roman"/>
                <w:sz w:val="18"/>
                <w:szCs w:val="18"/>
                <w:color w:val="0000EE"/>
                <w:w w:val="94"/>
              </w:rPr>
            </w:pPr>
            <w:hyperlink w:anchor="page65">
              <w:r>
                <w:rPr>
                  <w:rFonts w:ascii="Times New Roman" w:cs="Times New Roman" w:eastAsia="Times New Roman" w:hAnsi="Times New Roman"/>
                  <w:sz w:val="18"/>
                  <w:szCs w:val="18"/>
                  <w:color w:val="0000EE"/>
                  <w:w w:val="94"/>
                </w:rPr>
                <w:t>Signatures</w:t>
              </w:r>
            </w:hyperlink>
          </w:p>
        </w:tc>
        <w:tc>
          <w:tcPr>
            <w:tcW w:w="902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0"/>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5"/>
        </w:trPr>
        <w:tc>
          <w:tcPr>
            <w:tcW w:w="1020" w:type="dxa"/>
            <w:vAlign w:val="bottom"/>
          </w:tcPr>
          <w:p>
            <w:pPr>
              <w:spacing w:after="0"/>
              <w:rPr>
                <w:sz w:val="23"/>
                <w:szCs w:val="23"/>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8"/>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283,254</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367,446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436,766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receivable—net of sales returns reserve and allowance for doubtful accounts of $5,488 and $6,204</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 of September 30, 2015 and December 31, 2014,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184,741</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69,477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41,484</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31,143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1,251,740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1,046,865</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271,724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58,919</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31,080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10,530</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1,707,173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49,947</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45,875</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368,929</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603,134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496,456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235,793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189,828</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45,139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17,385</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911,787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748,808</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$0.001 par value — 300,000 shares authorized; 172,402 and 166,443 shares issued and</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as of September 30, 2015 and December 31, 2014,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671,138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562,504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113,645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675,966</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1,707,173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1,424,774</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119,737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87,731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249,880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140,331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380,716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296,515</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260,068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193,348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712,739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546,395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134,932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105,230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69,869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60,155</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71,701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56,885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204,801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165,385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73,570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52,095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144,650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114,797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84,368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310,847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236,360</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gross profit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188,367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136,463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507,938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381,010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89,783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222,576</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29,243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190,207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121,012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505,928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341,602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39,408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41,431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22,901</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18,530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(Note 8):</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163,289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177,897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175,963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168,735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18,530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(loss)—net of taxes: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gains (losses) on investments</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5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Tax benefit (provision) related to items of other comprehensive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or loss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348</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(loss)—net of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17,552</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2014</w:t>
            </w: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10,521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18,530</w:t>
            </w:r>
          </w:p>
        </w:tc>
      </w:tr>
      <w:tr>
        <w:trPr>
          <w:trHeight w:val="27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83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22,206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16,519</w:t>
            </w:r>
          </w:p>
        </w:tc>
      </w:tr>
      <w:tr>
        <w:trPr>
          <w:trHeight w:val="275"/>
        </w:trPr>
        <w:tc>
          <w:tcPr>
            <w:tcW w:w="8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Amortization of investment premiums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6,680</w:t>
            </w:r>
          </w:p>
        </w:tc>
      </w:tr>
      <w:tr>
        <w:trPr>
          <w:trHeight w:val="265"/>
        </w:trPr>
        <w:tc>
          <w:tcPr>
            <w:tcW w:w="83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67,001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42,313</w:t>
            </w:r>
          </w:p>
        </w:tc>
      </w:tr>
      <w:tr>
        <w:trPr>
          <w:trHeight w:val="275"/>
        </w:trPr>
        <w:tc>
          <w:tcPr>
            <w:tcW w:w="8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w:t>
            </w:r>
          </w:p>
        </w:tc>
      </w:tr>
      <w:tr>
        <w:trPr>
          <w:trHeight w:val="265"/>
        </w:trPr>
        <w:tc>
          <w:tcPr>
            <w:tcW w:w="83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Other non-cash items—net</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3,801</w:t>
            </w:r>
          </w:p>
        </w:tc>
      </w:tr>
      <w:tr>
        <w:trPr>
          <w:trHeight w:val="275"/>
        </w:trPr>
        <w:tc>
          <w:tcPr>
            <w:tcW w:w="83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Changes in operating assets and liabilities, net of assets acquired and liabilities assumed in business acquisitions: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83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Accounts receivable—net</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13,140</w:t>
            </w:r>
          </w:p>
        </w:tc>
      </w:tr>
      <w:tr>
        <w:trPr>
          <w:trHeight w:val="275"/>
        </w:trPr>
        <w:tc>
          <w:tcPr>
            <w:tcW w:w="83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w:t>
            </w:r>
          </w:p>
        </w:tc>
      </w:tr>
      <w:tr>
        <w:trPr>
          <w:trHeight w:val="265"/>
        </w:trPr>
        <w:tc>
          <w:tcPr>
            <w:tcW w:w="83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Deferred tax assets</w:t>
            </w:r>
          </w:p>
        </w:tc>
        <w:tc>
          <w:tcPr>
            <w:tcW w:w="20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(28,297)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(12,186)</w:t>
            </w:r>
          </w:p>
        </w:tc>
      </w:tr>
      <w:tr>
        <w:trPr>
          <w:trHeight w:val="275"/>
        </w:trPr>
        <w:tc>
          <w:tcPr>
            <w:tcW w:w="83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r>
      <w:tr>
        <w:trPr>
          <w:trHeight w:val="265"/>
        </w:trPr>
        <w:tc>
          <w:tcPr>
            <w:tcW w:w="83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75"/>
        </w:trPr>
        <w:tc>
          <w:tcPr>
            <w:tcW w:w="83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(9,842)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3,806</w:t>
            </w:r>
          </w:p>
        </w:tc>
      </w:tr>
      <w:tr>
        <w:trPr>
          <w:trHeight w:val="265"/>
        </w:trPr>
        <w:tc>
          <w:tcPr>
            <w:tcW w:w="83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2,818</w:t>
            </w:r>
          </w:p>
        </w:tc>
      </w:tr>
      <w:tr>
        <w:trPr>
          <w:trHeight w:val="275"/>
        </w:trPr>
        <w:tc>
          <w:tcPr>
            <w:tcW w:w="83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5,651</w:t>
            </w:r>
          </w:p>
        </w:tc>
      </w:tr>
      <w:tr>
        <w:trPr>
          <w:trHeight w:val="265"/>
        </w:trPr>
        <w:tc>
          <w:tcPr>
            <w:tcW w:w="83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14,350</w:t>
            </w:r>
          </w:p>
        </w:tc>
      </w:tr>
      <w:tr>
        <w:trPr>
          <w:trHeight w:val="275"/>
        </w:trPr>
        <w:tc>
          <w:tcPr>
            <w:tcW w:w="834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136,193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68,006</w:t>
            </w:r>
          </w:p>
        </w:tc>
      </w:tr>
      <w:tr>
        <w:trPr>
          <w:trHeight w:val="265"/>
        </w:trPr>
        <w:tc>
          <w:tcPr>
            <w:tcW w:w="834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13,753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(3,850)</w:t>
            </w:r>
          </w:p>
        </w:tc>
      </w:tr>
      <w:tr>
        <w:trPr>
          <w:trHeight w:val="255"/>
        </w:trPr>
        <w:tc>
          <w:tcPr>
            <w:tcW w:w="834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213,989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161,218</w:t>
            </w:r>
          </w:p>
        </w:tc>
      </w:tr>
      <w:tr>
        <w:trPr>
          <w:trHeight w:val="259"/>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(329,687)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(388,808)</w:t>
            </w:r>
          </w:p>
        </w:tc>
      </w:tr>
      <w:tr>
        <w:trPr>
          <w:trHeight w:val="265"/>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Sales of investments</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27,282</w:t>
            </w:r>
          </w:p>
        </w:tc>
      </w:tr>
      <w:tr>
        <w:trPr>
          <w:trHeight w:val="27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364,256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371,837</w:t>
            </w:r>
          </w:p>
        </w:tc>
      </w:tr>
      <w:tr>
        <w:trPr>
          <w:trHeight w:val="265"/>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(26,802)</w:t>
            </w:r>
          </w:p>
        </w:tc>
      </w:tr>
      <w:tr>
        <w:trPr>
          <w:trHeight w:val="270"/>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Payments made in connection with business acquisitions—net of cash acquired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2,915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(16,508)</w:t>
            </w: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63,543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40,529</w:t>
            </w:r>
          </w:p>
        </w:tc>
      </w:tr>
      <w:tr>
        <w:trPr>
          <w:trHeight w:val="275"/>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w:t>
            </w:r>
          </w:p>
        </w:tc>
      </w:tr>
      <w:tr>
        <w:trPr>
          <w:trHeight w:val="265"/>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20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4,325</w:t>
            </w:r>
          </w:p>
        </w:tc>
      </w:tr>
      <w:tr>
        <w:trPr>
          <w:trHeight w:val="270"/>
        </w:trPr>
        <w:tc>
          <w:tcPr>
            <w:tcW w:w="8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(38,235)</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40,554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(1,887)</w:t>
            </w:r>
          </w:p>
        </w:tc>
      </w:tr>
      <w:tr>
        <w:trPr>
          <w:trHeight w:val="25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250"/>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2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257,458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142,223</w:t>
            </w:r>
          </w:p>
        </w:tc>
      </w:tr>
      <w:tr>
        <w:trPr>
          <w:trHeight w:val="270"/>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283,254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115,873</w:t>
            </w:r>
          </w:p>
        </w:tc>
      </w:tr>
      <w:tr>
        <w:trPr>
          <w:trHeight w:val="282"/>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EQUIVALENTS—End of period</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540,712</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258,096</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r>
      <w:tr>
        <w:trPr>
          <w:trHeight w:val="297"/>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Cash paid for income taxes—net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15,272</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38,755</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Transfers of evaluation units from inventory to property and equipment</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13,695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9,073</w:t>
            </w:r>
          </w:p>
        </w:tc>
      </w:tr>
      <w:tr>
        <w:trPr>
          <w:trHeight w:val="21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Liability for purchase of property and equipment and asset retirement obligations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2,243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4,710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r>
      <w:tr>
        <w:trPr>
          <w:trHeight w:val="210"/>
        </w:trPr>
        <w:tc>
          <w:tcPr>
            <w:tcW w:w="83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Equity awards assumed in connection with business acquisition</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unaudited condensed consolidated financial statements of Fortinet, Inc. and its wholly-owned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year ended December 31, 2014, contained in our Annual Report on Form 10-K (“Form 10-K”) filed with the SEC on March 2, 2015.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2015 are not necessarily indicative of the results for the full year or for any future periods. The condensed consolidated balance sheet as of December 31, 2014 is derived from the audited consolidated financial statements for the year ended December 31, 2014.</w:t>
      </w:r>
    </w:p>
    <w:p>
      <w:pPr>
        <w:spacing w:after="0" w:line="1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2014, we reevaluated the selected functional currency of our international subsidiaries due to the nature of our business operations and recorded the cumulative impact of the reevaluation of the functional currency in the consolidated statement of operations. Subsequently, the remeasurement of the assets and liabilities of all international subsidiaries has been recorded in the consolidated statement of operations prospectively. The impact of this reevaluation was not material for 2014 or any of our previously issued financial statements.</w:t>
      </w:r>
    </w:p>
    <w:p>
      <w:pPr>
        <w:spacing w:after="0" w:line="18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as of and for the three and nine months ended September 30, 2015, except for the inclusion of policies related to business combinations and restructuring charges.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—We include the results of operations of the businesses that we acquire as of the respective dates of acquisition. We allocate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220"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b w:val="1"/>
          <w:bCs w:val="1"/>
          <w:color w:val="auto"/>
        </w:rPr>
        <w:t>Restructuring charges</w:t>
      </w:r>
      <w:r>
        <w:rPr>
          <w:rFonts w:ascii="Times New Roman" w:cs="Times New Roman" w:eastAsia="Times New Roman" w:hAnsi="Times New Roman"/>
          <w:sz w:val="18"/>
          <w:szCs w:val="18"/>
          <w:color w:val="auto"/>
        </w:rPr>
        <w:t>—We recognize liability for exit and disposal activities when the liability is incurred. Our restructuring charges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one-time termination benefits related to the reduction of our workforce, contract-termination costs, such as lease exit costs, and other costs. Liabilities for costs associated with a restructuring activity are measured at fair value and are recognized when the liability is incurred. One-time termination benefits are expensed at the date we notify the employee, unless the employee must provide future service, in which case the benefits are expensed ratably over the future service period. A liability for contract-termination costs represents a liability for costs to terminate a contract before the end of its term and is recognized at fair value when we terminate the contract in accordance with the contract terms, which is usually done by giving written notice to the counterparty within the notification period specified by the contract or by otherwise negotiating a termination with the counterparty. A liability for costs that will continue to be incurred under a contract for its remaining term without economic benefit to the entity is recognized at the cease-use date. Costs to terminate a lease before the end of its term are recognized when the property is vacated. Other costs primarily consist of asset write-offs and consulting fees, which are expensed when incurred.</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continually evaluate the adequacy of the remaining liabilities under our restructuring initiatives. Although we believe that these estimates accurately reflect the costs of our restructuring plans, actual results may differ and thereby require us to record an additional provision or reverse a portion of such a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September 2015, the Financial Accounting Standards Board (“FASB“) issued Accounting Standards Update 2015-16—Simplifying the Accounting for Measurement-Period Adjustments (“ASU 2015-16”). ASU 2015-16 eliminates the requirement for an acquirer in a business combination to account for measurement-period adjustments retrospectively. Instead, acquirers must recognize measurement-period adjustments during the period in which they determine the amounts, including the effect on earnings of any amounts they would have recorded in previous periods if the accounting had been completed at the acquisition date. ASU 2015-16 will be effective for us beginning on January 1, 2016.</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July 2015, the FASB issued Accounting Standards Update 2015-11—Inventory—Simplifying the Measurement of Inventory (Topic 330) (“ASU 2015-11”). ASU 2015-11 changes the measurement principle for inventory from the lower of cost or market to lower of cost and net realizable value. It applies to entities that measure inventory using a method other than last-in, first-out or the retail inventory method (e.g., first-in first-out, average cost). ASU 2015-11 will be effective for us beginning on January 1, 2017. We do not expect the impact of ASU 2015-11 on our consolidated financial statements to be significant.</w:t>
      </w:r>
    </w:p>
    <w:p>
      <w:pPr>
        <w:spacing w:after="0" w:line="18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May 2014, the FASB issued Accounting Standards Update No. 2014-09—Revenue from Contracts with Customers (Topic 606) (“ASU 2014-09”) to create a single, joint revenue standard that is consistent across all industries and markets for companies that prepare their financial statements in accordance with GAAP. Under ASU 2014-09, an entity is required to recognize revenue upon the transfer of promised goods or services to customers in an amount that reflects the consideration the entity expects to be entitled to receive in exchange for those goods or services. In July 2015, the FASB decided to delay the effective date of the new revenue standard by one year. As such, ASU 2014-09 will be effective for us beginning on January 1, 2018, with the option to adopt earlier on January 1, 2017. We are currently evaluating the impact of ASU 2014-09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investments as of September 30, 2015 and December 31, 2014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 2015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485,236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485,031</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59,932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59,315</w:t>
            </w:r>
          </w:p>
        </w:tc>
      </w:tr>
      <w:tr>
        <w:trPr>
          <w:trHeight w:val="262"/>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8,668</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16,001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16,006</w:t>
            </w:r>
          </w:p>
        </w:tc>
      </w:tr>
      <w:tr>
        <w:trPr>
          <w:trHeight w:val="25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629,092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628,952</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4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589,016</w:t>
            </w: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39,721</w:t>
            </w:r>
          </w:p>
        </w:tc>
      </w:tr>
      <w:tr>
        <w:trPr>
          <w:trHeight w:val="262"/>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Certificates of deposit and term deposits </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22,854</w:t>
            </w:r>
          </w:p>
        </w:tc>
      </w:tr>
      <w:tr>
        <w:trPr>
          <w:trHeight w:val="278"/>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5,744</w:t>
            </w:r>
          </w:p>
        </w:tc>
      </w:tr>
      <w:tr>
        <w:trPr>
          <w:trHeight w:val="257"/>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709,030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708,490</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The majority of our certificates of deposit and term deposits are foreign deposits.</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the related fair values of our investments that have been in a continuous unrealized loss position as of September 30, 2015 and December 31, 2014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2015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0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244,812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38,634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283,446</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317,011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323,022</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4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356,625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362,636</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maturities of our investments as of September 30, 2015 and December 31, 2014 were as follows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367,446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436,766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261,506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271,724</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628,952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708,490</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expense—net in our condensed consolidated statements of operations. Realized gains and losses from the sale of available-for-sale securities were not significant in any period presented.</w:t>
      </w:r>
    </w:p>
    <w:p>
      <w:pPr>
        <w:spacing w:after="0" w:line="15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unrealized losses on our available-for-sale securities were caused by fluctuations in market value and interest rates as a result of the economic environment. As the decline in market value is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September 30, 2015.</w:t>
      </w:r>
    </w:p>
    <w:p>
      <w:pPr>
        <w:spacing w:after="0" w:line="180" w:lineRule="exact"/>
        <w:rPr>
          <w:sz w:val="20"/>
          <w:szCs w:val="20"/>
          <w:color w:val="auto"/>
        </w:rPr>
      </w:pPr>
    </w:p>
    <w:p>
      <w:pPr>
        <w:ind w:right="720" w:firstLine="689"/>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62" w:lineRule="exact"/>
        <w:rPr>
          <w:sz w:val="20"/>
          <w:szCs w:val="20"/>
          <w:color w:val="auto"/>
        </w:rPr>
      </w:pPr>
    </w:p>
    <w:p>
      <w:pPr>
        <w:ind w:left="1300" w:right="50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Measured at Fair Value on a Recurring Basis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fair value of our financial assets measured at fair value on a recurring basis as of September 30, 2015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6"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18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3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5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Identical</w:t>
            </w:r>
          </w:p>
        </w:tc>
        <w:tc>
          <w:tcPr>
            <w:tcW w:w="18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200" w:type="dxa"/>
            <w:vAlign w:val="bottom"/>
          </w:tcPr>
          <w:p>
            <w:pPr>
              <w:spacing w:after="0"/>
              <w:rPr>
                <w:sz w:val="11"/>
                <w:szCs w:val="11"/>
                <w:color w:val="auto"/>
              </w:rPr>
            </w:pPr>
          </w:p>
        </w:tc>
        <w:tc>
          <w:tcPr>
            <w:tcW w:w="920" w:type="dxa"/>
            <w:vAlign w:val="bottom"/>
          </w:tcPr>
          <w:p>
            <w:pPr>
              <w:jc w:val="center"/>
              <w:ind w:right="116"/>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18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r>
      <w:tr>
        <w:trPr>
          <w:trHeight w:val="176"/>
        </w:trPr>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5"/>
                <w:szCs w:val="15"/>
                <w:color w:val="auto"/>
              </w:rPr>
            </w:pPr>
          </w:p>
        </w:tc>
      </w:tr>
      <w:tr>
        <w:trPr>
          <w:trHeight w:val="224"/>
        </w:trPr>
        <w:tc>
          <w:tcPr>
            <w:tcW w:w="3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(Level 2)</w:t>
            </w: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485,031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485,031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589,016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589,016</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61,932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59,315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59,315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39,721</w:t>
            </w: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81,683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81,683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16,006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712,635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83,685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628,950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721,801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15,309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706,492</w:t>
            </w:r>
          </w:p>
        </w:tc>
        <w:tc>
          <w:tcPr>
            <w:tcW w:w="100" w:type="dxa"/>
            <w:vAlign w:val="bottom"/>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367,446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436,766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261,506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271,724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712,635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721,801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period ended September 30, 2015.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as of September 30, 2015 and December 31, 2014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10,617</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58,860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80,650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69,477</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Inventory includes finished goods held by distributors where revenue is recognized on a sell-through basis of $1.5 million and $1.2 million as of September 30, 2015 and December 31, 2014, respectively. Inventory also includes raw materials at contract manufacturers of $4.2 million and $4.8 million as of September 30, 2015 and December 31, 2014, respectively.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EQUIPMENT—net</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equipment—net consisted of the following as of September 30, 2015 and December 31, 2014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20,166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Evaluation units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31,474</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43,658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31,821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5,096</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3,902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7,998</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154,982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114,352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(55,433)</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83,372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58,919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$7.5 million and $5.4 million during the three months ended September 30, 2015 and September 30, 2014,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$20.3 million and $15.3 million during the nine months ended September 30, 2015 and September 30, 2014,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IN PRIVATELY-HELD COMPANIES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2015, we had invested a total of $10.3 million in the equity securities of three privately-held companies. Each of these investments is accounted for as a cost-basis investment, as we own less than 20% of the voting securities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2015, no events have occurred that would adversely affect the carrying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COMBINATIONS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 July 8, 2015, we completed our previously announced acquisition of all of the outstanding shares of Meru Networks, Inc. (“Meru”). Meru is a provider of Wi-Fi networking products and services. With this acquisition, we expand on our secure wireless vision and enterprise growth focus, broaden our solutions portfolio, and enhance our opportunity to address the global enterprise Wi-Fi market with integrated and intelligent secure wireless solutions.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we paid total cash consideration of $40.9 million and incurred $0.4 million of withholding tax liability. In addition, all of the outstanding restricted stock units (“RSUs”) of Meru were converted into RSUs for 53,401 shares of our common stock. The cash payment, along with the estimated fair value of the earned RSUs assumed, resulted in a purchase price of $41.8 million. The total purchase price was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vMerge w:val="restart"/>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40,914</w:t>
            </w:r>
          </w:p>
        </w:tc>
        <w:tc>
          <w:tcPr>
            <w:tcW w:w="0" w:type="dxa"/>
            <w:vAlign w:val="bottom"/>
          </w:tcPr>
          <w:p>
            <w:pPr>
              <w:spacing w:after="0"/>
              <w:rPr>
                <w:sz w:val="1"/>
                <w:szCs w:val="1"/>
                <w:color w:val="auto"/>
              </w:rPr>
            </w:pPr>
          </w:p>
        </w:tc>
      </w:tr>
      <w:tr>
        <w:trPr>
          <w:trHeight w:val="88"/>
        </w:trPr>
        <w:tc>
          <w:tcPr>
            <w:tcW w:w="9480" w:type="dxa"/>
            <w:vAlign w:val="bottom"/>
            <w:tcBorders>
              <w:bottom w:val="single" w:sz="8" w:color="CCEEFF"/>
            </w:tcBorders>
            <w:shd w:val="clear" w:color="auto" w:fill="CCEEFF"/>
          </w:tcPr>
          <w:p>
            <w:pPr>
              <w:spacing w:after="0"/>
              <w:rPr>
                <w:sz w:val="7"/>
                <w:szCs w:val="7"/>
                <w:color w:val="auto"/>
              </w:rPr>
            </w:pPr>
          </w:p>
        </w:tc>
        <w:tc>
          <w:tcPr>
            <w:tcW w:w="740" w:type="dxa"/>
            <w:vAlign w:val="bottom"/>
            <w:tcBorders>
              <w:bottom w:val="single" w:sz="8" w:color="CCEEFF"/>
            </w:tcBorders>
            <w:vMerge w:val="continue"/>
            <w:shd w:val="clear" w:color="auto" w:fill="CCEEFF"/>
          </w:tcPr>
          <w:p>
            <w:pPr>
              <w:spacing w:after="0"/>
              <w:rPr>
                <w:sz w:val="7"/>
                <w:szCs w:val="7"/>
                <w:color w:val="auto"/>
              </w:rPr>
            </w:pPr>
          </w:p>
        </w:tc>
        <w:tc>
          <w:tcPr>
            <w:tcW w:w="12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fair value of shares withheld for taxes</w:t>
            </w:r>
          </w:p>
        </w:tc>
        <w:tc>
          <w:tcPr>
            <w:tcW w:w="740" w:type="dxa"/>
            <w:vAlign w:val="bottom"/>
          </w:tcPr>
          <w:p>
            <w:pPr>
              <w:spacing w:after="0"/>
              <w:rPr>
                <w:sz w:val="24"/>
                <w:szCs w:val="24"/>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81"/>
        </w:trPr>
        <w:tc>
          <w:tcPr>
            <w:tcW w:w="9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fair value of earned equity awards assumed by Fortinet</w:t>
            </w:r>
          </w:p>
        </w:tc>
        <w:tc>
          <w:tcPr>
            <w:tcW w:w="74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108"/>
        </w:trPr>
        <w:tc>
          <w:tcPr>
            <w:tcW w:w="948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9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purchase price</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41,764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accounted for this transaction as a business combination. We expensed acquisition-related costs of $1.7 million in general and administrative expenses. The total purchase price was allocated to Meru’s identifiable tangible and intangible assets acquired and liabilities assumed based on their estimated fair values as of the acquisition date. The total purchase price was allocated using the information currently available. As a result, we may continue to adjust the estimated purchase price allocation as and when additional information is available.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allocation of the purchase price was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8,316</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11,854</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18,585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19,600</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66,451</w:t>
            </w:r>
          </w:p>
        </w:tc>
      </w:tr>
      <w:tr>
        <w:trPr>
          <w:trHeight w:val="243"/>
        </w:trPr>
        <w:tc>
          <w:tcPr>
            <w:tcW w:w="9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14,887</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24,687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purchase price allocation</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goodwill of $1.4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technologies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00" w:firstLine="648"/>
        <w:spacing w:after="0" w:line="313" w:lineRule="auto"/>
        <w:rPr>
          <w:sz w:val="20"/>
          <w:szCs w:val="20"/>
          <w:color w:val="auto"/>
        </w:rPr>
      </w:pPr>
      <w:r>
        <w:rPr>
          <w:rFonts w:ascii="Times New Roman" w:cs="Times New Roman" w:eastAsia="Times New Roman" w:hAnsi="Times New Roman"/>
          <w:sz w:val="17"/>
          <w:szCs w:val="17"/>
          <w:color w:val="auto"/>
        </w:rPr>
        <w:t>The amortization expense of customer relationships and trade name is amortized on a straight-line basis and is recorded in sales and marketing expenses. The amortization expense of developed technologies is amortized on a straight-line basis and is recorded in cost of product revenue.</w:t>
      </w:r>
    </w:p>
    <w:p>
      <w:pPr>
        <w:spacing w:after="0" w:line="13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Upon acquisition, Meru became our wholly-owned subsidiary. The results of operations of Meru have been included in our consolidated statements of operations from the acquisition date. Revenue and net loss of Meru from July 8, 2015 through September 30, 2015 were $12.0 million and $9.6 million, respectively.</w:t>
      </w:r>
    </w:p>
    <w:p>
      <w:pPr>
        <w:spacing w:after="0" w:line="176"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unaudited financial information below summarizes the combined results of Fortinet and Meru on a pro forma basis, after giving effect to the acquisition of Meru on July 8, 2015, as though the business combination occurred on January 1, 2014. The pro forma financial information is presented for informational purposes and is not indicative of the results of operations that would have been achieved if the acquisition had taken place at the beginning of each of the periods presented. The following pro forma financial information for all periods presented includes purchase accounting adjustments for amortization charges from acquired intangible assets, depreciation of acquired property, plant and equipment, stock-based compensation and related tax effects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31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750,442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615,581</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income (loss) from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20,768</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4,173</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forma net income (loss) per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 forma net income (loss) per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4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There were no impairments to goodwill during the three and nine months ended September 30, 2015. The following table presents the changes in the carrying amount of goodwill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2,824</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 due to business acquisition</w:t>
            </w:r>
          </w:p>
        </w:tc>
        <w:tc>
          <w:tcPr>
            <w:tcW w:w="4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1,436</w:t>
            </w:r>
          </w:p>
        </w:tc>
      </w:tr>
      <w:tr>
        <w:trPr>
          <w:trHeight w:val="27"/>
        </w:trPr>
        <w:tc>
          <w:tcPr>
            <w:tcW w:w="9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Balance—September 30, 2015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r>
      <w:tr>
        <w:trPr>
          <w:trHeight w:val="20"/>
        </w:trPr>
        <w:tc>
          <w:tcPr>
            <w:tcW w:w="9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Assets—net</w:t>
      </w:r>
    </w:p>
    <w:p>
      <w:pPr>
        <w:spacing w:after="0" w:line="9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2015, we reassessed the fair value and the remaining useful life of the developed technologies and customer relationship acquired from the Coyote Point business acquisition. Based on this reassessment, we determined a decrease in the projected cash flow and that the remaining net book value of the developed technologies and customer relationships were impaired. As a result, we recorded an impairment charge of $1.6 million associated with these assets. The impairment charge is included within cost of product revenue and sales and marketing in the condensed consolidated statements of operations.</w:t>
      </w:r>
    </w:p>
    <w:p>
      <w:pPr>
        <w:sectPr>
          <w:pgSz w:w="11900" w:h="16838" w:orient="portrait"/>
          <w:cols w:equalWidth="0" w:num="1">
            <w:col w:w="11420"/>
          </w:cols>
          <w:pgMar w:left="240" w:top="121"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assets—net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 Average Useful Life</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12,200</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names</w:t>
            </w:r>
          </w:p>
        </w:tc>
        <w:tc>
          <w:tcPr>
            <w:tcW w:w="24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23,584</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 Average Useful Life</w:t>
            </w: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Developed technologies</w:t>
            </w:r>
          </w:p>
        </w:tc>
        <w:tc>
          <w:tcPr>
            <w:tcW w:w="24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6,106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was $1.3 million and $0.2 million for the three months ended September 30, 2015 and September 30, 2014, respectively. Amortization expense was $1.9 million and $1.2 million for the nine months ended September 30, 2015 and September 30, 2014, respectively. The following table summarizes estimated future amortization expense of other intangible assets—net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 (remainder)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4,600</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4,240</w:t>
            </w:r>
          </w:p>
        </w:tc>
      </w:tr>
      <w:tr>
        <w:trPr>
          <w:trHeight w:val="27"/>
        </w:trPr>
        <w:tc>
          <w:tcPr>
            <w:tcW w:w="9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r>
      <w:tr>
        <w:trPr>
          <w:trHeight w:val="27"/>
        </w:trPr>
        <w:tc>
          <w:tcPr>
            <w:tcW w:w="9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18,967</w:t>
            </w:r>
          </w:p>
        </w:tc>
      </w:tr>
      <w:tr>
        <w:trPr>
          <w:trHeight w:val="20"/>
        </w:trPr>
        <w:tc>
          <w:tcPr>
            <w:tcW w:w="9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including performance stock units (“PSUs”), and the employee stock purchase plan (“ESPP”). Dilutive shares of common stock are determined by applying the treasury stock method.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as follows (in thousands, except per share amounts):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8,169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10,521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18,530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shares: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171,648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164,294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169,898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163,289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Diluted shares: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171,648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163,289</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43"/>
        </w:trPr>
        <w:tc>
          <w:tcPr>
            <w:tcW w:w="5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RSUs (including PSUs)</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ESPP</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Weighted-average shares used to compute diluted net income per</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177,897</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175,963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168,735</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60" w:type="dxa"/>
            <w:vAlign w:val="bottom"/>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4,101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(including PSUs)</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1,331</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ESPP</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w:t>
            </w:r>
          </w:p>
        </w:tc>
      </w:tr>
      <w:tr>
        <w:trPr>
          <w:trHeight w:val="237"/>
        </w:trPr>
        <w:tc>
          <w:tcPr>
            <w:tcW w:w="51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5,113</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150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revenue consisted of the following as of September 30, 2015 and December 31, 2014 (in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700,777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554,115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706,911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558,757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471,118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368,929</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235,793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189,828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706,911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558,757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RESTRUCTURING CHARGES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Meru, during the third quarter of 2015, we initiated planned cost reduction and restructuring activities to improve our cost structure and operational efficiencies. We estimate that we will incur $6.3 million of restructuring charges, consisting of severance and other one-time benefits, contract terminations and other charges. We incurred $5.9 million of restructuring charges during the three months ended September 30, 2015 which are included in operating expense in the condensed consolidated statements of operations. These charges are primarily related to severance and other one-time benefits to be paid in cash. We expect the remainder of the amount to be incurred during the fourth quarter of 2015 and in 2016.</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restructuring activity as of September 30, 2015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Employee Severance</w:t>
            </w: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Terminations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Other Benefits</w:t>
            </w:r>
          </w:p>
        </w:tc>
        <w:tc>
          <w:tcPr>
            <w:tcW w:w="140" w:type="dxa"/>
            <w:vAlign w:val="bottom"/>
          </w:tcPr>
          <w:p>
            <w:pPr>
              <w:spacing w:after="0"/>
              <w:rPr>
                <w:sz w:val="20"/>
                <w:szCs w:val="20"/>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 Charges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incurred</w:t>
            </w:r>
          </w:p>
        </w:tc>
        <w:tc>
          <w:tcPr>
            <w:tcW w:w="16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non-cash charges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3,553</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payments for the restructuring activities are expected to be made through fiscal year 2017, primarily relating to severance and other one-time benefits. The short-term portion of the restructuring reserve of $2.7 million is included in accrued liabilities and the remaining long-term portion of $0.9 million is included in other liabilities on the condensed balance sheet as of September 30, 2015.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future principal contractual obligations as of September 30, 2015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10,593</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75,984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73,038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5"/>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contractual commitments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 purchase orders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38,072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335</w:t>
            </w:r>
          </w:p>
        </w:tc>
      </w:tr>
      <w:tr>
        <w:trPr>
          <w:trHeight w:val="257"/>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170,831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103,438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26,620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10,928</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—We lease certain facilities under various non-cancelable operating leases, which expire through 2025. In addition to the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certain leases require us to pay variable costs such as taxes, maintenance, insurance, and asset retirement obligations. The terms of certain operating leases also provide for renewal options and escalation clauses. Rent expense was $3.7 million and $2.6 million during the three months ended September 30, 2015 and 2014, respectively. Rent expense was $9.7 million and $7.7 million during the nine months ended September 30, 2015 and 2014, respectively. Rent expense is recognized using the straight-line method over the term of the lease.</w:t>
      </w:r>
    </w:p>
    <w:p>
      <w:pPr>
        <w:spacing w:after="0" w:line="180" w:lineRule="exact"/>
        <w:rPr>
          <w:sz w:val="20"/>
          <w:szCs w:val="20"/>
          <w:color w:val="auto"/>
        </w:rPr>
      </w:pPr>
    </w:p>
    <w:p>
      <w:pPr>
        <w:ind w:right="4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Inventory Purchase </w:t>
      </w:r>
      <w:r>
        <w:rPr>
          <w:rFonts w:ascii="Times New Roman" w:cs="Times New Roman" w:eastAsia="Times New Roman" w:hAnsi="Times New Roman"/>
          <w:sz w:val="18"/>
          <w:szCs w:val="18"/>
          <w:color w:val="auto"/>
        </w:rPr>
        <w:t>—Our independent contract manufacturers procure certain inventory items and build our products based on our forecasts.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forecasts are based on estimates of future demand for our products, which are in turn based on historical trends and analysis, adjusted for overall market conditions. In order to reduce manufacturing lead times and plan for adequate component supply, we may issue purchase orders to some of our independent contract manufacturers which may not be cancelable. As of September 30, 2015, we had $76.0 million of open purchase orders with our independent contract manufacturers.</w:t>
      </w:r>
    </w:p>
    <w:p>
      <w:pPr>
        <w:spacing w:after="0" w:line="15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Contractual Commitments and Open Purchase Orders </w:t>
      </w:r>
      <w:r>
        <w:rPr>
          <w:rFonts w:ascii="Times New Roman" w:cs="Times New Roman" w:eastAsia="Times New Roman" w:hAnsi="Times New Roman"/>
          <w:sz w:val="18"/>
          <w:szCs w:val="18"/>
          <w:color w:val="auto"/>
        </w:rPr>
        <w:t>—In addition to commitments with contract manufacturers, we have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 commitments and open purchase orders in the ordinary course of business for which we have not received goods or services. As of September 30, 2015, we had $38.1 million in other contractual commitments and open purchase orders.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—Accrued warranty activities are summarized as follows (in thousands):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balance—beginning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3,037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costs incurred</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warranty for the period, including warranty liabilities assumed in connection with a business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3,786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 related to pre-existing warranties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balance—end of the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For lawsuits where we are the defendant, we are in the process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estimates, if any, which could result in the need to adjust the liability and record additional expenses. We have not recorded any significant accrual for loss contingencies associated with such legal proceedings; determined that a significant unfavorable outcome is probable or reasonably possible; or determined that the amount or range of any possible loss is reasonably estimable.</w:t>
      </w:r>
    </w:p>
    <w:p>
      <w:pPr>
        <w:spacing w:after="0" w:line="17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—Under the indemnification provisions of our standard sales contracts, we agree to defend our customers against third-party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asserting various allegations such as damage resulting from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and that could potentially expose us to losses in excess of the amount received under the agreement and, in some instances, to potential liability that is not contractually limited. To date, there have been no awards under such indemnification provisions.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stock-based compensation plans include the 2000 Stock Plan (the “2000 Plan”), the 2008 Stock Plan (the “2008 Plan”), the 2009 Equity Incentive Plan (the “2009 Plan”), 2011 Employee Stock Purchase Plan (the “ESPP”) and equity plans assumed through the Meru acquisition. Under these plans, we have granted (or, in the case of acquired plans, assumed) stock options and RSUs, including PSUs.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Meru acquisition, we assumed and exchanged Meru’s outstanding RSUs with an estimated fair value of $2.0 million. Of the total estimated fair value, $0.5 million relating to earned equity awards was allocated to the purchase price and the remainder relating to future services is being recognized over the remaining service period. No new equity awards can be granted under the assumed plans. As of September 30, 2015, RSUs representing 42,332 shares of common stock were outstanding under the awards assumed through the acquisition of Meru.</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2015, there were a total of 41,362,003 shares of common stock available for grant under our stock-based compensation plans.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520" w:type="dxa"/>
            <w:vAlign w:val="bottom"/>
            <w:gridSpan w:val="4"/>
          </w:tcPr>
          <w:p>
            <w:pPr>
              <w:ind w:lef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0" w:type="dxa"/>
            <w:vAlign w:val="bottom"/>
            <w:gridSpan w:val="3"/>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450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7"/>
        </w:trPr>
        <w:tc>
          <w:tcPr>
            <w:tcW w:w="4500" w:type="dxa"/>
            <w:vAlign w:val="bottom"/>
          </w:tcPr>
          <w:p>
            <w:pPr>
              <w:spacing w:after="0"/>
              <w:rPr>
                <w:sz w:val="18"/>
                <w:szCs w:val="18"/>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500" w:type="dxa"/>
            <w:vAlign w:val="bottom"/>
          </w:tcPr>
          <w:p>
            <w:pPr>
              <w:spacing w:after="0"/>
              <w:rPr>
                <w:sz w:val="18"/>
                <w:szCs w:val="18"/>
                <w:color w:val="auto"/>
              </w:rPr>
            </w:pPr>
          </w:p>
        </w:tc>
        <w:tc>
          <w:tcPr>
            <w:tcW w:w="166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6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5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Expected term in years</w:t>
            </w:r>
          </w:p>
        </w:tc>
        <w:tc>
          <w:tcPr>
            <w:tcW w:w="16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Volatility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4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Dividend rate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thousands, except exercise prices and contractual life):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51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60" w:type="dxa"/>
            <w:vAlign w:val="bottom"/>
          </w:tcPr>
          <w:p>
            <w:pPr>
              <w:spacing w:after="0"/>
              <w:rPr>
                <w:sz w:val="17"/>
                <w:szCs w:val="17"/>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260" w:type="dxa"/>
            <w:vAlign w:val="bottom"/>
          </w:tcPr>
          <w:p>
            <w:pPr>
              <w:spacing w:after="0"/>
              <w:rPr>
                <w:sz w:val="18"/>
                <w:szCs w:val="18"/>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Balance—September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vest—September 30, 2015</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169,925</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exercisable—September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157,064</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pre-tax difference between the exercise price of stock options and the quoted market price of our common stock on September 30, 2015, for all in-the-money options. As of September 30, 2015, total compensation expense related to unvested stock options granted to employees but not yet recognized was $14.0 million. This expense is expected to be amortized on a straight-line basis over a weighted-average period of 2.6 years.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(in thousands,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103,170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49,490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13,163</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thousands, except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760" w:type="dxa"/>
            <w:vAlign w:val="bottom"/>
            <w:gridSpan w:val="4"/>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33"/>
        </w:trPr>
        <w:tc>
          <w:tcPr>
            <w:tcW w:w="76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7"/>
        </w:trPr>
        <w:tc>
          <w:tcPr>
            <w:tcW w:w="7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r>
      <w:tr>
        <w:trPr>
          <w:trHeight w:val="203"/>
        </w:trPr>
        <w:tc>
          <w:tcPr>
            <w:tcW w:w="7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Grant-Date-Fair Value</w:t>
            </w:r>
          </w:p>
        </w:tc>
      </w:tr>
      <w:tr>
        <w:trPr>
          <w:trHeight w:val="212"/>
        </w:trPr>
        <w:tc>
          <w:tcPr>
            <w:tcW w:w="7660" w:type="dxa"/>
            <w:vAlign w:val="bottom"/>
          </w:tcPr>
          <w:p>
            <w:pPr>
              <w:spacing w:after="0"/>
              <w:rPr>
                <w:sz w:val="18"/>
                <w:szCs w:val="18"/>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70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33"/>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2014</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22.93</w:t>
            </w: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 and assumed through business acquisition</w:t>
            </w: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40.01</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27.80</w:t>
            </w:r>
          </w:p>
        </w:tc>
      </w:tr>
      <w:tr>
        <w:trPr>
          <w:trHeight w:val="243"/>
        </w:trPr>
        <w:tc>
          <w:tcPr>
            <w:tcW w:w="7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22.35</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Balance—September 30, 2015</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32.66</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expected to vest—September 30, 2015</w:t>
            </w:r>
          </w:p>
        </w:tc>
        <w:tc>
          <w:tcPr>
            <w:tcW w:w="1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7,899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32.90</w:t>
            </w:r>
          </w:p>
        </w:tc>
      </w:tr>
      <w:tr>
        <w:trPr>
          <w:trHeight w:val="20"/>
        </w:trPr>
        <w:tc>
          <w:tcPr>
            <w:tcW w:w="76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2015, total compensation expense related to unvested RSUs that were granted to employees and non-employees, but not yet recognized, was $291.4 million. This expense is expected to be amortized on a straight-line basis over a weighted-average vesting period of 3.1 years.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withheld for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22,989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8,506</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granted PSUs to certain of our executive officers and employees. PSUs granted to executive officers are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 PSUs granted to our employees who are not executive officers are based on the achievement of personal- and company-based performance vesting conditions during the performance period. The final settlement of these PSUs will range between 50% to 150% of the target shares underlying the PSUs based on specified objective formula approved by our Compensation Committee. The PSUs entitle such employees to receive a number of shares of our common stock based on a one year performance period, and vest equally in the second and third years. There were no PSUs granted during the three months ended September 30, 2015 and September 30, 2014.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 granted to our executive officers: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18"/>
                <w:szCs w:val="18"/>
                <w:color w:val="auto"/>
              </w:rPr>
            </w:pPr>
          </w:p>
        </w:tc>
        <w:tc>
          <w:tcPr>
            <w:tcW w:w="3220" w:type="dxa"/>
            <w:vAlign w:val="bottom"/>
            <w:gridSpan w:val="3"/>
          </w:tcPr>
          <w:p>
            <w:pPr>
              <w:jc w:val="right"/>
              <w:ind w:right="81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82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8200" w:type="dxa"/>
            <w:vAlign w:val="bottom"/>
          </w:tcPr>
          <w:p>
            <w:pPr>
              <w:spacing w:after="0"/>
              <w:rPr>
                <w:sz w:val="18"/>
                <w:szCs w:val="18"/>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2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rate</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and related information for PSUs for the periods presented below (in thousands, except per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4"/>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granted to executive officers and employees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21.21</w:t>
            </w:r>
          </w:p>
        </w:tc>
      </w:tr>
    </w:tbl>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2015, total compensation expense related to unvested PSUs that were granted to certain of our executive officers and employees, but not yet recognized, was $6.4 million. This expense is expected to be amortized on a straight-line basis over a weighted-average vesting period of 2.1 years.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determining the fair value of our ESPP, we use the Black-Scholes option pricing model that employs the following weighted-average assumptions: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rate</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ESPP is provided below (in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under the ESPP</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price per share issued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18.17</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included in costs and expenses as follows (in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6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w:t>
            </w:r>
          </w:p>
        </w:tc>
      </w:tr>
      <w:tr>
        <w:trPr>
          <w:trHeight w:val="243"/>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4,214</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12,558</w:t>
            </w:r>
          </w:p>
        </w:tc>
      </w:tr>
      <w:tr>
        <w:trPr>
          <w:trHeight w:val="243"/>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18,890</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9,376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6,300</w:t>
            </w:r>
          </w:p>
        </w:tc>
      </w:tr>
      <w:tr>
        <w:trPr>
          <w:trHeight w:val="257"/>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26,319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67,001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42,313</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(in thousands):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60" w:type="dxa"/>
            <w:vAlign w:val="bottom"/>
            <w:gridSpan w:val="4"/>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13,395</w:t>
            </w:r>
          </w:p>
        </w:tc>
      </w:tr>
      <w:tr>
        <w:trPr>
          <w:trHeight w:val="243"/>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RSUs (including PSUs)</w:t>
            </w:r>
          </w:p>
        </w:tc>
        <w:tc>
          <w:tcPr>
            <w:tcW w:w="1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21,996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25,886</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ESPP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3,032</w:t>
            </w:r>
          </w:p>
        </w:tc>
      </w:tr>
      <w:tr>
        <w:trPr>
          <w:trHeight w:val="257"/>
        </w:trPr>
        <w:tc>
          <w:tcPr>
            <w:tcW w:w="5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26,319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14,667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67,001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42,313</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condensed consolidated statements of operations is as follows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60" w:type="dxa"/>
            <w:vAlign w:val="bottom"/>
            <w:gridSpan w:val="4"/>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12,867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11,821</w:t>
            </w:r>
          </w:p>
        </w:tc>
      </w:tr>
      <w:tr>
        <w:trPr>
          <w:trHeight w:val="27"/>
        </w:trPr>
        <w:tc>
          <w:tcPr>
            <w:tcW w:w="5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December 2013, our Board of Directors (“Board”) authorized a Share Repurchase Program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October 2014, our Board extended the share repurchase authorization under the Program through December 31, 2015. During the three and nine months ended September 30, 2015, there were no shares repurchased under the Program. As of September 30, 2015, $122.5 million remains available for future share repurchases under the Program.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recognized a tax benefit of $9.3 million and a tax expense of $11.7 million on pretax net loss of $1.2 million and pretax net income of $15.8 million during the three months ended September 30, 2015 and 2014, respectively. The effective tax rate was 804% for the three months ended September 30, 2015, compared to an effective tax rate of 74% for the same period last year. The effective tax rate was a benefit of 165% for the nine months ended September 30, 2015, compared to an effective tax rate of 55% for the same period last year. The benefit for income taxes for the periods presented is comprised of U.S. federal and state taxes, Singapore and other foreign income taxes, withholding tax, and transfer pricing allocations which impact jurisdictional income taxed at various tax rates. The decrease in the tax provision and change in effective tax rate was primarily due to the decrease in profitability before income taxes and additional tax benefits related to discrete items, such as the increase of the prior year's federal research and development credit and the release of previously unrecognized tax benefits. The effective tax rate for the three months ended September 30, 2015 also reflected a tax benefit due to a recent U.S. Tax Court opinion based on which we recognized the tax benefit due to the exclusion of the stock-based compensation from intercompany charges in prior periods.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2015 and December 31, 2014, unrecognized tax benefits were $55.8 million and $44.2 million, respectively. The total amount of $54.6 million in unrecognized tax benefits, if recognized, would favorably impact the effective tax rate. It is our policy to classify accrued interest and penalties related to unrecognized tax benefits in the provision for income taxes. As of September 30, 2015, we had accrued $5.0 million for estimated interest related to uncertain tax positions.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U.S. state and foreign jurisdictions. The statute of limitations is open for years that generated state net operating loss carryforwards and after 2009 for state jurisdictions. Additionally, we have foreign net operating losses that have an indefinite life. Generally, we are no longer subject to non-U.S. income tax examinations by tax authorities for tax years prior to 2008. We are no longer subject to examination by U.S. federal tax authorities for tax years prior to 2011, and we are currently subject to examination by U.S federal income tax authorities for tax year 2012.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DEFINED CONTRIBUTION PLANS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approved 50% matching contributions on employee contributions up to 4% of each employee’s eligible earnings. Our matching contributions to the 401(k) Plan and RRSP during the three months ended September 30, 2015 and September 30, 2014 were $0.9 million and $0.7 million, respectively. Our matching contributions to the 401(k) Plan and RRSP during the nine months ended September 30, 2015 and September 30, 2014 were $2.7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SIGNIFICANT CUSTOMER INFORMATION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121" w:right="3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geographic region is based on the billing address of the customer. The following table sets forth revenue (in thousands):</w:t>
      </w: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78"/>
        </w:trPr>
        <w:tc>
          <w:tcPr>
            <w:tcW w:w="20" w:type="dxa"/>
            <w:vAlign w:val="bottom"/>
          </w:tcPr>
          <w:p>
            <w:pPr>
              <w:spacing w:after="0"/>
              <w:rPr>
                <w:sz w:val="15"/>
                <w:szCs w:val="15"/>
                <w:color w:val="auto"/>
              </w:rPr>
            </w:pPr>
          </w:p>
        </w:tc>
        <w:tc>
          <w:tcPr>
            <w:tcW w:w="508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5"/>
                <w:szCs w:val="15"/>
                <w:color w:val="auto"/>
              </w:rPr>
            </w:pPr>
          </w:p>
        </w:tc>
        <w:tc>
          <w:tcPr>
            <w:tcW w:w="1320" w:type="dxa"/>
            <w:vAlign w:val="bottom"/>
          </w:tcPr>
          <w:p>
            <w:pPr>
              <w:jc w:val="right"/>
              <w:ind w:right="493"/>
              <w:spacing w:after="0" w:line="178" w:lineRule="exact"/>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8" w:lineRule="exact"/>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3"/>
              <w:spacing w:after="0" w:line="178" w:lineRule="exact"/>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8" w:lineRule="exact"/>
              <w:rPr>
                <w:sz w:val="20"/>
                <w:szCs w:val="20"/>
                <w:color w:val="auto"/>
              </w:rPr>
            </w:pPr>
            <w:r>
              <w:rPr>
                <w:rFonts w:ascii="Times New Roman" w:cs="Times New Roman" w:eastAsia="Times New Roman" w:hAnsi="Times New Roman"/>
                <w:sz w:val="16"/>
                <w:szCs w:val="16"/>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4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72,767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144,794</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72,676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59,837</w:t>
            </w:r>
          </w:p>
        </w:tc>
      </w:tr>
      <w:tr>
        <w:trPr>
          <w:trHeight w:val="243"/>
        </w:trPr>
        <w:tc>
          <w:tcPr>
            <w:tcW w:w="20" w:type="dxa"/>
            <w:vAlign w:val="bottom"/>
          </w:tcPr>
          <w:p>
            <w:pPr>
              <w:spacing w:after="0"/>
              <w:rPr>
                <w:sz w:val="21"/>
                <w:szCs w:val="21"/>
                <w:color w:val="auto"/>
              </w:rPr>
            </w:pPr>
          </w:p>
        </w:tc>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28,404</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Americas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113,165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313,318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233,035</w:t>
            </w:r>
          </w:p>
        </w:tc>
      </w:tr>
      <w:tr>
        <w:trPr>
          <w:trHeight w:val="243"/>
        </w:trPr>
        <w:tc>
          <w:tcPr>
            <w:tcW w:w="2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6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250,808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185,354</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 (“APAC”)</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55,163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148,613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128,006</w:t>
            </w:r>
          </w:p>
        </w:tc>
      </w:tr>
      <w:tr>
        <w:trPr>
          <w:trHeight w:val="257"/>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260,068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193,348</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712,739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546,395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property and equipment by geographic region as of September 30, 2015 and December 31, 2014 (in thousands):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and Equipment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b w:val="1"/>
                <w:bCs w:val="1"/>
                <w:color w:val="auto"/>
              </w:rPr>
              <w:t>net</w:t>
            </w:r>
          </w:p>
        </w:tc>
        <w:tc>
          <w:tcPr>
            <w:tcW w:w="26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78"/>
        </w:trPr>
        <w:tc>
          <w:tcPr>
            <w:tcW w:w="76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652"/>
              <w:spacing w:after="0" w:line="178" w:lineRule="exact"/>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652"/>
              <w:spacing w:after="0" w:line="178" w:lineRule="exact"/>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5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Americas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53,045</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EMEA</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EMEA</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83,372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customers, each of which is a distributor, accounted for 10% or more of our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180" w:type="dxa"/>
            <w:vAlign w:val="bottom"/>
            <w:gridSpan w:val="3"/>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7"/>
        </w:trPr>
        <w:tc>
          <w:tcPr>
            <w:tcW w:w="494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9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540" w:type="dxa"/>
            <w:vAlign w:val="bottom"/>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Exclusive Networks Group</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 Tec Computers</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Represents less than 10%</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675"/>
        </w:trPr>
        <w:tc>
          <w:tcPr>
            <w:tcW w:w="494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customers, each of which is a distributor, accounted for 10% or more of net accounts receivable: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7"/>
                <w:szCs w:val="17"/>
                <w:color w:val="auto"/>
              </w:rPr>
            </w:pP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2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Exclusive Networks Group</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Ingram Micro</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 Tec Computer</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 Represents less than 10%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63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800" w:type="dxa"/>
            <w:vAlign w:val="bottom"/>
            <w:gridSpan w:val="11"/>
          </w:tcPr>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loss (in thousands):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65"/>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Tax benefit</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(provision) related to</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items of other</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(Losses) 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or loss</w:t>
            </w:r>
          </w:p>
        </w:tc>
        <w:tc>
          <w:tcPr>
            <w:tcW w:w="140" w:type="dxa"/>
            <w:vAlign w:val="bottom"/>
          </w:tcPr>
          <w:p>
            <w:pPr>
              <w:spacing w:after="0"/>
              <w:rPr>
                <w:sz w:val="18"/>
                <w:szCs w:val="18"/>
                <w:color w:val="auto"/>
              </w:rPr>
            </w:pPr>
          </w:p>
        </w:tc>
        <w:tc>
          <w:tcPr>
            <w:tcW w:w="14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7"/>
        </w:trPr>
        <w:tc>
          <w:tcPr>
            <w:tcW w:w="20" w:type="dxa"/>
            <w:vAlign w:val="bottom"/>
          </w:tcPr>
          <w:p>
            <w:pPr>
              <w:spacing w:after="0"/>
              <w:rPr>
                <w:sz w:val="20"/>
                <w:szCs w:val="20"/>
                <w:color w:val="auto"/>
              </w:rPr>
            </w:pPr>
          </w:p>
        </w:tc>
        <w:tc>
          <w:tcPr>
            <w:tcW w:w="6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264</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259</w:t>
            </w:r>
          </w:p>
        </w:tc>
      </w:tr>
      <w:tr>
        <w:trPr>
          <w:trHeight w:val="27"/>
        </w:trPr>
        <w:tc>
          <w:tcPr>
            <w:tcW w:w="20" w:type="dxa"/>
            <w:vAlign w:val="bottom"/>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as of September 30, 2015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details about the reclassification out of accumulated other comprehensive loss (in thousands):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w:t>
            </w: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w:t>
            </w:r>
          </w:p>
        </w:tc>
      </w:tr>
      <w:tr>
        <w:trPr>
          <w:trHeight w:val="212"/>
        </w:trPr>
        <w:tc>
          <w:tcPr>
            <w:tcW w:w="6540" w:type="dxa"/>
            <w:vAlign w:val="bottom"/>
            <w:gridSpan w:val="2"/>
          </w:tcPr>
          <w:p>
            <w:pPr>
              <w:ind w:left="8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Loss Components</w:t>
            </w:r>
          </w:p>
        </w:tc>
        <w:tc>
          <w:tcPr>
            <w:tcW w:w="1840" w:type="dxa"/>
            <w:vAlign w:val="bottom"/>
          </w:tcPr>
          <w:p>
            <w:pPr>
              <w:jc w:val="center"/>
              <w:ind w:left="215"/>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Where Net Income is Presented</w:t>
            </w: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840" w:type="dxa"/>
            <w:vAlign w:val="bottom"/>
            <w:tcBorders>
              <w:bottom w:val="single" w:sz="8" w:color="CCEEFF"/>
            </w:tcBorders>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expense—net</w:t>
            </w:r>
          </w:p>
        </w:tc>
      </w:tr>
      <w:tr>
        <w:trPr>
          <w:trHeight w:val="225"/>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from)income</w:t>
            </w:r>
          </w:p>
        </w:tc>
      </w:tr>
      <w:tr>
        <w:trPr>
          <w:trHeight w:val="234"/>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w:t>
            </w:r>
          </w:p>
        </w:tc>
        <w:tc>
          <w:tcPr>
            <w:tcW w:w="184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1840" w:type="dxa"/>
            <w:vAlign w:val="bottom"/>
            <w:tcBorders>
              <w:bottom w:val="single" w:sz="8" w:color="auto"/>
            </w:tcBorders>
            <w:shd w:val="clear" w:color="auto" w:fill="CCEEFF"/>
          </w:tcPr>
          <w:p>
            <w:pPr>
              <w:jc w:val="right"/>
              <w:ind w:right="165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FOREIGN CURRENCY DERIVATIVES</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including forward contracts,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of one month. We record changes in the fair value of forward exchange contracts related to balance sheet accounts as Other expense—net in the condensed consolidated statement of operations.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Additionally, independent of any hedging activities, fluctuations in foreign currency exchange rates may cause us to recognize transaction gains and losses in Other expense—net in our condensed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and GBP could adversely impact our operating expenses in the future.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notional amount of our forward exchange contract to hedge balance sheet accounts were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w w:val="99"/>
              </w:rPr>
              <w:t>Buy/Sell</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9600" w:type="dxa"/>
            <w:vAlign w:val="bottom"/>
            <w:gridSpan w:val="5"/>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Currency—As of September 30, 2015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6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96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Sell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9,653</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6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3"/>
        </w:trPr>
        <w:tc>
          <w:tcPr>
            <w:tcW w:w="9600" w:type="dxa"/>
            <w:vAlign w:val="bottom"/>
            <w:gridSpan w:val="5"/>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Currency—As of December 31, 2014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43"/>
        </w:trPr>
        <w:tc>
          <w:tcPr>
            <w:tcW w:w="96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Buy</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6,879</w:t>
            </w:r>
          </w:p>
        </w:tc>
      </w:tr>
      <w:tr>
        <w:trPr>
          <w:trHeight w:val="27"/>
        </w:trPr>
        <w:tc>
          <w:tcPr>
            <w:tcW w:w="4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2015, the fair value of the forward exchange contract was not material.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son of one member of our Board of Directors (“Board”) is a partner in an outside law firm that we utilize for certain complex litigation matters. Expenses for legal services provided by the law firm related to matters that arose subsequent to the member joining our Board were $0.9 million each for the three months ended September 30, 2015 and September 30, 2014, respectively. Expenses for legal services provided by the law firm related to matters that arose subsequent to the member joining our Board were $3.7 million and $1.7 million for the nine months ended September 30, 2015 and September 30, 2014, respectively. Amounts due and payable to the law firm were $1.4 million and $1.3 million as of September 30, 2015 and December 31, 2014,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and Section 21E of the Exchange Act. These statements include, among other things, statements concerning our expectations regarding:</w:t>
      </w:r>
    </w:p>
    <w:p>
      <w:pPr>
        <w:spacing w:after="0" w:line="50"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growth and market share gains;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proportion of our revenue that consists of our product and service revenue, and the mix of billings between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our product innovation strategy;</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4" w:lineRule="auto"/>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growing our sales to enterprises, service providers, and government organizations, and the impact of sales to these organizations on our long-term growth, expansion, and operating results;</w:t>
      </w:r>
    </w:p>
    <w:p>
      <w:pPr>
        <w:spacing w:after="0" w:line="158"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costs of revenue, and gross margin;</w:t>
      </w:r>
    </w:p>
    <w:p>
      <w:pPr>
        <w:spacing w:after="0" w:line="225" w:lineRule="exact"/>
        <w:rPr>
          <w:rFonts w:ascii="Times New Roman" w:cs="Times New Roman" w:eastAsia="Times New Roman" w:hAnsi="Times New Roman"/>
          <w:sz w:val="18"/>
          <w:szCs w:val="18"/>
          <w:color w:val="auto"/>
        </w:rPr>
      </w:pPr>
    </w:p>
    <w:p>
      <w:pPr>
        <w:ind w:left="1300" w:right="240" w:hanging="644"/>
        <w:spacing w:after="0" w:line="28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research and development expense, sales and marketing expense, general and administrative expense, and expectations regarding these expenses as a percentage of revenue;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research and development;</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sales and marketing, and the impact of those investments;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uncertain tax benefits and our effective tax 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expectations regarding spending related to capital expenditures;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markets;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integration of acquired companies and technologies;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implementation of a new enterprise resource planning (“ERP”) system;</w:t>
      </w:r>
    </w:p>
    <w:p>
      <w:pPr>
        <w:spacing w:after="0" w:line="225" w:lineRule="exact"/>
        <w:rPr>
          <w:rFonts w:ascii="Times New Roman" w:cs="Times New Roman" w:eastAsia="Times New Roman" w:hAnsi="Times New Roman"/>
          <w:sz w:val="18"/>
          <w:szCs w:val="18"/>
          <w:i w:val="1"/>
          <w:iCs w:val="1"/>
          <w:color w:val="auto"/>
        </w:rPr>
      </w:pPr>
    </w:p>
    <w:p>
      <w:pPr>
        <w:ind w:left="1300" w:right="40" w:hanging="644"/>
        <w:spacing w:after="0" w:line="284"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 and</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statements regarding our future operations, financial condition and prospects and business strategies.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provide high performance cybersecurity solutions to some of the largest enterprises, service providers and government organizations across the globe, including a majority of the 2015 Fortune 100. Our cybersecurity solutions are fast, secure and designed to provide broad, rapid protection against dynamic security threats while simplifying the IT infrastructure of our end-customers worldwide.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flagship integrated network security solution consists of our FortiGate physical, virtual machine and cloud platforms, which are deployable in large and mid-size enterprises, service provider and small and medium-sized business environments, as well as government organizations. These platforms provide a broad array of integrated security and networking functions to help protect data, applications, and users from network- and content-level security threats. These functions, which can be integrated in a variety of ways, include firewall, intrusion prevention, anti-malware, application control, virtual private network, web-filtering, vulnerability management, anti-spam, mobile security, wireless controller, and wide area network acceleration. Our FortiGate appliance platforms may be deployed as next generation firewalls, data center firewalls, unified threat management systems, internal segmentation firewalls, virtual machine firewalls or cloud firewalls. For access networks, we offer our wireless access points and switch appliances, which integrate wireless access point capabilities into the FortiGate network security platform.</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FortiGate platform includes our FortiASICs, which are specifically designed for accelerated processing of security and networking functions, and our FortiOS operating system, which provides the foundation for all FortiGate security functions. Our FortiGuard security subscription and FortiCare technical support services provide end-customers with access to dynamic updates to our application control, anti-malware, intrusion prevention, web filtering, and anti-spam functionality. Our security subscription services are based in part on intelligence gathered by FortiGuard Labs, a large team of threat researchers who detect threats and help protect our customers. By combining multiple proprietary security and networking functions with our purpose-built FortiASIC and FortiOS, our FortiGate solution delivers broad protection against dynamic security threats while reducing the operational burden and costs associated with managing multiple point products.</w:t>
      </w:r>
    </w:p>
    <w:p>
      <w:pPr>
        <w:spacing w:after="0" w:line="18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complement our FortiGate product line with the FortiManager and FortiAnalyzer product families. FortiManager provides customers with centralized management of multiple FortiGate appliances while FortiAnalyzer provides customers with a single point of network log data collection. These products enable customers to implement security policies across large networks. The FortiGate platform can be expanded with a number of other security systems including email (FortiMail), endpoint (FortiClient), wireless access points (FortiAP), advanced threat protection (FortiSandbox), and application security (FortiWAF, FortiADC, and FortiDDoS).</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virtual appliances for the FortiGate, FortiManager, FortiAnalyzer, FortiWeb, FortiMail, FortiCache, and FortiADC product lines that can be used in conjunction with traditional Fortinet physical appliances, such as FortiGate, FortiManager, and FortiAnalyzer, to help ensure the visibility, management, and protection of physical and virtual environments. We also offer on-demand cloud-based versions of FortiGate and FortiWeb.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9" w:lineRule="exact"/>
        <w:rPr>
          <w:sz w:val="20"/>
          <w:szCs w:val="20"/>
          <w:color w:val="auto"/>
        </w:rPr>
      </w:pPr>
    </w:p>
    <w:p>
      <w:pPr>
        <w:ind w:left="660" w:hanging="328"/>
        <w:spacing w:after="0" w:line="25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total revenue of $260.1 million and $712.7 million for the three and nine months ended September 30, 2015, respectively, an increase of 35% and 30%, respectively, compared to the same periods last year. Product revenue was $119.7 million and $332.0 million during the three and nine months ended September 30, 2015, respectively, an increase of 36% and 33%, respectively, compared to the same periods last year. Service revenue was $140.3 million and $380.7 million for the three and nine months ended September 30, 2015, an increase of 33% and 28%, respectively, compared to the same periods last year.</w:t>
      </w:r>
    </w:p>
    <w:p>
      <w:pPr>
        <w:spacing w:after="0" w:line="18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$1.17 billion as of September 30, 2015, an increase of $177.9 million, or 18%, from December 31, 2014.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$706.9 million as of September 30, 2015, an increase of $148.2 million, or 27%, from December 31, 2014</w:t>
      </w:r>
      <w:r>
        <w:rPr>
          <w:rFonts w:ascii="Times New Roman" w:cs="Times New Roman" w:eastAsia="Times New Roman" w:hAnsi="Times New Roman"/>
          <w:sz w:val="18"/>
          <w:szCs w:val="18"/>
          <w:color w:val="0000FF"/>
        </w:rPr>
        <w:t>.</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$214.0 million during the nine months ended September 30, 2015, an increase of $52.8 million, or 33%, compared to the same period last year.</w:t>
      </w:r>
    </w:p>
    <w:p>
      <w:pPr>
        <w:spacing w:after="0" w:line="16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2015, we acquired Meru Networks, Inc. (“Meru”), which offers Wi-Fi networking solutions, for total consideration of $41.8 million. In connection with the acquisition of Meru, we initiated planned cost reduction and restructuring activities to improve our cost structure and operational efficiencies, resulting in workforce reductions, consolidation of certain real estate facilities, asset write-downs, contract terminations and other charges. Restructuring charges for the three months ended September 30, 2015 were $5.9 million.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Revenue grew as our integrated security platform products put us in a strong competitive position in a robust security market. We continue to strengthen partnerships with enterprise resellers and gain from our prior sales investments. In addition, we continue to execute our strategy of selling to enterprise customers and landing large deals with some of these customers. Enterprise customers have vast infrastructures and we believe this will provide abundant expansion opportunities for us in the future. Our strategy is enabling us to gain market share, win new customers, and expand within existing customer accounts, especially in the large enterprise market which is key to our long-term growth and profitability strategy. Large enterprises represent significant opportunity for cross-sell and upsell as they tend to purchase more products and services over time, yielding substantial lifetime value. Aside from obtaining new customers, other levers to drive long-term growth and operating leverage include adding more functionality and value in our security subscription and support service offerings to customers.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2015, our revenue growth was primarily driven by our growth in the large enterprise and service provider markets, as well as strong performance across all regions. We also continued to see diversity of product billings across all product categories. During the three months ended September 30, 2015, our high-end products (FortiGate 1000 to 5000 series) accounted for 38% of billings. Our mid-range products (FortiGate 200 to 800 series) accounted for 26% of billings, and our entry-level products (FortiGate 20 to 100 series) accounted for 36%of billings. During the three months ended September 30, 2014, our high-end products (FortiGate1000 to 5000 series) accounted for 35% of billings. Our mid-range products (FortiGate 200 to 800 series) accounted for 29% of billings, and our entry-level products (FortiGate 20 to 100 series) accounted for 36% of billings.</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2015, operating expenses increased compared to the same periods last year. The increase was primarily driven by our accelerated pace of hiring and continued investments to expand our sales coverage, grow our marketing capabilities, develop new products, and scale our customer support. In addition, we incurred costs from the integration of Meru along with the implementation of restructuring activities. Headcount, including full time equivalent employees, increased by 43% to 3,889 as of September 30, 2015 from 2,721 as of September 30,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Financial Metrics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monitor the key financial metrics set forth below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2015</w:t>
            </w:r>
          </w:p>
        </w:tc>
        <w:tc>
          <w:tcPr>
            <w:tcW w:w="26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3"/>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260,068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193,348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706,911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500,012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19,810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Billings (non-GAAP)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299,618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213,158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1,169,664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963,759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65,065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56,518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51,740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50,738</w:t>
            </w:r>
          </w:p>
        </w:tc>
      </w:tr>
      <w:tr>
        <w:trPr>
          <w:trHeight w:val="27"/>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deferred revenue balance consists of the unamortized portion of services revenue from FortiGuard security subscription and FortiCare technical support service contracts. We monitor our deferred revenue balance because it represents a significant portion of revenue to be recognized in future periods. Total deferred revenue as of September 30, 2015 increased by $206.9 million or 41% year-over-year. Total deferred revenue as of September 30, 2015 of $706.9 million included deferred revenue relating to Meru of $14.0 million, or 2% of total deferred revenue. Excluding Meru, our deferred revenue was $692.9 million and increased by $192.9 million or 39% compared to a year ago.</w:t>
      </w:r>
    </w:p>
    <w:p>
      <w:pPr>
        <w:spacing w:after="0" w:line="183"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Billings (Non-GAAP).</w:t>
      </w:r>
      <w:r>
        <w:rPr>
          <w:rFonts w:ascii="Times New Roman" w:cs="Times New Roman" w:eastAsia="Times New Roman" w:hAnsi="Times New Roman"/>
          <w:sz w:val="18"/>
          <w:szCs w:val="18"/>
          <w:color w:val="auto"/>
        </w:rPr>
        <w:t>We define billings as revenue recognized plus the change in deferred revenue from the beginning to the end of the period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revenue balances acquired from business combination(s) during the period. We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consider billings to be a useful metric for management and investors because billings drives deferred revenue, which is an important indicator of the health and viability of our business. There are a number of limitations related to the use of billings versus revenue calculated in accordance with GAAP. First, billings include amounts that have not yet been recognized as revenue. Second, we may calculate billings in a manner that is different from peer companies that report similar financial measures. Management compensates for these limitations by providing specific information regarding GAAP revenue and evaluating billings together with revenue calculated in accordance with GAAP.</w:t>
      </w:r>
    </w:p>
    <w:p>
      <w:pPr>
        <w:spacing w:after="0" w:line="18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Total billings increased by $86.5 million, or 41%, during the three months ended September 30, 2015 compared to the same period last year. Total billings for the three months ended September 30, 2015 of $299.6 million included Meru’s billings from July 8, 2015 to September 30, 2015 of $16.2 million, or 5% of total billings. Excluding Meru, our billings were $283.4 million and increased 33% compared to the same period last year.</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billings to revenue, the most directly comparable financial measure calculated and presented in accordance with GAAP, is provided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total consolidated GAAP revenue to billings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5"/>
          </w:tcPr>
          <w:p>
            <w:pPr>
              <w:jc w:val="right"/>
              <w:ind w:right="9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5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5"/>
          </w:tcPr>
          <w:p>
            <w:pPr>
              <w:jc w:val="right"/>
              <w:ind w:right="117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7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193,348</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increase in deferred revenue</w:t>
            </w:r>
          </w:p>
        </w:tc>
        <w:tc>
          <w:tcPr>
            <w:tcW w:w="2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19,810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billings (Non-GAAP)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299,618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213,158</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Reconciliation of Meru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GAAP revenue to billings</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313"/>
              <w:spacing w:after="0"/>
              <w:rPr>
                <w:sz w:val="20"/>
                <w:szCs w:val="20"/>
                <w:color w:val="auto"/>
              </w:rPr>
            </w:pPr>
            <w:r>
              <w:rPr>
                <w:rFonts w:ascii="Times New Roman" w:cs="Times New Roman" w:eastAsia="Times New Roman" w:hAnsi="Times New Roman"/>
                <w:sz w:val="16"/>
                <w:szCs w:val="16"/>
                <w:b w:val="1"/>
                <w:bCs w:val="1"/>
                <w:color w:val="auto"/>
              </w:rPr>
              <w:t>For the period</w:t>
            </w:r>
          </w:p>
        </w:tc>
        <w:tc>
          <w:tcPr>
            <w:tcW w:w="0" w:type="dxa"/>
            <w:vAlign w:val="bottom"/>
          </w:tcPr>
          <w:p>
            <w:pPr>
              <w:spacing w:after="0"/>
              <w:rPr>
                <w:sz w:val="1"/>
                <w:szCs w:val="1"/>
                <w:color w:val="auto"/>
              </w:rPr>
            </w:pPr>
          </w:p>
        </w:tc>
      </w:tr>
      <w:tr>
        <w:trPr>
          <w:trHeight w:val="247"/>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July 8, 2015 through</w:t>
            </w:r>
          </w:p>
        </w:tc>
        <w:tc>
          <w:tcPr>
            <w:tcW w:w="0" w:type="dxa"/>
            <w:vAlign w:val="bottom"/>
          </w:tcPr>
          <w:p>
            <w:pPr>
              <w:spacing w:after="0"/>
              <w:rPr>
                <w:sz w:val="1"/>
                <w:szCs w:val="1"/>
                <w:color w:val="auto"/>
              </w:rPr>
            </w:pPr>
          </w:p>
        </w:tc>
      </w:t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September 30, 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33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7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12,025</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 increase in deferred revenue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billings (Non-GAAP)</w:t>
            </w:r>
          </w:p>
        </w:tc>
        <w:tc>
          <w:tcPr>
            <w:tcW w:w="2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16,218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 minus capital expenditures (purchases of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We consider free cash flow to be a liquidity measure that provides useful information to management and investors about the amount of cash generated by the business that, after the acquisition of property and equipment, can be used for strategic opportunities, including investing in our business, making strategic acquisitions, repurchasing outstanding common stock, and strengthening the balance sheet. Analysis of free cash flow facilitates management’s comparisons of our operating results to competitors’ operating results. A limitation of using free cash flow versus the GAAP measure of net cash provided by operating activities as a means for evaluating liquidity is that free cash flow does not represent the total increase or decrease in the cash, cash equivalents and investments balance for the period because free cash flow excludes cash used for capital expenditures and also excludes cash provided by or used for other investing and financing activities. Management compensates for this limitation by providing information about our capital expenditures and other investing and financing activities on the face of the cash flow statement and under “—Liquidity and Capital Resources.” A reconciliation of free cash flow to net cash provided by operating activities, the most directly comparable financial measure calculated and presented in accordance with GAAP, is provided below:</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934"/>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4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gridSpan w:val="4"/>
          </w:tcPr>
          <w:p>
            <w:pPr>
              <w:jc w:val="right"/>
              <w:ind w:right="1174"/>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7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56,518</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51,740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50,738</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expenses, and related disclosures. Our estimates include those related to revenue recognition, stock-based compensation expense, valuation of inventory, warranty liabilities, investments, business combinations, restructuring charges, goodwill and other long-lived assets, and accounting for income taxes.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of and for the three and nine months ended September 30, 2015, as compared to the critical accounting policies and estimates described in the Form 10-K, except for the inclusion of policies related to business combinations and restructuring charges.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—We include the results of operations of the businesses that we acquire as of the respective dates of acquisition. We allocate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220"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b w:val="1"/>
          <w:bCs w:val="1"/>
          <w:color w:val="auto"/>
        </w:rPr>
        <w:t>Restructuring charges</w:t>
      </w:r>
      <w:r>
        <w:rPr>
          <w:rFonts w:ascii="Times New Roman" w:cs="Times New Roman" w:eastAsia="Times New Roman" w:hAnsi="Times New Roman"/>
          <w:sz w:val="18"/>
          <w:szCs w:val="18"/>
          <w:color w:val="auto"/>
        </w:rPr>
        <w:t>—We recognize liability for exit and disposal activities when the liability is incurred. Our restructuring charges consist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one-time termination benefits related to the reduction of our workforce, contract-termination costs, such as lease exit costs, and other costs. Liabilities for costs associated with a restructuring activity are measured at fair value and are recognized when the liability is incurred. One-time termination benefits are expensed at the date we notify the employee, unless the employee must provide future service, in which case the benefits are expensed ratably over the future service period. A liability for contract-termination costs represents a liability for costs to terminate a contract before the end of its term and is recognized at fair value when we terminate the contract in accordance with the contract terms, which is usually done by giving written notice to the counterparty within the notification period specified by the contract or by otherwise negotiating a termination with the counterparty. A liability for costs that will continue to be incurred under a contract for its remaining term without economic benefit to the entity is recognized at the cease-use date. Costs to terminate a lease before the end of its term are recognized when the property is vacated. Other costs primarily consist of asset write-offs and consulting fees, which are expensed when incurred.</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continually evaluate the adequacy of the remaining liabilities under our restructuring initiatives. Although we believe that these estimates accurately reflect the costs of our restructuring plans, actual results may differ and thereby require us to record an additional provision or reverse a portion of such a provision.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See Note 1 to the notes to the condensed consolidated financial statements included in Part I, Item 1 of this Form 10-Q for information regarding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2015 and September 30,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119,737</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87,731</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32,006</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105,617</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34,714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260,068</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66,720</w:t>
            </w:r>
          </w:p>
        </w:tc>
        <w:tc>
          <w:tcPr>
            <w:tcW w:w="1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82,218</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30,947</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91,740</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66,157</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25,583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44,973</w:t>
            </w: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10,190</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260,068</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193,348</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66,720</w:t>
            </w:r>
          </w:p>
        </w:tc>
        <w:tc>
          <w:tcPr>
            <w:tcW w:w="1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Total revenue increased by $66.7 million, or 35%, during the three months ended September 30, 2015 compared to the same period last year. Total revenue for the three months ended September 30, 2015 included Meru’s revenue from the date of acquisition of $12.0 million, or 5% of total revenue. Excluding Meru, total revenue was $248.0 million, an increase of 28% compared to the same period last year. Product revenue increased by $32.0 million, or 36%, during the three months ended September 30, 2015 compared to the same period last year, of which $9.5 million related to Meru. The increase in product revenue was primarily driven by greater sales volume in our FortiGate product family due to increased demand for each of our high-end, mid-range and entry-level product categories, and in particular for our entry-level products for large enterprise customers. Service revenue increased by $34.7 million, or 33%, during the three months ended September 30, 2015 compared to the same period last year due to the recognition of revenue from our deferred revenue balance consisting of FortiGuard security subscription and FortiCare technical support contracts sold to a larger customer base, particularly our enterprise customers, as well as the renewals of similar contracts sold in earlier periods. The Americas region grew by 38% primarily driven by increased sales to large service provider and enterprise customers. The EMEA region grew by 39% due to strong sales performance across the region. The APAC region grew by 23% as we saw continued growth in certain parts of the region.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9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Product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46,167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35,636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10,531</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25,534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21,249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4,285</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Times New Roman" w:cs="Times New Roman" w:eastAsia="Times New Roman" w:hAnsi="Times New Roman"/>
                <w:sz w:val="18"/>
                <w:szCs w:val="18"/>
                <w:color w:val="auto"/>
                <w:w w:val="98"/>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71,701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56,885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14,816</w:t>
            </w: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Product</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960" w:type="dxa"/>
            <w:vAlign w:val="bottom"/>
          </w:tcPr>
          <w:p>
            <w:pPr>
              <w:spacing w:after="0"/>
              <w:rPr>
                <w:sz w:val="21"/>
                <w:szCs w:val="21"/>
                <w:color w:val="auto"/>
              </w:rPr>
            </w:pPr>
          </w:p>
        </w:tc>
      </w:tr>
    </w:tbl>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Total gross margin increased by 1.8 percentage points during the three months ended September 30, 2015 compared to the same period last year as both product and service gross margins increased. Product gross margin increased by 2.0</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percentage points during the three months ended September 30, 2015 compared to the same period last year, primarily due to higher sales of software products such as certain of our virtualized security solutions and inventory management efficiencies.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Service gross margin increased by 1.9 percentage points during the three months ended September 30, 2015 compared to the same period last year as we scale efficiencies resulting from our ability to add more functionality and value to our FortiGuard security subscription and FortiCare technical support offerings, which have translated into improved service margin. Cost of service revenue increased by $4.3 million primarily due to an increase in personnel costs, including stock-based compensation expense, as a result of increased headcount.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4"/>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120,994</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80,433</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40,561</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21,220</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15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11,431</w:t>
            </w: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190,207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69,195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$11.3 million, or 37%, during the three months ended September 30, 2015 compared to the same period last year, primarily due to an increase of $6.2 million in personnel costs and $2.2 million in stock-based compensation expense as a result of increased headcount to support the development of new products and continued enhancements of our existing products. In addition, we incurred higher depreciation of $1.3 million, higher product development expenses, such as third-party testing, prototypes and supplies of $1.0 million, and various higher other costs of $0.4 million. We intend to continue to invest in our research and development organization and integrate personnel from our acquisition of Meru, but expect research and development expense as a percentage of total revenue will decrease during the remainder of 2015.</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Sales and marketing expense increased by $40.6 million, or 50%, during the three months ended September 30, 2015 compared to the same period last year, primarily due to an increase of $21.2 million in personnel costs and $6.5 million in stock-based compensation expense, as we continued to increase our sales headcount. Marketing-related expense increased by $3.5 million as we invested significantly in marketing programs to capture market share, particularly in the enterprise market, including costs related to trade-shows and lead generation. Travel expense increased by $2.9 million and depreciation and other occupancy-related costs increased by $2.5 million. Amortization expense increased by $0.7 million related to Meru's acquired intangible assets. As a percentage of total revenue, sales and marketing expense increased as we accelerated the investment in our sales force and marketing programs to drive future growth. We intend to continue to make investments in our sales resources and infrastructure and marketing strategy, which are critical to support growth, but expect sales and marketing expense as a percentage of total revenue to decrease during the remainder of 2015.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$11.4 million, or 117%, during the three months ended September 30, 2015 compared to the same period last year. Personnel costs increased by $3.4 million and stock-based compensation expense increased by $2.4 million, as we continued to increase our headcount in order to support our expanding business. In addition, legal, tax and professional fees increased by $1.3 million. We also incurred $2.5 million in expenses related to business process design and reengineering in preparation of an ERP system implementation and $0.9 million of transaction costs related to the Meru acquisition. As a percentage of total revenue, we expect general and administrative expense to decrease during the remainder of 2015.</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Restructuring charges of $5.9 million during the three months ended September 30, 2015 relate to the restructuring activities in connection with the Meru acquisition to reduce our cost structure and improve operational efficiencies. See Note 10 to the condensed consolidated financial statements for additional details, including types of expenses incurred and the timing of future expenses and cash payments. See also the Liquidity and Capital Resources section of this Item 2, 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2"/>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2014</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7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4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1,339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(6)</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500" w:type="dxa"/>
            <w:vAlign w:val="bottom"/>
          </w:tcPr>
          <w:p>
            <w:pPr>
              <w:spacing w:after="0"/>
              <w:rPr>
                <w:sz w:val="21"/>
                <w:szCs w:val="21"/>
                <w:color w:val="auto"/>
              </w:rPr>
            </w:pPr>
          </w:p>
        </w:tc>
        <w:tc>
          <w:tcPr>
            <w:tcW w:w="178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352</w:t>
            </w:r>
          </w:p>
        </w:tc>
        <w:tc>
          <w:tcPr>
            <w:tcW w:w="1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w:t>
            </w:r>
          </w:p>
        </w:tc>
      </w:tr>
    </w:tbl>
    <w:p>
      <w:pPr>
        <w:spacing w:after="0" w:line="30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Interest income remained relatively consistent during the three months ended September 30, 2015 compared to the same period last year. Interest income primarily includes interest earned on our cash, cash equivalents, and investments. Interest income varies depending on our average investment balances during the period, types and mix of investments, and market interest rates. The decrease in Other expense—net for the three months ended September 30, 2015 when compared to the same period last year, was the result of lower foreign currency exchange losses.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80" w:type="dxa"/>
            <w:vAlign w:val="bottom"/>
            <w:gridSpan w:val="3"/>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7"/>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18"/>
                <w:szCs w:val="18"/>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2014</w:t>
            </w:r>
          </w:p>
        </w:tc>
        <w:tc>
          <w:tcPr>
            <w:tcW w:w="500" w:type="dxa"/>
            <w:vAlign w:val="bottom"/>
          </w:tcPr>
          <w:p>
            <w:pPr>
              <w:spacing w:after="0"/>
              <w:rPr>
                <w:sz w:val="18"/>
                <w:szCs w:val="18"/>
                <w:color w:val="auto"/>
              </w:rPr>
            </w:pPr>
          </w:p>
        </w:tc>
        <w:tc>
          <w:tcPr>
            <w:tcW w:w="1800" w:type="dxa"/>
            <w:vAlign w:val="bottom"/>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00" w:type="dxa"/>
            <w:vAlign w:val="bottom"/>
            <w:gridSpan w:val="3"/>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(9,329)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11,729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(21,058)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804%</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Pr>
          <w:p>
            <w:pPr>
              <w:spacing w:after="0"/>
              <w:rPr>
                <w:sz w:val="21"/>
                <w:szCs w:val="21"/>
                <w:color w:val="auto"/>
              </w:rPr>
            </w:pPr>
          </w:p>
        </w:tc>
        <w:tc>
          <w:tcPr>
            <w:tcW w:w="18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730%</w:t>
            </w:r>
          </w:p>
        </w:tc>
        <w:tc>
          <w:tcPr>
            <w:tcW w:w="16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recognized a tax benefit of $9.3 million and a tax expense of $11.7 million on pretax net loss of $1.2 million and pretax net income of $15.8 million during the three months ended September 30, 2015 and 2014, respectively. Our effective tax rate was 804% for the three months ended September 30, 2015. The benefit for income taxes for the three months ended September 30, 2015 was comprised primarily of foreign income taxes, foreign withholding taxes, and transfer pricing allocations which impact jurisdictional income taxed at various tax rates. </w:t>
      </w:r>
      <w:r>
        <w:rPr>
          <w:rFonts w:ascii="Times New Roman" w:cs="Times New Roman" w:eastAsia="Times New Roman" w:hAnsi="Times New Roman"/>
          <w:sz w:val="18"/>
          <w:szCs w:val="18"/>
          <w:color w:val="1F497D"/>
        </w:rPr>
        <w:t>T</w:t>
      </w:r>
      <w:r>
        <w:rPr>
          <w:rFonts w:ascii="Times New Roman" w:cs="Times New Roman" w:eastAsia="Times New Roman" w:hAnsi="Times New Roman"/>
          <w:sz w:val="18"/>
          <w:szCs w:val="18"/>
          <w:color w:val="auto"/>
        </w:rPr>
        <w:t>he tax provision benefit also included additional tax benefits related to discrete items, such as the increase of the prior year’s federal research and development credit, the release of previously unrecognized tax benefits and a tax benefit related to a recent U.S. Tax Court opinion based on which we recognized the tax benefit due to the exclusion of the stock-based compensation from intercompany charges in prior periods</w:t>
      </w:r>
      <w:r>
        <w:rPr>
          <w:rFonts w:ascii="Times New Roman" w:cs="Times New Roman" w:eastAsia="Times New Roman" w:hAnsi="Times New Roman"/>
          <w:sz w:val="18"/>
          <w:szCs w:val="18"/>
          <w:color w:val="1F497D"/>
        </w:rPr>
        <w:t>.</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 was 74% for the three months ended September 30, 2014. The provision for income taxes for the three months ended September 30, 2014 was comprised of U.S. federal and state taxes, Singapore and other foreign income taxes, withholding tax, discrete taxes resulting from an increase in tax reserves, as well as the inclusion of stock compensation benefits and transfer pricing allocations which impact jurisdictional income taxed at various tax rates.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reasonably possible that over the next twelve-month period, we may experience increases or decreases in our unrecognized tax benefits.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it is not possible to determine either the magnitude or the range of increases or decreases at this time.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2015 and September 30,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6"/>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332,023</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249,880</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82,143</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380,716</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296,515</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84,201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712,739</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546,395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166,344</w:t>
            </w:r>
          </w:p>
        </w:tc>
        <w:tc>
          <w:tcPr>
            <w:tcW w:w="1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313,318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233,035</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80,283</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250,808</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185,354</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65,454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148,613</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128,006</w:t>
            </w:r>
          </w:p>
        </w:tc>
        <w:tc>
          <w:tcPr>
            <w:tcW w:w="152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20,607</w:t>
            </w:r>
          </w:p>
        </w:tc>
        <w:tc>
          <w:tcPr>
            <w:tcW w:w="14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712,739</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546,395</w:t>
            </w: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166,344</w:t>
            </w:r>
          </w:p>
        </w:tc>
        <w:tc>
          <w:tcPr>
            <w:tcW w:w="1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Total revenue increased by $166.3 million, or 30%, during the nine months ended September 30, 2015 compared to the same period last year. Total revenue for the nine months ended September 30, 2015 included Meru’s revenue from the date of acquisition of $12.0 million, or 2% of total</w:t>
      </w:r>
    </w:p>
    <w:p>
      <w:pPr>
        <w:spacing w:after="0" w:line="252" w:lineRule="auto"/>
        <w:rPr>
          <w:sz w:val="20"/>
          <w:szCs w:val="20"/>
          <w:color w:val="auto"/>
        </w:rPr>
      </w:pPr>
      <w:r>
        <w:rPr>
          <w:rFonts w:ascii="Times New Roman" w:cs="Times New Roman" w:eastAsia="Times New Roman" w:hAnsi="Times New Roman"/>
          <w:sz w:val="18"/>
          <w:szCs w:val="18"/>
          <w:color w:val="auto"/>
        </w:rPr>
        <w:t>revenue. Excluding Meru, total revenue was $700.7 million, an increase of 28% compared to the same period last year. Product revenue increased by $82.1 million, or 33%, during the nine months ended September 30, 2015 compared to the same period last year, of which $9.5 million, or 1% of total revenue related to Meru. The increase in product revenue was primarily driven by greater sales volume in our FortiGate product family due to increased demand for each of our high-end, mid-range and entry-level product categories, and in particular for our high-end products for large enterprise customers. Service revenue increased by $84.2 million, or 28%, during the nine months ended September 30, 2015 compared to the same period last year due to the recognition of revenue from our deferred revenue balance consisting of FortiGuard security subscription and FortiCare technical support contracts sold to a larger customer base, particularly our large enterprise customers, as well as the renewals of similar contracts sold in earlier periods. All three regions experienced revenue growth compared to the same period last year, with EMEA contributing the largest portion of our revenue growth on a percentage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2"/>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96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Product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134,932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105,230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29,702</w:t>
            </w:r>
          </w:p>
        </w:tc>
        <w:tc>
          <w:tcPr>
            <w:tcW w:w="19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69,869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60,155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9,714</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16</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Times New Roman" w:cs="Times New Roman" w:eastAsia="Times New Roman" w:hAnsi="Times New Roman"/>
                <w:sz w:val="18"/>
                <w:szCs w:val="18"/>
                <w:color w:val="auto"/>
                <w:w w:val="98"/>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204,801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165,385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39,416</w:t>
            </w:r>
          </w:p>
        </w:tc>
        <w:tc>
          <w:tcPr>
            <w:tcW w:w="196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Product</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Times New Roman" w:cs="Times New Roman" w:eastAsia="Times New Roman" w:hAnsi="Times New Roman"/>
                <w:sz w:val="18"/>
                <w:szCs w:val="18"/>
                <w:color w:val="auto"/>
                <w:w w:val="99"/>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960" w:type="dxa"/>
            <w:vAlign w:val="bottom"/>
          </w:tcPr>
          <w:p>
            <w:pPr>
              <w:spacing w:after="0"/>
              <w:rPr>
                <w:sz w:val="21"/>
                <w:szCs w:val="21"/>
                <w:color w:val="auto"/>
              </w:rPr>
            </w:pPr>
          </w:p>
        </w:tc>
      </w:tr>
    </w:tbl>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Total gross margin increased by 1.6 percentage points during the nine months ended September 30, 2015 compared to the same period last year, as both product and service gross margins increased. Product gross margin increased by 1.5 percentage points during the nine months ended September 30, 2015 compared to the same period last year, primarily due to a greater mix of high-end FortiGate product sales compared to the same period last year. In addition, product gross margin was positively impacted by higher sales of software products such as certain of our virtualized security solutions, as well as inventory management efficiencies.</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Service gross margin increased by 1.9 percentage points during the nine months ended September 30, 2015 as compared to the same period last year as we scaled efficiencies resulting from our ability to add more functionality and value 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FortiGuard security subscription and FortiCare technical support offerings, which have translated into improved service margins. Cost of service revenue increased by $9.7 million primarily due to an increase in personnel costs and a $0.9 million increase in stock-based compensation expense, as a result of increased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3"/>
          </w:tcPr>
          <w:p>
            <w:pPr>
              <w:jc w:val="right"/>
              <w:ind w:right="1077"/>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3"/>
          </w:tcPr>
          <w:p>
            <w:pPr>
              <w:jc w:val="center"/>
              <w:ind w:right="1034"/>
              <w:spacing w:after="0"/>
              <w:rPr>
                <w:sz w:val="20"/>
                <w:szCs w:val="20"/>
                <w:color w:val="auto"/>
              </w:rPr>
            </w:pPr>
            <w:r>
              <w:rPr>
                <w:rFonts w:ascii="Times New Roman" w:cs="Times New Roman" w:eastAsia="Times New Roman" w:hAnsi="Times New Roman"/>
                <w:sz w:val="16"/>
                <w:szCs w:val="16"/>
                <w:b w:val="1"/>
                <w:bCs w:val="1"/>
                <w:color w:val="auto"/>
                <w:w w:val="99"/>
              </w:rPr>
              <w:t>2014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2"/>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115,315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89,783</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25,532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333,531</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222,576</w:t>
            </w:r>
          </w:p>
        </w:tc>
        <w:tc>
          <w:tcPr>
            <w:tcW w:w="152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110,955</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32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150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29,243</w:t>
            </w:r>
          </w:p>
        </w:tc>
        <w:tc>
          <w:tcPr>
            <w:tcW w:w="1520" w:type="dxa"/>
            <w:vAlign w:val="bottom"/>
            <w:gridSpan w:val="3"/>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21,956</w:t>
            </w: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5,883</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3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505,928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341,602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164,326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$25.5 million, or 28%, during the nine months ended September 30, 2015 compared to the same period last year, primarily due to an increase of $14.1 million in personnel costs and $4.8 million in stock-based compensation expense as a result of increased headcount to support the development of new products and continued enhancements of our existing products. Depreciation expense and other occupancy-related costs increased by $2.3 million and costs of test supplies and prototype materials used in product development increased by $1.4 million. In addition, during the nine months ended September 30, 2014, we had a reversal of $3.0 million related to a previously recorded liability for estimated contingent consideration.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increased by $111.0 million, or 50%, during the nine months ended September 30, 2015 compared to the same period last year, primarily due to an increase of $61.2 million in personnel costs and $15.6 million in stock-based compensation expense as we continued to increase our sales headcount. Marketing-related expense increased by $12.1 million as we invested significantly in marketing programs to capture market share, particularly in the large enterprise market, including costs related to trade-shows and lead generation. In addition, travel expenses increased by $6.9 million, supplies expense increased by $3.2 million, and depreciation and other occupancy-related costs increased by $6.4 million. Amortization expense increased by $0.7 million related to Meru’s acquired intangible assets.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$22.0 million, or 75%, during the nine months ended September 30, 2015 compared to the same period last year. Personnel costs increased by $7.4 million and stock-based compensation expense increased by $3.1 million, as we continued to increase our headcount in order to support our expanding business. In addition, legal, tax, and other professional fees increased by $5.9 million. We also incurred $3.9 million in expenses related to business process design and reengineering in preparation of the ERP system implementation and $2.3 million of transaction costs related to the Meru acquisition.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Restructuring charges of $5.9 million during the nine months ended September 30, 2015 relate to the restructuring activities in connection with the Meru acquisition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107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7"/>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2014</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20" w:type="dxa"/>
            <w:vAlign w:val="bottom"/>
            <w:gridSpan w:val="3"/>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4,119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3,991</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128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(192)</w:t>
            </w:r>
          </w:p>
        </w:tc>
        <w:tc>
          <w:tcPr>
            <w:tcW w:w="16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r>
    </w:tbl>
    <w:p>
      <w:pPr>
        <w:spacing w:after="0" w:line="3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Interest income increased during the nine months ended September 30, 2015 compared to the same period last year due to interest earned on higher invested balances of cash, cash equivalents and investments. Interest income varies depending on our average investment balances during the period, types and mix of investments, and market interest rates. The change in Other expense—net for the nine months ended September 30, 2015 when compared to the same period last year, was the result of higher foreign currency exchange losses.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0" w:type="dxa"/>
            <w:vAlign w:val="bottom"/>
            <w:gridSpan w:val="3"/>
          </w:tcPr>
          <w:p>
            <w:pPr>
              <w:jc w:val="right"/>
              <w:ind w:right="115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7"/>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2"/>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ind w:right="755"/>
              <w:spacing w:after="0"/>
              <w:rPr>
                <w:sz w:val="20"/>
                <w:szCs w:val="20"/>
                <w:color w:val="auto"/>
              </w:rPr>
            </w:pPr>
            <w:r>
              <w:rPr>
                <w:rFonts w:ascii="Times New Roman" w:cs="Times New Roman" w:eastAsia="Times New Roman" w:hAnsi="Times New Roman"/>
                <w:sz w:val="16"/>
                <w:szCs w:val="16"/>
                <w:b w:val="1"/>
                <w:bCs w:val="1"/>
                <w:color w:val="auto"/>
              </w:rPr>
              <w:t>2015</w:t>
            </w:r>
          </w:p>
        </w:tc>
        <w:tc>
          <w:tcPr>
            <w:tcW w:w="320" w:type="dxa"/>
            <w:vAlign w:val="bottom"/>
          </w:tcPr>
          <w:p>
            <w:pPr>
              <w:spacing w:after="0"/>
              <w:rPr>
                <w:sz w:val="18"/>
                <w:szCs w:val="18"/>
                <w:color w:val="auto"/>
              </w:rPr>
            </w:pPr>
          </w:p>
        </w:tc>
        <w:tc>
          <w:tcPr>
            <w:tcW w:w="1600" w:type="dxa"/>
            <w:vAlign w:val="bottom"/>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2014</w:t>
            </w:r>
          </w:p>
        </w:tc>
        <w:tc>
          <w:tcPr>
            <w:tcW w:w="500" w:type="dxa"/>
            <w:vAlign w:val="bottom"/>
          </w:tcPr>
          <w:p>
            <w:pPr>
              <w:spacing w:after="0"/>
              <w:rPr>
                <w:sz w:val="18"/>
                <w:szCs w:val="18"/>
                <w:color w:val="auto"/>
              </w:rPr>
            </w:pPr>
          </w:p>
        </w:tc>
        <w:tc>
          <w:tcPr>
            <w:tcW w:w="1820" w:type="dxa"/>
            <w:vAlign w:val="bottom"/>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20" w:type="dxa"/>
            <w:vAlign w:val="bottom"/>
            <w:gridSpan w:val="3"/>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168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(6,552)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22,901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413"/>
              <w:spacing w:after="0"/>
              <w:rPr>
                <w:sz w:val="20"/>
                <w:szCs w:val="20"/>
                <w:color w:val="auto"/>
              </w:rPr>
            </w:pPr>
            <w:r>
              <w:rPr>
                <w:rFonts w:ascii="Times New Roman" w:cs="Times New Roman" w:eastAsia="Times New Roman" w:hAnsi="Times New Roman"/>
                <w:sz w:val="18"/>
                <w:szCs w:val="18"/>
                <w:color w:val="auto"/>
              </w:rPr>
              <w:t>(29,453)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(220)%</w:t>
            </w:r>
          </w:p>
        </w:tc>
        <w:tc>
          <w:tcPr>
            <w:tcW w:w="16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recognized a tax benefit of $6.6 million and a tax expense of $22.9 million on pretax net income of $4.0 million and of $41.4 million during the nine months ended September 30, 2015 and 2014, respectively. Our effective tax rate was a benefit of 165% for the nine months ended September 30,</w:t>
      </w: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2015.The benefit for income taxes for the nine months ended September 30, 2015 was comprised primarily of foreign income taxes, foreign withholding taxes, and transfer pricing allocations which impact jurisdictional income taxed at various tax rates. </w:t>
      </w:r>
      <w:r>
        <w:rPr>
          <w:rFonts w:ascii="Times New Roman" w:cs="Times New Roman" w:eastAsia="Times New Roman" w:hAnsi="Times New Roman"/>
          <w:sz w:val="18"/>
          <w:szCs w:val="18"/>
          <w:color w:val="1F497D"/>
        </w:rPr>
        <w:t>T</w:t>
      </w:r>
      <w:r>
        <w:rPr>
          <w:rFonts w:ascii="Times New Roman" w:cs="Times New Roman" w:eastAsia="Times New Roman" w:hAnsi="Times New Roman"/>
          <w:sz w:val="18"/>
          <w:szCs w:val="18"/>
          <w:color w:val="auto"/>
        </w:rPr>
        <w:t>he tax provision benefit also included additional tax benefits related to discrete items, such as the increase of the prior year’s federal research and development credit, the release of previously unrecognized tax benefits and a tax benefit related to a recent U.S. Tax Court opinion based on which we recognized the tax benefit due to the exclusion of the stock-based compensation from intercompany charges in prior periods</w:t>
      </w:r>
      <w:r>
        <w:rPr>
          <w:rFonts w:ascii="Times New Roman" w:cs="Times New Roman" w:eastAsia="Times New Roman" w:hAnsi="Times New Roman"/>
          <w:sz w:val="18"/>
          <w:szCs w:val="18"/>
          <w:color w:val="1F497D"/>
        </w:rPr>
        <w:t>.</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effective tax rate was 55% for the nine months ended September 30, 2014. The provision for income taxes for the nine months ended September 30, 2014 was comprised of U.S. federal and state taxes, Singapore and other foreign income taxes, withholding tax, discrete taxes resulting from an increase in tax reserves, as well as the inclusion of stock compensation benefits and transfer pricing allocations which impact jurisdictional income taxed at various tax rates.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868680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cash, cash equivalents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1003935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260" w:type="dxa"/>
            <w:vAlign w:val="bottom"/>
          </w:tcPr>
          <w:p>
            <w:pPr>
              <w:spacing w:after="0"/>
              <w:rPr>
                <w:sz w:val="18"/>
                <w:szCs w:val="18"/>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3500" w:type="dxa"/>
            <w:vAlign w:val="bottom"/>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76"/>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540,712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283,254</w:t>
            </w:r>
          </w:p>
        </w:tc>
      </w:tr>
      <w:tr>
        <w:trPr>
          <w:trHeight w:val="270"/>
        </w:trPr>
        <w:tc>
          <w:tcPr>
            <w:tcW w:w="260" w:type="dxa"/>
            <w:vAlign w:val="bottom"/>
          </w:tcPr>
          <w:p>
            <w:pPr>
              <w:spacing w:after="0"/>
              <w:rPr>
                <w:sz w:val="23"/>
                <w:szCs w:val="23"/>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628,952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708,490</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1,169,664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991,744</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48"/>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648,606</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550,409</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r>
      <w:tr>
        <w:trPr>
          <w:trHeight w:val="704"/>
        </w:trPr>
        <w:tc>
          <w:tcPr>
            <w:tcW w:w="260" w:type="dxa"/>
            <w:vAlign w:val="bottom"/>
          </w:tcPr>
          <w:p>
            <w:pPr>
              <w:spacing w:after="0"/>
              <w:rPr>
                <w:sz w:val="24"/>
                <w:szCs w:val="24"/>
                <w:color w:val="auto"/>
              </w:rPr>
            </w:pPr>
          </w:p>
        </w:tc>
        <w:tc>
          <w:tcPr>
            <w:tcW w:w="3500" w:type="dxa"/>
            <w:vAlign w:val="bottom"/>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33"/>
        </w:trPr>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7"/>
        </w:trPr>
        <w:tc>
          <w:tcPr>
            <w:tcW w:w="26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560" w:type="dxa"/>
            <w:vAlign w:val="bottom"/>
          </w:tcPr>
          <w:p>
            <w:pPr>
              <w:jc w:val="center"/>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260" w:type="dxa"/>
            <w:vAlign w:val="bottom"/>
          </w:tcPr>
          <w:p>
            <w:pPr>
              <w:spacing w:after="0"/>
              <w:rPr>
                <w:sz w:val="18"/>
                <w:szCs w:val="18"/>
                <w:color w:val="auto"/>
              </w:rPr>
            </w:pPr>
          </w:p>
        </w:tc>
        <w:tc>
          <w:tcPr>
            <w:tcW w:w="156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w w:val="99"/>
              </w:rPr>
              <w:t>2015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3500" w:type="dxa"/>
            <w:vAlign w:val="bottom"/>
            <w:gridSpan w:val="4"/>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76"/>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213,989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161,218</w:t>
            </w:r>
          </w:p>
        </w:tc>
      </w:tr>
      <w:tr>
        <w:trPr>
          <w:trHeight w:val="270"/>
        </w:trPr>
        <w:tc>
          <w:tcPr>
            <w:tcW w:w="260" w:type="dxa"/>
            <w:vAlign w:val="bottom"/>
          </w:tcPr>
          <w:p>
            <w:pPr>
              <w:spacing w:after="0"/>
              <w:rPr>
                <w:sz w:val="23"/>
                <w:szCs w:val="23"/>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w:t>
            </w:r>
          </w:p>
        </w:tc>
      </w:tr>
      <w:tr>
        <w:trPr>
          <w:trHeight w:val="270"/>
        </w:trPr>
        <w:tc>
          <w:tcPr>
            <w:tcW w:w="260" w:type="dxa"/>
            <w:vAlign w:val="bottom"/>
          </w:tcPr>
          <w:p>
            <w:pPr>
              <w:spacing w:after="0"/>
              <w:rPr>
                <w:sz w:val="23"/>
                <w:szCs w:val="23"/>
                <w:color w:val="auto"/>
              </w:rPr>
            </w:pP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40,554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70"/>
        </w:trPr>
        <w:tc>
          <w:tcPr>
            <w:tcW w:w="2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257,458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142,223</w:t>
            </w:r>
          </w:p>
        </w:tc>
      </w:tr>
      <w:tr>
        <w:trPr>
          <w:trHeight w:val="27"/>
        </w:trPr>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40" w:space="720"/>
            <w:col w:w="3760"/>
          </w:cols>
          <w:pgMar w:left="240" w:top="118" w:right="239" w:bottom="1440" w:gutter="0" w:footer="0" w:header="0"/>
        </w:sect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Liquidity and capital resources may be impacted by our operating activities, as well as business acquisitions, capital expenditures, stock repurchases, proceeds associated with stock option exercises and issuances of common stock under the ESPP, payment of taxes in connection with the net settlement of equity awards, and investments in strategic relationships that we have made or may make in the future. As of September 30, 2015, $122.5 million remains available for future share repurchases under our stock repurchase program (“Program”), which will be financed through our available working capital. In recent years, we have received significant capital resources as a result of exercises of stock options and purchases under our ESPP. We expect proceeds in future years to be impacted by our share price and the changing mix of stock options and RSUs granted. We expect to spend $8.0 million to $13.0 million in capital expenditures primarily related to expansion of our offices to support worldwide growth, as well as the implementation of our ERP system.</w:t>
      </w:r>
    </w:p>
    <w:p>
      <w:pPr>
        <w:spacing w:after="0" w:line="1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2015, our cash, cash equivalents, and investments of $1.17 billion were invested primarily in corporate debt securities, commercial paper, municipal bonds, certificates of deposit and term deposits, money market funds, and U.S. government and agency debt securities. It is our investment policy to invest excess cash in a manner that preserves capital, provides liquidity and maximizes return without significantly increasing risk.</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2015, $371.9 million of our cash and investments were held by our international subsidiaries and are therefore not immediately available to fund domestic operations unless the cash is repatriated. While we do not intend to do so, should this amount be repatriated, it would be subject to U.S. federal income tax that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expand our offices to support growth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Cash generated by operating activities is our primary source of liquidity. It is primarily comprised of net income, adjusted for non-cash items, and changes in operating assets and liabilities. Non-cash adjustments consisted primarily of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type w:val="continuous"/>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compensation expense, depreciation of property and equipment, amortization of intangible assets, and amortization of investment premiums.</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2015 provided $214.0 million in cash as a result of our continued growth in billings, profitability, and our ability to successfully manage our working capital. The primary sources of cash from operating activities during the nine months ended September 30, 2015 consisted of net income of $10.5 million, non-cash adjustments of $97.7 million and changes in operating assets and liabilities of $105.8 million. Changes in operating assets and liabilities primarily resulted from an increase in payments received from customers, partially offset by an increase in payments to vendors and an increase in prepayment of certain expenses.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operating activities during the nine months ended September 30, 2014 provided $161.2 million in cash as a result of profitability, timing of billings and collections, and our ability to successfully manage our working capital. The primary sources of cash from operating activities during the nine months ended September 30, 2014 consisted of net income of $18.5 million increased by non-cash adjustments of $65.0 million and changes in operating assets and liabilities of $77.7 million. In January 2014, we received $20.0 million pursuant to a six-year mutual covenant-not-to-sue and release agreement with Palo Alto Networks, Inc. Changes in operating assets and liabilities primarily included an increase in payments received from customers and a receipt of cash related to the mutual covenant-not-to-sue and release agreement, partially offset by payments for inventory purchases and payment of income taxes during the period.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investing activities primarily relate to timing of purchases, maturities, and sales of investments, purchases of property and equipment, and payments made in connection with business acquisitions.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cash provided by investing activities was a result of positive cash flow due to sales and maturities, net of purchases, from our investments of $70.0 million, partially offset by capital expenditures of $29.0 million and $38.0 million used for the acquisition of Meru.</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2014, cash used for investing activities was primarily due to $26.8 million for capital expenditures, partially offset by positive cash flow due to maturities, net of purchases, from our investments of $10.3 million.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proceeds from the issuance of common stock under our equity incentive plan and ESPP, taxes paid related to net share settlement of equity awards, and repurchase and retirement of common stock.</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2015, cash provided by financing activities was $40.6 million as a result of proceeds of $63.5 million from the issuance of common stock under our stock plans. This cash inflow was partially offset by $23.0 million related to withholding taxes paid upon the issuance of RSUs.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2014, we used $38.2 million and $8.5 million of our cash to repurchase and retire our common stock and pay taxes related to withholding upon the issuance of restricted stock units, respectively. This cash outflow was partially offset by proceeds of $40.5 million from the issuance of common stock under our stock plans, as well as excess tax benefit from employee stock-based compensation of $4.3 million.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business during the nine months ended September 30, 2015 to the commitments and contingencies disclosed in Management’s Discussion and Analysis of Financial Condition and Results of Operations, set forth in Part II, Item 7, of the Form 10-K. See Note 11 to the notes to the condensed consolidated financial statements included in Part I, Item 1 of this Form 10-Q for additional information regarding commitments and contingencies.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60"/>
          </w:cols>
          <w:pgMar w:left="240" w:top="118" w:right="29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nine months ended September 30, 2015 compared to the disclosures in Part II, Item 7A of the Form 10-K.</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evaluated the effectiveness of our disclosure controls and procedures (as defined in Rule 13a-15(e) or 15d-15(e) under the Exchange Act) as of September 30, 2015.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Based on that evaluation, our CEO and CFO concluded that our disclosure controls and procedures were effective as of September 30, 2015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CEO and CFO, as appropriate, to allow timely decisions regarding required disclosure.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or 15d-15(f) under the Exchange Act) during the nine months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00"/>
          </w:cols>
          <w:pgMar w:left="240" w:top="118" w:right="3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likely to vary significantly and be unpredictable.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6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 which may render forecasts inaccurate;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2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many factors such as inventory levels, logistics, shipping delays, our ability to ship new products on schedule and to accurately forecast inventory requirements, and potential delays in the manufacturing process;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225"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the mix of revenue between products and services and the degree to which products and services are bundled and sold together for a package price;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our channel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our investments in sales and marketing;</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which may be affected by both the mix of sales by our “sell-in” versus our “sell-through” channel partners, and the accuracy and timing of point of sale reporting by our “sell-through” channel partners, which impacts our ability to recognize revenue;</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distributor or reseller requirements or market needs and buying practices and patterns;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network security markets;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118" w:right="29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change in the competitive landscape of our industry, including consolidation among our competitors, partners, or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orders from end-customers in anticipation of new products or product enhancements announced by us or our competitors;</w:t>
      </w:r>
    </w:p>
    <w:p>
      <w:pPr>
        <w:spacing w:after="0" w:line="22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as a significant portion of our expenses are incurred and paid in currencies other than the U.S. dollar, and fluctuations may impact the actual prices that partners and customers are willing to pay for our products and services;</w:t>
      </w:r>
    </w:p>
    <w:p>
      <w:pPr>
        <w:spacing w:after="0" w:line="176"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general, in our market;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of services contracts or the length of services contracts sold;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estimated annual effective tax rates;</w:t>
      </w:r>
    </w:p>
    <w:p>
      <w:pPr>
        <w:spacing w:after="0" w:line="225"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results of operations from any acquisition consummated;</w:t>
      </w:r>
    </w:p>
    <w:p>
      <w:pPr>
        <w:spacing w:after="0" w:line="225" w:lineRule="exact"/>
        <w:rPr>
          <w:rFonts w:ascii="Times New Roman" w:cs="Times New Roman" w:eastAsia="Times New Roman" w:hAnsi="Times New Roman"/>
          <w:sz w:val="18"/>
          <w:szCs w:val="18"/>
          <w:color w:val="auto"/>
        </w:rPr>
      </w:pPr>
    </w:p>
    <w:p>
      <w:pPr>
        <w:ind w:left="1300" w:right="5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channel partners may have insufficient financial resources and may not be able to withstand changes and challenges in business conditions;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credit, or other difficulties confronting our key suppliers or channel partners, affecting their ability to purchase or pay for our products and services, which could disrupt our supply or distribution chain;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our domestic and foreign markets;</w:t>
      </w:r>
    </w:p>
    <w:p>
      <w:pPr>
        <w:spacing w:after="0" w:line="2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such as with respect to privacy, information security, export, environmental, and accounting.</w:t>
      </w:r>
    </w:p>
    <w:p>
      <w:pPr>
        <w:spacing w:after="0" w:line="37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240" w:top="118" w:right="31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declining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and revenue growth may slow or may not continue.</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Billings and revenue growth may slow, or we may experience a decrease in billings and revenue, for a number of reasons, including a slowdown in demand for our products or services, increased competition, a decrease in the growth of our overall market, softness in demand in certain geographies or industry verticals, such as the service provider industry, if we fail for any reason to continue to capitalize on growth opportunities, and due to other risks identified in the risk factors. Our expenses as a percentage of total revenue may be higher than expected if our revenue is lower than expected and if our investments in sales and marketing and other functional areas do not result in expected billings and revenue growth,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FortiGuard security subscription and FortiCare technical support services which may decline, and because we recognize revenue from FortiGuard security subscription and FortiCare technical support services over the term of the relevant service period, downturns or upturns in sales of FortiGuard security subscription and FortiCare technical support services are not immediately reflected in full in our operating results.</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FortiGuard security subscription and FortiCare technical support services revenue has historically accounted for a significant percentage of our total revenue. Sales of new, or renewals of existing, FortiGuard security subscription and FortiCare technical support services contracts may decline and fluctuate as a result of a number of factors, including fluctuations in purchases of FortiGate appliances, end-customers’ level of satisfaction with our products and services, the prices of our products and services, the prices of products and services offered by our competitors or reductions in our customers’ spending levels. If our sales of new, or renewals of existing FortiGuard security subscription and FortiCare technical support services contracts decline, our revenue and revenue growth may decline and our business will suffer. In addition, in the event significant customers require payment terms for FortiGuard security subscription or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but in some instances has been as long as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Consequently, a decline in new or renewed FortiGuard security subscription or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subscriptions or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9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6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policies and penalties, and local laws, requirements, policies and perceptions that may adversely impact U.S. headquartered business’s sales in certain countries outside of the United States;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or other foreign laws and regulations for foreign operations, including the U.S. Foreign Corrupt Practices Act, the U.K. Bribery Act 2010, import and export control laws, tariffs, trade barriers, and economic sanctions;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tax laws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larger end-customers, our results of operations may suffer.</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enterprises, service providers and government organizations. While we have increased sales to service providers and large enterprises in recent periods, we have experienced less traction selling to certain government organizations and there can be no assurance that we will be successful selling to these customers. Sales to large enterprises, service providers and government organizations involve risks that may not be present (or that are present to a lesser extent) with sales to small-to-mid-sized entities. These risks include: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18" w:right="25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16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competitors that traditionally target large enterprises, service providers and government organizations and that may already have purchase commitments from those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25"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of or purchasing behavior of large end-customers, including changes in the volume and frequency of their purchases;</w:t>
      </w:r>
    </w:p>
    <w:p>
      <w:pPr>
        <w:spacing w:after="0" w:line="161"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requirements, and increased penalties for any failure to meet support requirements;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Large enterprises, service providers and government organizations often undertake a significant evaluation process that results in a lengthy sales cycle, in some cases over 12 months. Although we have a channel sales model, our sales representatives typically engage in direct interaction with end-customers, along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large enterprises, service providers and government organizations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Large enterprises, service providers and government organizations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5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88"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due to more demand for certain products than we had forecasted. If we are unable to effectively manage our inventory and that of our channel partners, our results of operations could be adversely affected.</w:t>
      </w:r>
    </w:p>
    <w:p>
      <w:pPr>
        <w:spacing w:after="0" w:line="18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The loss of the services, or distraction, of our senior management for any reason could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for qualified employees in network security and especially in the locations where we have a substantial presence and need for highly-skilled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31%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any delays in shipments based on trade compliance requirements, or any shipment delays based on labor disputes at shipping ports or otherwise, our billings and revenue for that quarter could fall below our expectations or those of securities analysts and investors, resulting in a decline in our stock price.</w:t>
      </w:r>
    </w:p>
    <w:p>
      <w:pPr>
        <w:spacing w:after="0" w:line="18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awareness of our company and products, our business, financial condition and results of operations will be adversely affected, and we will not be able to achieve sustained growth.</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84"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During the three months ended September 30, 2015 and September 30, 2014, Exclusive Networks Group, which distributed our solutions to a large group of resellers and end-customers, accounted for 17% and 15% of our total revenue. During the nine months ended September 30,</w:t>
      </w:r>
    </w:p>
    <w:p>
      <w:pPr>
        <w:spacing w:after="0" w:line="5"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2015 and September 30, 2014, Exclusive Networks Group accounted for 17% and 14%, of our total revenue, respectively.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86" w:lineRule="exact"/>
        <w:rPr>
          <w:sz w:val="20"/>
          <w:szCs w:val="20"/>
          <w:color w:val="auto"/>
        </w:rPr>
      </w:pPr>
    </w:p>
    <w:p>
      <w:pPr>
        <w:ind w:right="3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4" w:lineRule="exact"/>
        <w:rPr>
          <w:sz w:val="20"/>
          <w:szCs w:val="20"/>
          <w:color w:val="auto"/>
        </w:rPr>
      </w:pPr>
    </w:p>
    <w:p>
      <w:pPr>
        <w:ind w:left="1300" w:right="34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which will harm our reputation; and</w:t>
      </w:r>
    </w:p>
    <w:p>
      <w:pPr>
        <w:spacing w:after="0" w:line="22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 and, in some instances, subject us to potential liability that is not contractually limited.</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2"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the manual processing of emails internally and receipt of customer purchase orders through email and, to a lesser extent, through electronic data interchange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implementing our new enterprise resource planning system.</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purchased a new enterprise resource planning system (“ERP”) and are currently implementing the new system. ERP implementations are complex and time-consuming and involve substantial expenditures on system software and implementation activities. Our ERP system is critical to our ability to accurately maintain books and records, record transactions, provide important information to our management and prepare our consolidated financial statements. ERP implementations also require transformation of business and financial processes in order to reap the benefits of the ERP system; any such transformation involves risks inherent in the conversion to a new computer system, including loss of information and potential disruption to our normal operations. The implementation of the new ERP system has required, and will continue to require, the investment of significant financial and human resources and may be subject to delays and cost overruns. In addition, we may not be able to successfully complete the implementation of the new ERP system without experiencing</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difficulties. Any disruptions, delays or deficiencies in the design and implementation of the new ERP system could adversely affect our ability to process orders, ship products, provide services and customer support, send invoices and track payments, fulfill contractual obligations or otherwise operate our business. Additionally, if we do not effectively implement the ERP system as planned or the system does not operate as intended, the effectiveness of our internal control over financial reporting could be adversely affected or our ability to assess it adequately could be delayed.</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stock-based compensation expense, valuation of inventory, warranty liabilities, goodwill and other long-lived assets, investments, accounting for income taxes, litigation and settlement costs and other loss contingencies, sales returns and allowances, reserve for bad debt, and the accounting for business combinations.</w:t>
      </w:r>
    </w:p>
    <w:p>
      <w:pPr>
        <w:spacing w:after="0" w:line="1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outsource the manufacturing of our security appliance products to a variety of contract manufacturing partners and original design manufacturing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w:t>
      </w:r>
    </w:p>
    <w:p>
      <w:pPr>
        <w:spacing w:after="0" w:line="2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reliance on our third-party manufacturers in Asia and elsewhere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ports or locations would severely affect sales of our product lines manufactured by that manufacturing partner. Furthermore, manufacturing cost increases for any reason could result in lower gross margins.</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the determination of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9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7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7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intellectual property;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w:t>
      </w:r>
    </w:p>
    <w:p>
      <w:pPr>
        <w:spacing w:after="0" w:line="22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While we are not currently engaged in material hedging activities, we have been hedging currency exposures relating to certain balance sheet accounts, and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8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5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8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29"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8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 organizations, which are subject to a number of challenges and risks.</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that we will win a sale.</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62"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All of our sales to government organizations have been made indirectly through our distribution channel.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vulnerabilities, viruses or security breaches or false identification of spam or spyware could adversely affect our business.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 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5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will not succeed unless the marketplace is confident that we provide effective network security protection. Increasingly, companies are subject to a wide variety of attacks on their networks and websites.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disclose information in order to gain access to our network. We cannot assure you that the measures we have taken to protect our network and website will provide absolute security. Moreover, because we provide network security products, we may be a more attractive target for attacks by computer hackers. Although we have not experienced significant damages from unauthorized access by a third party of our internal network or website, if an actual or perceived breach of network security occurs in our internal systems or website it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9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 organization end-customers require higher levels of support than smaller end-customers because of their more complex deployments. If we fail to meet the requirements of our larger end-customers, it may be more difficult to execute on our strategy to increase our penetration with large enterprises, service providers and government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organizations. 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240" w:top="118" w:right="39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changes in our tax rates, the adoption of new U.S. or international tax legislation or exposure to additional tax liabilities.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62" w:lineRule="exact"/>
        <w:rPr>
          <w:sz w:val="20"/>
          <w:szCs w:val="20"/>
          <w:color w:val="auto"/>
        </w:rPr>
      </w:pPr>
    </w:p>
    <w:p>
      <w:pPr>
        <w:ind w:left="1300" w:right="36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being lower than anticipated in countries that have lower tax rates and higher than anticipated in countries that have higher tax rates;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earnings in countries with differing statutory tax rates or withholding taxes;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or lapses in the research and development tax credit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 write-offs of acquired in-process research and development, and impairment of goodwill;</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25"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decision to indefinitely reinvest foreign earnings;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decisions, tax rulings and interpretations of tax laws and regulations by international, federal or local governmental authorities; or</w:t>
      </w:r>
    </w:p>
    <w:p>
      <w:pPr>
        <w:spacing w:after="0" w:line="225" w:lineRule="exact"/>
        <w:rPr>
          <w:rFonts w:ascii="Times New Roman" w:cs="Times New Roman" w:eastAsia="Times New Roman" w:hAnsi="Times New Roman"/>
          <w:sz w:val="18"/>
          <w:szCs w:val="18"/>
          <w:color w:val="auto"/>
        </w:rPr>
      </w:pPr>
    </w:p>
    <w:p>
      <w:pPr>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We regularly assess the likelihood of adverse outcomes resulting from such examinations to determine the adequacy of our provision for income taxes.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addition, we hold a significant portion of our cash and investments outside of the United States. Potential legislation could result in us transferring this cash and investments back to the United States, and potentially incurring an additional tax obligation.</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acquire and integrate other businesses, products or technologies could seriously harm our competitive position.</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or technologies and intellectual property, such as patents. For example, we recently closed our acquisition of Meru. For any past acquisition or possible future acquisition,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Meru’s ERP system or sales and supports processes and systems with our current ERP system or our sales and support processes and systems.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including our acquisition of Meru, may be dilutive to revenue growth and earnings and may not result in any synergies or other benefits we had expected to achieve, which could result in impairment charges that could be substantial. For example, in the second quarter of 2015, we recognized an impairment charge of $1.6 million for intangible assets from our acquisition of Coyote Point Systems, Inc.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2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power outages, floods, or other catastrophic events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7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 products and product enhancements do not achieve sufficient market acceptance, our results of operations and competitive position will suffer.</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of regulatory requirements around security;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Sales of most of our products depend on increased demand for incorporating broad security functionality in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 sized businesses because such solution lacks the performance capabilities and functionality of other solutions may harm our sales to large enterprise,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lack sufficient financial or other resources to maintain or improve our competitive position.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market for network security products is intensely competitive, and we expect competition to intensify in the future. Our competitors include companies such as Blue Coat, Check Point, Cisco/SourceFire, Dell/SonicWall, F5 Networks, FireEye, Intel/McAfee, Juniper, Palo Alto Networks, Sophos, and others.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Cisco’s acquisition of SourceFire, Juniper’s acquisition of NetScreen Technologies Inc., Intel’s acquisition of McAfee,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(LGPL),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the network security industry. Third parties are currently asserting,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18" w:right="25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several on-going patent lawsuits and, several non-practicing entity patent holding companies have sent us letters proposing that we license certain of their patents.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2014, our internal controls over financial reporting were effective, we cannot predict the outcome of our testing in 2015 or future periods. We may incur additional expenses and commitment of management’s time in connection with further evaluations, both of which could materially increase our operating expenses and accordingly reduce our operating results.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accounting pronouncements, such as changes to standards related to revenue recognition which are effective for us beginning on January 1, 2018, the increased use of fair value measure, and financial instruments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39"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5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likely decline. If one or more of these analysts ceases coverage of our company or fails to publish reports on us regularly, demand for our stock could decrease, which could cause our stock price and trading volume to decline.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may be volatile.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subject to wide fluctuations in response to, among other things, the risk factors described in this periodic report, news about Fortinet and our financial results, news about our competitors and their results, and other factors such as rumors or fluctuations in the valuation of companies perceived by investors to be comparable to us, or announcements regarding any stock repurchase programs and the timing and amount of shares we purchase under such programs. For example, during the three months ended September 30, 2015, the closing price of our common stock ranged from $39.97 to $48.83 and our stock price has fluctuated significantly since September 30, 2015.</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62"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certain litigation matters may only be brought against us in state or federal courts in the State of Delaware;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2015, there were no shares repurchased under the Program. As of September 30, 2015, $122.5 million remains available for future share repurchases under the Program.</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 on Form 10-Q.</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60"/>
          </w:cols>
          <w:pgMar w:left="240" w:top="118" w:right="29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2015</w:t>
      </w:r>
    </w:p>
    <w:p>
      <w:pPr>
        <w:spacing w:after="0" w:line="35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4920"/>
        <w:spacing w:after="0"/>
        <w:tabs>
          <w:tab w:leader="none" w:pos="7340" w:val="left"/>
          <w:tab w:leader="none" w:pos="7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34290</wp:posOffset>
            </wp:positionV>
            <wp:extent cx="3730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6"/>
          <w:szCs w:val="16"/>
          <w:b w:val="1"/>
          <w:bCs w:val="1"/>
          <w:color w:val="auto"/>
        </w:rPr>
        <w:t>Andrew Del Matto, Chief Financial Officer</w:t>
      </w:r>
    </w:p>
    <w:p>
      <w:pPr>
        <w:spacing w:after="0" w:line="154"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Financial Officer)</w:t>
      </w:r>
    </w:p>
    <w:p>
      <w:pPr>
        <w:spacing w:after="0" w:line="200" w:lineRule="exact"/>
        <w:rPr>
          <w:sz w:val="20"/>
          <w:szCs w:val="20"/>
          <w:color w:val="auto"/>
        </w:rPr>
      </w:pPr>
    </w:p>
    <w:p>
      <w:pPr>
        <w:spacing w:after="0" w:line="248" w:lineRule="exact"/>
        <w:rPr>
          <w:sz w:val="20"/>
          <w:szCs w:val="20"/>
          <w:color w:val="auto"/>
        </w:rPr>
      </w:pPr>
    </w:p>
    <w:p>
      <w:pPr>
        <w:ind w:left="4920"/>
        <w:spacing w:after="0"/>
        <w:tabs>
          <w:tab w:leader="none" w:pos="7620" w:val="left"/>
          <w:tab w:leader="none" w:pos="7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34290</wp:posOffset>
            </wp:positionV>
            <wp:extent cx="3730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5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6"/>
          <w:szCs w:val="16"/>
          <w:b w:val="1"/>
          <w:bCs w:val="1"/>
          <w:color w:val="auto"/>
        </w:rPr>
        <w:t>Keith Jensen, Chief Accounting Officer</w:t>
      </w:r>
    </w:p>
    <w:p>
      <w:pPr>
        <w:spacing w:after="0" w:line="154"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6"/>
          <w:szCs w:val="16"/>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40"/>
          </w:cols>
          <w:pgMar w:left="240" w:top="118" w:right="71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0219"/>
          </w:cols>
          <w:pgMar w:left="240" w:top="118" w:right="1440" w:bottom="1440" w:gutter="0" w:footer="0" w:header="0"/>
        </w:sect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000" w:type="dxa"/>
            <w:vAlign w:val="bottom"/>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1"/>
        </w:trPr>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Agreement and Plan of Merger, dated May 27, 2015, by and among</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Fortinet, Inc., Malbrouck Acquisition Corp. and Meru Networks,</w:t>
            </w:r>
          </w:p>
        </w:tc>
      </w:tr>
      <w:tr>
        <w:trPr>
          <w:trHeight w:val="188"/>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w:t>
            </w:r>
          </w:p>
        </w:tc>
      </w:tr>
      <w:tr>
        <w:trPr>
          <w:trHeight w:val="486"/>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Meru Networks, Inc. 2010 Equity Incentive Plan</w:t>
            </w:r>
          </w:p>
        </w:tc>
      </w:tr>
      <w:tr>
        <w:trPr>
          <w:trHeight w:val="621"/>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Meru Networks, Inc. 2013 New Employee Stock Inducement Plan</w:t>
            </w:r>
          </w:p>
        </w:tc>
      </w:tr>
      <w:tr>
        <w:trPr>
          <w:trHeight w:val="582"/>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Forms of Fortinet, Inc. Restricted Stock Unit Assumption</w:t>
            </w:r>
          </w:p>
        </w:tc>
      </w:tr>
      <w:tr>
        <w:trPr>
          <w:trHeight w:val="188"/>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w:t>
            </w:r>
          </w:p>
        </w:tc>
      </w:tr>
      <w:tr>
        <w:trPr>
          <w:trHeight w:val="311"/>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Rules 13a-14(a) and 15d-14(a), as adopted pursuant to Section 302</w:t>
            </w:r>
          </w:p>
        </w:tc>
      </w:tr>
      <w:tr>
        <w:trPr>
          <w:trHeight w:val="188"/>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the Sarbanes-Oxley Act of 2002</w:t>
            </w:r>
          </w:p>
        </w:tc>
      </w:tr>
      <w:tr>
        <w:trPr>
          <w:trHeight w:val="284"/>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Rules 13a-14(a) and 15d-14(a), as adopted pursuant to Section 302</w:t>
            </w:r>
          </w:p>
        </w:tc>
      </w:tr>
      <w:tr>
        <w:trPr>
          <w:trHeight w:val="188"/>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the Sarbanes-Oxley Act of 2002</w:t>
            </w:r>
          </w:p>
        </w:tc>
      </w:tr>
      <w:tr>
        <w:trPr>
          <w:trHeight w:val="284"/>
        </w:trPr>
        <w:tc>
          <w:tcPr>
            <w:tcW w:w="1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w:t>
            </w:r>
          </w:p>
        </w:tc>
      </w:tr>
      <w:tr>
        <w:trPr>
          <w:trHeight w:val="149"/>
        </w:trPr>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Officer pursuant to 18 U.S.C. Section 1350, as adopted pursuant to</w:t>
            </w:r>
          </w:p>
        </w:tc>
      </w:tr>
      <w:tr>
        <w:trPr>
          <w:trHeight w:val="188"/>
        </w:trPr>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Section 906 of the Sarbanes-Oxley Act of 2002</w:t>
            </w:r>
          </w:p>
        </w:tc>
      </w:tr>
      <w:tr>
        <w:trPr>
          <w:trHeight w:val="324"/>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101.SCH*</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92"/>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101.CAL*</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92"/>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101.PRE*</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92"/>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101.DEF*</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92"/>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101.LAB*</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92"/>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101.INS*</w:t>
            </w: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XBRL Instance Document</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23"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27870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Exhibit Number</w:t>
            </w:r>
          </w:p>
        </w:tc>
      </w:tr>
      <w:tr>
        <w:trPr>
          <w:trHeight w:val="151"/>
        </w:trPr>
        <w:tc>
          <w:tcPr>
            <w:tcW w:w="15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Current Report on</w:t>
            </w:r>
          </w:p>
        </w:tc>
        <w:tc>
          <w:tcPr>
            <w:tcW w:w="1500" w:type="dxa"/>
            <w:vAlign w:val="bottom"/>
            <w:gridSpan w:val="2"/>
          </w:tcPr>
          <w:p>
            <w:pPr>
              <w:ind w:left="20"/>
              <w:spacing w:after="0" w:line="151" w:lineRule="exact"/>
              <w:rPr>
                <w:sz w:val="20"/>
                <w:szCs w:val="20"/>
                <w:color w:val="auto"/>
              </w:rPr>
            </w:pPr>
            <w:r>
              <w:rPr>
                <w:rFonts w:ascii="Times New Roman" w:cs="Times New Roman" w:eastAsia="Times New Roman" w:hAnsi="Times New Roman"/>
                <w:sz w:val="14"/>
                <w:szCs w:val="14"/>
                <w:color w:val="auto"/>
              </w:rPr>
              <w:t>July 8, 2015</w:t>
            </w:r>
          </w:p>
        </w:tc>
        <w:tc>
          <w:tcPr>
            <w:tcW w:w="1380" w:type="dxa"/>
            <w:vAlign w:val="bottom"/>
          </w:tcPr>
          <w:p>
            <w:pPr>
              <w:jc w:val="right"/>
              <w:ind w:right="8"/>
              <w:spacing w:after="0" w:line="151" w:lineRule="exact"/>
              <w:rPr>
                <w:sz w:val="20"/>
                <w:szCs w:val="20"/>
                <w:color w:val="auto"/>
              </w:rPr>
            </w:pPr>
            <w:r>
              <w:rPr>
                <w:rFonts w:ascii="Times New Roman" w:cs="Times New Roman" w:eastAsia="Times New Roman" w:hAnsi="Times New Roman"/>
                <w:sz w:val="14"/>
                <w:szCs w:val="14"/>
                <w:color w:val="auto"/>
              </w:rPr>
              <w:t>2.1</w:t>
            </w:r>
          </w:p>
        </w:tc>
      </w:tr>
      <w:tr>
        <w:trPr>
          <w:trHeight w:val="149"/>
        </w:trPr>
        <w:tc>
          <w:tcPr>
            <w:tcW w:w="1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Form 8-K (File No.</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001-34511)</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433"/>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Registration Statement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30, 2015</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99.1</w:t>
            </w:r>
          </w:p>
        </w:tc>
      </w:tr>
      <w:tr>
        <w:trPr>
          <w:trHeight w:val="149"/>
        </w:trPr>
        <w:tc>
          <w:tcPr>
            <w:tcW w:w="1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 Form S-8 (File No.</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333-205958)</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84"/>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Registration Statement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30, 2015</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99.2</w:t>
            </w:r>
          </w:p>
        </w:tc>
      </w:tr>
      <w:tr>
        <w:trPr>
          <w:trHeight w:val="149"/>
        </w:trPr>
        <w:tc>
          <w:tcPr>
            <w:tcW w:w="1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 Form S-8 (File No.</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333-205958)</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84"/>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Registration Statement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30, 2015</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99.3</w:t>
            </w:r>
          </w:p>
        </w:tc>
      </w:tr>
      <w:tr>
        <w:trPr>
          <w:trHeight w:val="149"/>
        </w:trPr>
        <w:tc>
          <w:tcPr>
            <w:tcW w:w="15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on Form S-8 (File No.</w:t>
            </w: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88"/>
        </w:trPr>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333-205958)</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spacing w:after="0" w:line="4670" w:lineRule="exact"/>
        <w:rPr>
          <w:sz w:val="20"/>
          <w:szCs w:val="20"/>
          <w:color w:val="auto"/>
        </w:rPr>
      </w:pPr>
    </w:p>
    <w:p>
      <w:pPr>
        <w:sectPr>
          <w:pgSz w:w="11900" w:h="16838" w:orient="portrait"/>
          <w:cols w:equalWidth="0" w:num="2">
            <w:col w:w="5540" w:space="100"/>
            <w:col w:w="4579"/>
          </w:cols>
          <w:pgMar w:left="240" w:top="1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219"/>
          </w:cols>
          <w:pgMar w:left="240" w:top="118" w:right="1440"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69" w:name="page70"/>
    <w:bookmarkEnd w:id="69"/>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Quarterly Report on Form 10-Q of Fortinet, Inc. for the quarterly period ended September 30, 2015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2015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 Xie</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 Andrew Del Matto, certify, pursuant to 18 U.S.C. Section 1350, as adopted pursuant to Section 906 of the Sarbanes-Oxley Act of 2002, that the Quarterly Report on Form 10-Q of Fortinet, Inc. for the quarterly period ended September 30, 2015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Andrew Del Matto</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6, 2015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Del Matto</w:t>
            </w:r>
          </w:p>
        </w:tc>
      </w:tr>
      <w:tr>
        <w:trPr>
          <w:trHeight w:val="252"/>
        </w:trPr>
        <w:tc>
          <w:tcPr>
            <w:tcW w:w="5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8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2019-12-29T14:35:48Z</dcterms:created>
  <dcterms:modified xsi:type="dcterms:W3CDTF">2019-12-29T14:35:48Z</dcterms:modified>
</cp:coreProperties>
</file>