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415925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329565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158"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FORM 10-Q</w:t>
      </w:r>
    </w:p>
    <w:p>
      <w:pPr>
        <w:spacing w:after="0" w:line="25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294" w:lineRule="exact"/>
        <w:rPr>
          <w:sz w:val="24"/>
          <w:szCs w:val="24"/>
          <w:color w:val="auto"/>
        </w:rPr>
      </w:pPr>
    </w:p>
    <w:p>
      <w:pPr>
        <w:ind w:left="3740" w:right="1840" w:hanging="3705"/>
        <w:spacing w:after="0" w:line="429" w:lineRule="auto"/>
        <w:tabs>
          <w:tab w:leader="none" w:pos="382" w:val="left"/>
        </w:tabs>
        <w:numPr>
          <w:ilvl w:val="0"/>
          <w:numId w:val="1"/>
        </w:numPr>
        <w:rPr>
          <w:rFonts w:ascii="MS PGothic" w:cs="MS PGothic" w:eastAsia="MS PGothic" w:hAnsi="MS PGothic"/>
          <w:sz w:val="25"/>
          <w:szCs w:val="25"/>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2019</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74"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25"/>
          <w:szCs w:val="25"/>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2800" w:type="dxa"/>
            <w:vAlign w:val="bottom"/>
          </w:tcPr>
          <w:p>
            <w:pPr>
              <w:ind w:left="420"/>
              <w:spacing w:after="0"/>
              <w:rPr>
                <w:sz w:val="20"/>
                <w:szCs w:val="20"/>
                <w:color w:val="auto"/>
              </w:rPr>
            </w:pPr>
            <w:r>
              <w:rPr>
                <w:rFonts w:ascii="Arial" w:cs="Arial" w:eastAsia="Arial" w:hAnsi="Arial"/>
                <w:sz w:val="18"/>
                <w:szCs w:val="18"/>
                <w:b w:val="1"/>
                <w:bCs w:val="1"/>
                <w:color w:val="auto"/>
                <w:w w:val="93"/>
              </w:rPr>
              <w:t>For the transition period from</w:t>
            </w:r>
          </w:p>
        </w:tc>
        <w:tc>
          <w:tcPr>
            <w:tcW w:w="5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Arial" w:cs="Arial" w:eastAsia="Arial" w:hAnsi="Arial"/>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3340" w:type="dxa"/>
            <w:vAlign w:val="bottom"/>
          </w:tcPr>
          <w:p>
            <w:pPr>
              <w:spacing w:after="0"/>
              <w:rPr>
                <w:sz w:val="17"/>
                <w:szCs w:val="17"/>
                <w:color w:val="auto"/>
              </w:rPr>
            </w:pPr>
          </w:p>
        </w:tc>
      </w:tr>
      <w:tr>
        <w:trPr>
          <w:trHeight w:val="384"/>
        </w:trPr>
        <w:tc>
          <w:tcPr>
            <w:tcW w:w="3460" w:type="dxa"/>
            <w:vAlign w:val="bottom"/>
          </w:tcPr>
          <w:p>
            <w:pPr>
              <w:spacing w:after="0"/>
              <w:rPr>
                <w:sz w:val="24"/>
                <w:szCs w:val="24"/>
                <w:color w:val="auto"/>
              </w:rPr>
            </w:pPr>
          </w:p>
        </w:tc>
        <w:tc>
          <w:tcPr>
            <w:tcW w:w="7460" w:type="dxa"/>
            <w:vAlign w:val="bottom"/>
            <w:gridSpan w:val="6"/>
          </w:tcPr>
          <w:p>
            <w:pPr>
              <w:jc w:val="center"/>
              <w:ind w:right="2857"/>
              <w:spacing w:after="0"/>
              <w:rPr>
                <w:sz w:val="20"/>
                <w:szCs w:val="20"/>
                <w:color w:val="auto"/>
              </w:rPr>
            </w:pPr>
            <w:r>
              <w:rPr>
                <w:rFonts w:ascii="Arial" w:cs="Arial" w:eastAsia="Arial" w:hAnsi="Arial"/>
                <w:sz w:val="18"/>
                <w:szCs w:val="18"/>
                <w:b w:val="1"/>
                <w:bCs w:val="1"/>
                <w:color w:val="auto"/>
                <w:w w:val="89"/>
              </w:rPr>
              <w:t>Commission file number: 001-34511</w:t>
            </w:r>
          </w:p>
        </w:tc>
      </w:tr>
      <w:tr>
        <w:trPr>
          <w:trHeight w:val="207"/>
        </w:trPr>
        <w:tc>
          <w:tcPr>
            <w:tcW w:w="3460" w:type="dxa"/>
            <w:vAlign w:val="bottom"/>
          </w:tcPr>
          <w:p>
            <w:pPr>
              <w:spacing w:after="0"/>
              <w:rPr>
                <w:sz w:val="18"/>
                <w:szCs w:val="18"/>
                <w:color w:val="auto"/>
              </w:rPr>
            </w:pPr>
          </w:p>
        </w:tc>
        <w:tc>
          <w:tcPr>
            <w:tcW w:w="4120" w:type="dxa"/>
            <w:vAlign w:val="bottom"/>
            <w:gridSpan w:val="5"/>
          </w:tcPr>
          <w:p>
            <w:pPr>
              <w:jc w:val="center"/>
              <w:ind w:left="291"/>
              <w:spacing w:after="0"/>
              <w:rPr>
                <w:sz w:val="20"/>
                <w:szCs w:val="20"/>
                <w:color w:val="auto"/>
              </w:rPr>
            </w:pPr>
            <w:r>
              <w:rPr>
                <w:rFonts w:ascii="Arial" w:cs="Arial" w:eastAsia="Arial" w:hAnsi="Arial"/>
                <w:sz w:val="18"/>
                <w:szCs w:val="18"/>
                <w:color w:val="auto"/>
                <w:w w:val="89"/>
              </w:rPr>
              <w:t>______________________________________</w:t>
            </w:r>
          </w:p>
        </w:tc>
        <w:tc>
          <w:tcPr>
            <w:tcW w:w="3340" w:type="dxa"/>
            <w:vAlign w:val="bottom"/>
          </w:tcPr>
          <w:p>
            <w:pPr>
              <w:spacing w:after="0"/>
              <w:rPr>
                <w:sz w:val="18"/>
                <w:szCs w:val="18"/>
                <w:color w:val="auto"/>
              </w:rPr>
            </w:pPr>
          </w:p>
        </w:tc>
      </w:tr>
      <w:tr>
        <w:trPr>
          <w:trHeight w:val="329"/>
        </w:trPr>
        <w:tc>
          <w:tcPr>
            <w:tcW w:w="3460" w:type="dxa"/>
            <w:vAlign w:val="bottom"/>
          </w:tcPr>
          <w:p>
            <w:pPr>
              <w:spacing w:after="0"/>
              <w:rPr>
                <w:sz w:val="24"/>
                <w:szCs w:val="24"/>
                <w:color w:val="auto"/>
              </w:rPr>
            </w:pPr>
          </w:p>
        </w:tc>
        <w:tc>
          <w:tcPr>
            <w:tcW w:w="3360" w:type="dxa"/>
            <w:vAlign w:val="bottom"/>
            <w:gridSpan w:val="3"/>
          </w:tcPr>
          <w:p>
            <w:pPr>
              <w:jc w:val="center"/>
              <w:ind w:left="1091"/>
              <w:spacing w:after="0"/>
              <w:rPr>
                <w:sz w:val="20"/>
                <w:szCs w:val="20"/>
                <w:color w:val="auto"/>
              </w:rPr>
            </w:pPr>
            <w:r>
              <w:rPr>
                <w:rFonts w:ascii="Arial" w:cs="Arial" w:eastAsia="Arial" w:hAnsi="Arial"/>
                <w:sz w:val="25"/>
                <w:szCs w:val="25"/>
                <w:b w:val="1"/>
                <w:bCs w:val="1"/>
                <w:color w:val="auto"/>
              </w:rPr>
              <w:t>FORTINET, INC.</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98"/>
        </w:trPr>
        <w:tc>
          <w:tcPr>
            <w:tcW w:w="3460" w:type="dxa"/>
            <w:vAlign w:val="bottom"/>
          </w:tcPr>
          <w:p>
            <w:pPr>
              <w:spacing w:after="0"/>
              <w:rPr>
                <w:sz w:val="17"/>
                <w:szCs w:val="17"/>
                <w:color w:val="auto"/>
              </w:rPr>
            </w:pPr>
          </w:p>
        </w:tc>
        <w:tc>
          <w:tcPr>
            <w:tcW w:w="7460" w:type="dxa"/>
            <w:vAlign w:val="bottom"/>
            <w:gridSpan w:val="6"/>
          </w:tcPr>
          <w:p>
            <w:pPr>
              <w:jc w:val="center"/>
              <w:ind w:right="2877"/>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206"/>
        </w:trPr>
        <w:tc>
          <w:tcPr>
            <w:tcW w:w="3460" w:type="dxa"/>
            <w:vAlign w:val="bottom"/>
          </w:tcPr>
          <w:p>
            <w:pPr>
              <w:spacing w:after="0"/>
              <w:rPr>
                <w:sz w:val="17"/>
                <w:szCs w:val="17"/>
                <w:color w:val="auto"/>
              </w:rPr>
            </w:pPr>
          </w:p>
        </w:tc>
        <w:tc>
          <w:tcPr>
            <w:tcW w:w="4120" w:type="dxa"/>
            <w:vAlign w:val="bottom"/>
            <w:gridSpan w:val="5"/>
          </w:tcPr>
          <w:p>
            <w:pPr>
              <w:jc w:val="center"/>
              <w:ind w:left="311"/>
              <w:spacing w:after="0"/>
              <w:rPr>
                <w:sz w:val="20"/>
                <w:szCs w:val="20"/>
                <w:color w:val="auto"/>
              </w:rPr>
            </w:pPr>
            <w:r>
              <w:rPr>
                <w:rFonts w:ascii="Arial" w:cs="Arial" w:eastAsia="Arial" w:hAnsi="Arial"/>
                <w:sz w:val="16"/>
                <w:szCs w:val="16"/>
                <w:color w:val="auto"/>
                <w:w w:val="91"/>
              </w:rPr>
              <w:t>______________________________________</w:t>
            </w:r>
          </w:p>
        </w:tc>
        <w:tc>
          <w:tcPr>
            <w:tcW w:w="3340" w:type="dxa"/>
            <w:vAlign w:val="bottom"/>
          </w:tcPr>
          <w:p>
            <w:pPr>
              <w:spacing w:after="0"/>
              <w:rPr>
                <w:sz w:val="17"/>
                <w:szCs w:val="17"/>
                <w:color w:val="auto"/>
              </w:rPr>
            </w:pPr>
          </w:p>
        </w:tc>
      </w:tr>
      <w:tr>
        <w:trPr>
          <w:trHeight w:val="803"/>
        </w:trPr>
        <w:tc>
          <w:tcPr>
            <w:tcW w:w="3460" w:type="dxa"/>
            <w:vAlign w:val="bottom"/>
          </w:tcPr>
          <w:p>
            <w:pPr>
              <w:jc w:val="center"/>
              <w:ind w:left="774"/>
              <w:spacing w:after="0"/>
              <w:rPr>
                <w:sz w:val="20"/>
                <w:szCs w:val="20"/>
                <w:color w:val="auto"/>
              </w:rPr>
            </w:pPr>
            <w:r>
              <w:rPr>
                <w:rFonts w:ascii="Arial" w:cs="Arial" w:eastAsia="Arial" w:hAnsi="Arial"/>
                <w:sz w:val="18"/>
                <w:szCs w:val="18"/>
                <w:b w:val="1"/>
                <w:bCs w:val="1"/>
                <w:color w:val="auto"/>
                <w:w w:val="91"/>
              </w:rPr>
              <w:t>Delaware</w:t>
            </w:r>
          </w:p>
        </w:tc>
        <w:tc>
          <w:tcPr>
            <w:tcW w:w="2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91"/>
              </w:rPr>
              <w:t>77-0560389</w:t>
            </w:r>
          </w:p>
        </w:tc>
      </w:tr>
      <w:tr>
        <w:trPr>
          <w:trHeight w:val="243"/>
        </w:trPr>
        <w:tc>
          <w:tcPr>
            <w:tcW w:w="3460" w:type="dxa"/>
            <w:vAlign w:val="bottom"/>
          </w:tcPr>
          <w:p>
            <w:pPr>
              <w:jc w:val="center"/>
              <w:ind w:left="754"/>
              <w:spacing w:after="0"/>
              <w:rPr>
                <w:sz w:val="20"/>
                <w:szCs w:val="20"/>
                <w:color w:val="auto"/>
              </w:rPr>
            </w:pPr>
            <w:r>
              <w:rPr>
                <w:rFonts w:ascii="Arial" w:cs="Arial" w:eastAsia="Arial" w:hAnsi="Arial"/>
                <w:sz w:val="16"/>
                <w:szCs w:val="16"/>
                <w:b w:val="1"/>
                <w:bCs w:val="1"/>
                <w:color w:val="auto"/>
                <w:w w:val="91"/>
              </w:rPr>
              <w:t>(State or other jurisdiction of</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3460" w:type="dxa"/>
            <w:vAlign w:val="bottom"/>
          </w:tcPr>
          <w:p>
            <w:pPr>
              <w:jc w:val="center"/>
              <w:ind w:left="774"/>
              <w:spacing w:after="0"/>
              <w:rPr>
                <w:sz w:val="20"/>
                <w:szCs w:val="20"/>
                <w:color w:val="auto"/>
              </w:rPr>
            </w:pPr>
            <w:r>
              <w:rPr>
                <w:rFonts w:ascii="Arial" w:cs="Arial" w:eastAsia="Arial" w:hAnsi="Arial"/>
                <w:sz w:val="16"/>
                <w:szCs w:val="16"/>
                <w:b w:val="1"/>
                <w:bCs w:val="1"/>
                <w:color w:val="auto"/>
                <w:w w:val="92"/>
              </w:rPr>
              <w:t>incorporation or organization)</w:t>
            </w:r>
          </w:p>
        </w:tc>
        <w:tc>
          <w:tcPr>
            <w:tcW w:w="2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Arial" w:cs="Arial" w:eastAsia="Arial" w:hAnsi="Arial"/>
                <w:sz w:val="16"/>
                <w:szCs w:val="16"/>
                <w:b w:val="1"/>
                <w:bCs w:val="1"/>
                <w:color w:val="auto"/>
                <w:w w:val="94"/>
              </w:rPr>
              <w:t>Identification No.)</w:t>
            </w:r>
          </w:p>
        </w:tc>
      </w:tr>
      <w:tr>
        <w:trPr>
          <w:trHeight w:val="568"/>
        </w:trPr>
        <w:tc>
          <w:tcPr>
            <w:tcW w:w="3460" w:type="dxa"/>
            <w:vAlign w:val="bottom"/>
          </w:tcPr>
          <w:p>
            <w:pPr>
              <w:spacing w:after="0"/>
              <w:rPr>
                <w:sz w:val="24"/>
                <w:szCs w:val="24"/>
                <w:color w:val="auto"/>
              </w:rPr>
            </w:pPr>
          </w:p>
        </w:tc>
        <w:tc>
          <w:tcPr>
            <w:tcW w:w="3360" w:type="dxa"/>
            <w:vAlign w:val="bottom"/>
            <w:gridSpan w:val="3"/>
          </w:tcPr>
          <w:p>
            <w:pPr>
              <w:jc w:val="center"/>
              <w:ind w:left="1051"/>
              <w:spacing w:after="0"/>
              <w:rPr>
                <w:sz w:val="20"/>
                <w:szCs w:val="20"/>
                <w:color w:val="auto"/>
              </w:rPr>
            </w:pPr>
            <w:r>
              <w:rPr>
                <w:rFonts w:ascii="Arial" w:cs="Arial" w:eastAsia="Arial" w:hAnsi="Arial"/>
                <w:sz w:val="18"/>
                <w:szCs w:val="18"/>
                <w:b w:val="1"/>
                <w:bCs w:val="1"/>
                <w:color w:val="auto"/>
                <w:w w:val="93"/>
              </w:rPr>
              <w:t>899 Kifer Road</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80"/>
        </w:trPr>
        <w:tc>
          <w:tcPr>
            <w:tcW w:w="3460" w:type="dxa"/>
            <w:vAlign w:val="bottom"/>
          </w:tcPr>
          <w:p>
            <w:pPr>
              <w:spacing w:after="0"/>
              <w:rPr>
                <w:sz w:val="15"/>
                <w:szCs w:val="15"/>
                <w:color w:val="auto"/>
              </w:rPr>
            </w:pPr>
          </w:p>
        </w:tc>
        <w:tc>
          <w:tcPr>
            <w:tcW w:w="3360" w:type="dxa"/>
            <w:vAlign w:val="bottom"/>
            <w:gridSpan w:val="3"/>
          </w:tcPr>
          <w:p>
            <w:pPr>
              <w:jc w:val="center"/>
              <w:ind w:left="1051"/>
              <w:spacing w:after="0" w:line="181" w:lineRule="exact"/>
              <w:rPr>
                <w:sz w:val="20"/>
                <w:szCs w:val="20"/>
                <w:color w:val="auto"/>
              </w:rPr>
            </w:pPr>
            <w:r>
              <w:rPr>
                <w:rFonts w:ascii="Arial" w:cs="Arial" w:eastAsia="Arial" w:hAnsi="Arial"/>
                <w:sz w:val="18"/>
                <w:szCs w:val="18"/>
                <w:b w:val="1"/>
                <w:bCs w:val="1"/>
                <w:color w:val="auto"/>
                <w:w w:val="91"/>
              </w:rPr>
              <w:t>Sunnyvale, California 94086</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40" w:type="dxa"/>
            <w:vAlign w:val="bottom"/>
          </w:tcPr>
          <w:p>
            <w:pPr>
              <w:spacing w:after="0"/>
              <w:rPr>
                <w:sz w:val="15"/>
                <w:szCs w:val="15"/>
                <w:color w:val="auto"/>
              </w:rPr>
            </w:pPr>
          </w:p>
        </w:tc>
      </w:tr>
      <w:tr>
        <w:trPr>
          <w:trHeight w:val="210"/>
        </w:trPr>
        <w:tc>
          <w:tcPr>
            <w:tcW w:w="3460" w:type="dxa"/>
            <w:vAlign w:val="bottom"/>
          </w:tcPr>
          <w:p>
            <w:pPr>
              <w:spacing w:after="0"/>
              <w:rPr>
                <w:sz w:val="18"/>
                <w:szCs w:val="18"/>
                <w:color w:val="auto"/>
              </w:rPr>
            </w:pPr>
          </w:p>
        </w:tc>
        <w:tc>
          <w:tcPr>
            <w:tcW w:w="7460" w:type="dxa"/>
            <w:vAlign w:val="bottom"/>
            <w:gridSpan w:val="6"/>
          </w:tcPr>
          <w:p>
            <w:pPr>
              <w:jc w:val="center"/>
              <w:ind w:right="2877"/>
              <w:spacing w:after="0"/>
              <w:rPr>
                <w:sz w:val="20"/>
                <w:szCs w:val="20"/>
                <w:color w:val="auto"/>
              </w:rPr>
            </w:pPr>
            <w:r>
              <w:rPr>
                <w:rFonts w:ascii="Arial" w:cs="Arial" w:eastAsia="Arial" w:hAnsi="Arial"/>
                <w:sz w:val="16"/>
                <w:szCs w:val="16"/>
                <w:b w:val="1"/>
                <w:bCs w:val="1"/>
                <w:color w:val="auto"/>
                <w:w w:val="89"/>
              </w:rPr>
              <w:t>(Address of principal executive offices, including zip code)</w:t>
            </w:r>
          </w:p>
        </w:tc>
      </w:tr>
      <w:tr>
        <w:trPr>
          <w:trHeight w:val="356"/>
        </w:trPr>
        <w:tc>
          <w:tcPr>
            <w:tcW w:w="3460" w:type="dxa"/>
            <w:vAlign w:val="bottom"/>
          </w:tcPr>
          <w:p>
            <w:pPr>
              <w:spacing w:after="0"/>
              <w:rPr>
                <w:sz w:val="24"/>
                <w:szCs w:val="24"/>
                <w:color w:val="auto"/>
              </w:rPr>
            </w:pPr>
          </w:p>
        </w:tc>
        <w:tc>
          <w:tcPr>
            <w:tcW w:w="3340" w:type="dxa"/>
            <w:vAlign w:val="bottom"/>
            <w:gridSpan w:val="2"/>
          </w:tcPr>
          <w:p>
            <w:pPr>
              <w:jc w:val="center"/>
              <w:ind w:left="1091"/>
              <w:spacing w:after="0"/>
              <w:rPr>
                <w:sz w:val="20"/>
                <w:szCs w:val="20"/>
                <w:color w:val="auto"/>
              </w:rPr>
            </w:pPr>
            <w:r>
              <w:rPr>
                <w:rFonts w:ascii="Arial" w:cs="Arial" w:eastAsia="Arial" w:hAnsi="Arial"/>
                <w:sz w:val="18"/>
                <w:szCs w:val="18"/>
                <w:b w:val="1"/>
                <w:bCs w:val="1"/>
                <w:color w:val="auto"/>
                <w:w w:val="90"/>
              </w:rPr>
              <w:t>(408) 235-7700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10"/>
        </w:trPr>
        <w:tc>
          <w:tcPr>
            <w:tcW w:w="3460" w:type="dxa"/>
            <w:vAlign w:val="bottom"/>
          </w:tcPr>
          <w:p>
            <w:pPr>
              <w:spacing w:after="0"/>
              <w:rPr>
                <w:sz w:val="18"/>
                <w:szCs w:val="18"/>
                <w:color w:val="auto"/>
              </w:rPr>
            </w:pPr>
          </w:p>
        </w:tc>
        <w:tc>
          <w:tcPr>
            <w:tcW w:w="7460" w:type="dxa"/>
            <w:vAlign w:val="bottom"/>
            <w:gridSpan w:val="6"/>
          </w:tcPr>
          <w:p>
            <w:pPr>
              <w:jc w:val="center"/>
              <w:ind w:right="2877"/>
              <w:spacing w:after="0"/>
              <w:rPr>
                <w:sz w:val="20"/>
                <w:szCs w:val="20"/>
                <w:color w:val="auto"/>
              </w:rPr>
            </w:pPr>
            <w:r>
              <w:rPr>
                <w:rFonts w:ascii="Arial" w:cs="Arial" w:eastAsia="Arial" w:hAnsi="Arial"/>
                <w:sz w:val="16"/>
                <w:szCs w:val="16"/>
                <w:b w:val="1"/>
                <w:bCs w:val="1"/>
                <w:color w:val="auto"/>
                <w:w w:val="90"/>
              </w:rPr>
              <w:t>(Registrant’s telephone number, including area code)</w:t>
            </w:r>
          </w:p>
        </w:tc>
      </w:tr>
      <w:tr>
        <w:trPr>
          <w:trHeight w:val="317"/>
        </w:trPr>
        <w:tc>
          <w:tcPr>
            <w:tcW w:w="682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Exchange Act:</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486"/>
        </w:trPr>
        <w:tc>
          <w:tcPr>
            <w:tcW w:w="3460" w:type="dxa"/>
            <w:vAlign w:val="bottom"/>
          </w:tcPr>
          <w:p>
            <w:pPr>
              <w:jc w:val="center"/>
              <w:ind w:left="134"/>
              <w:spacing w:after="0"/>
              <w:rPr>
                <w:sz w:val="20"/>
                <w:szCs w:val="20"/>
                <w:color w:val="auto"/>
              </w:rPr>
            </w:pPr>
            <w:r>
              <w:rPr>
                <w:rFonts w:ascii="Arial" w:cs="Arial" w:eastAsia="Arial" w:hAnsi="Arial"/>
                <w:sz w:val="18"/>
                <w:szCs w:val="18"/>
                <w:b w:val="1"/>
                <w:bCs w:val="1"/>
                <w:color w:val="auto"/>
                <w:w w:val="90"/>
              </w:rPr>
              <w:t>Common Stock, $0.001 Par Value</w:t>
            </w:r>
          </w:p>
        </w:tc>
        <w:tc>
          <w:tcPr>
            <w:tcW w:w="3360" w:type="dxa"/>
            <w:vAlign w:val="bottom"/>
            <w:gridSpan w:val="3"/>
          </w:tcPr>
          <w:p>
            <w:pPr>
              <w:jc w:val="center"/>
              <w:ind w:left="971"/>
              <w:spacing w:after="0"/>
              <w:rPr>
                <w:sz w:val="20"/>
                <w:szCs w:val="20"/>
                <w:color w:val="auto"/>
              </w:rPr>
            </w:pPr>
            <w:r>
              <w:rPr>
                <w:rFonts w:ascii="Arial" w:cs="Arial" w:eastAsia="Arial" w:hAnsi="Arial"/>
                <w:sz w:val="16"/>
                <w:szCs w:val="16"/>
                <w:b w:val="1"/>
                <w:bCs w:val="1"/>
                <w:color w:val="auto"/>
              </w:rPr>
              <w:t>FTNT</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40" w:type="dxa"/>
            <w:vAlign w:val="bottom"/>
          </w:tcPr>
          <w:p>
            <w:pPr>
              <w:jc w:val="center"/>
              <w:ind w:left="497"/>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64"/>
        </w:trPr>
        <w:tc>
          <w:tcPr>
            <w:tcW w:w="3460" w:type="dxa"/>
            <w:vAlign w:val="bottom"/>
          </w:tcPr>
          <w:p>
            <w:pPr>
              <w:jc w:val="center"/>
              <w:ind w:left="134"/>
              <w:spacing w:after="0"/>
              <w:rPr>
                <w:sz w:val="20"/>
                <w:szCs w:val="20"/>
                <w:color w:val="auto"/>
              </w:rPr>
            </w:pPr>
            <w:r>
              <w:rPr>
                <w:rFonts w:ascii="Arial" w:cs="Arial" w:eastAsia="Arial" w:hAnsi="Arial"/>
                <w:sz w:val="16"/>
                <w:szCs w:val="16"/>
                <w:b w:val="1"/>
                <w:bCs w:val="1"/>
                <w:color w:val="auto"/>
                <w:w w:val="88"/>
              </w:rPr>
              <w:t>(Title of each class)</w:t>
            </w:r>
          </w:p>
        </w:tc>
        <w:tc>
          <w:tcPr>
            <w:tcW w:w="3360" w:type="dxa"/>
            <w:vAlign w:val="bottom"/>
            <w:gridSpan w:val="3"/>
          </w:tcPr>
          <w:p>
            <w:pPr>
              <w:jc w:val="center"/>
              <w:ind w:left="971"/>
              <w:spacing w:after="0"/>
              <w:rPr>
                <w:sz w:val="20"/>
                <w:szCs w:val="20"/>
                <w:color w:val="auto"/>
              </w:rPr>
            </w:pPr>
            <w:r>
              <w:rPr>
                <w:rFonts w:ascii="Arial" w:cs="Arial" w:eastAsia="Arial" w:hAnsi="Arial"/>
                <w:sz w:val="16"/>
                <w:szCs w:val="16"/>
                <w:b w:val="1"/>
                <w:bCs w:val="1"/>
                <w:color w:val="auto"/>
                <w:w w:val="92"/>
              </w:rPr>
              <w:t>(Trading Symbol)</w:t>
            </w: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340" w:type="dxa"/>
            <w:vAlign w:val="bottom"/>
          </w:tcPr>
          <w:p>
            <w:pPr>
              <w:jc w:val="center"/>
              <w:ind w:left="497"/>
              <w:spacing w:after="0"/>
              <w:rPr>
                <w:sz w:val="20"/>
                <w:szCs w:val="20"/>
                <w:color w:val="auto"/>
              </w:rPr>
            </w:pPr>
            <w:r>
              <w:rPr>
                <w:rFonts w:ascii="Arial" w:cs="Arial" w:eastAsia="Arial" w:hAnsi="Arial"/>
                <w:sz w:val="16"/>
                <w:szCs w:val="16"/>
                <w:b w:val="1"/>
                <w:bCs w:val="1"/>
                <w:color w:val="auto"/>
                <w:w w:val="89"/>
              </w:rPr>
              <w:t>(Name of exchange on which registered)</w:t>
            </w:r>
          </w:p>
        </w:tc>
      </w:tr>
    </w:tbl>
    <w:p>
      <w:pPr>
        <w:spacing w:after="0" w:line="262" w:lineRule="exact"/>
        <w:rPr>
          <w:sz w:val="24"/>
          <w:szCs w:val="24"/>
          <w:color w:val="auto"/>
        </w:rPr>
      </w:pPr>
    </w:p>
    <w:p>
      <w:pPr>
        <w:jc w:val="both"/>
        <w:ind w:right="80" w:firstLine="324"/>
        <w:spacing w:after="0" w:line="26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56" w:lineRule="exact"/>
        <w:rPr>
          <w:sz w:val="24"/>
          <w:szCs w:val="24"/>
          <w:color w:val="auto"/>
        </w:rPr>
      </w:pPr>
    </w:p>
    <w:p>
      <w:pPr>
        <w:ind w:right="220" w:firstLine="270"/>
        <w:spacing w:after="0" w:line="26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29" w:lineRule="exact"/>
        <w:rPr>
          <w:sz w:val="24"/>
          <w:szCs w:val="24"/>
          <w:color w:val="auto"/>
        </w:rPr>
      </w:pPr>
    </w:p>
    <w:p>
      <w:pPr>
        <w:ind w:firstLine="27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229" w:right="27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6" w:lineRule="exact"/>
        <w:rPr>
          <w:sz w:val="20"/>
          <w:szCs w:val="20"/>
          <w:color w:val="auto"/>
        </w:rPr>
      </w:pPr>
    </w:p>
    <w:tbl>
      <w:tblPr>
        <w:tblLayout w:type="fixed"/>
        <w:tblInd w:w="40" w:type="dxa"/>
        <w:tblCellMar>
          <w:top w:w="0" w:type="dxa"/>
          <w:left w:w="0" w:type="dxa"/>
          <w:bottom w:w="0" w:type="dxa"/>
          <w:right w:w="0" w:type="dxa"/>
        </w:tblCellMar>
      </w:tblPr>
      <w:tr>
        <w:trPr>
          <w:trHeight w:val="311"/>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980" w:type="dxa"/>
            <w:vAlign w:val="bottom"/>
          </w:tcPr>
          <w:p>
            <w:pPr>
              <w:ind w:left="266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11"/>
        </w:trPr>
        <w:tc>
          <w:tcPr>
            <w:tcW w:w="2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980" w:type="dxa"/>
            <w:vAlign w:val="bottom"/>
          </w:tcPr>
          <w:p>
            <w:pPr>
              <w:ind w:left="266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9"/>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980" w:type="dxa"/>
            <w:vAlign w:val="bottom"/>
          </w:tcPr>
          <w:p>
            <w:pPr>
              <w:ind w:left="266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168" w:lineRule="exact"/>
        <w:rPr>
          <w:sz w:val="20"/>
          <w:szCs w:val="20"/>
          <w:color w:val="auto"/>
        </w:rPr>
      </w:pPr>
    </w:p>
    <w:p>
      <w:pPr>
        <w:ind w:firstLine="270"/>
        <w:spacing w:after="0" w:line="26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94" w:lineRule="exact"/>
        <w:rPr>
          <w:sz w:val="20"/>
          <w:szCs w:val="20"/>
          <w:color w:val="auto"/>
        </w:rPr>
      </w:pPr>
    </w:p>
    <w:p>
      <w:pPr>
        <w:ind w:left="280" w:right="2200"/>
        <w:spacing w:after="0" w:line="348"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r>
        <w:rPr>
          <w:rFonts w:ascii="Arial" w:cs="Arial" w:eastAsia="Arial" w:hAnsi="Arial"/>
          <w:sz w:val="18"/>
          <w:szCs w:val="18"/>
          <w:color w:val="auto"/>
        </w:rPr>
        <w:t xml:space="preserve"> As of October 23, 2019, there were 171,033,736 shares of the registrant’s common stock outstanding.</w:t>
      </w:r>
    </w:p>
    <w:p>
      <w:pPr>
        <w:sectPr>
          <w:pgSz w:w="11900" w:h="16838" w:orient="portrait"/>
          <w:cols w:equalWidth="0" w:num="1">
            <w:col w:w="11340"/>
          </w:cols>
          <w:pgMar w:left="240" w:top="121" w:right="31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September 30, 2019</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4"/>
          </w:tcPr>
          <w:p>
            <w:pPr>
              <w:ind w:left="1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80" w:type="dxa"/>
            <w:vAlign w:val="bottom"/>
            <w:gridSpan w:val="10"/>
            <w:vMerge w:val="restart"/>
          </w:tcPr>
          <w:p>
            <w:pPr>
              <w:jc w:val="center"/>
              <w:ind w:right="2920"/>
              <w:spacing w:after="0"/>
              <w:rPr>
                <w:sz w:val="20"/>
                <w:szCs w:val="20"/>
                <w:color w:val="auto"/>
              </w:rPr>
            </w:pPr>
            <w:r>
              <w:rPr>
                <w:rFonts w:ascii="Arial" w:cs="Arial" w:eastAsia="Arial" w:hAnsi="Arial"/>
                <w:sz w:val="18"/>
                <w:szCs w:val="18"/>
                <w:b w:val="1"/>
                <w:bCs w:val="1"/>
                <w:color w:val="auto"/>
              </w:rPr>
              <w:t>PART I</w:t>
            </w:r>
            <w:r>
              <w:rPr>
                <w:rFonts w:ascii="Arial" w:cs="Arial" w:eastAsia="Arial" w:hAnsi="Arial"/>
                <w:sz w:val="18"/>
                <w:szCs w:val="18"/>
                <w:color w:val="auto"/>
              </w:rPr>
              <w:t>—</w:t>
            </w:r>
            <w:r>
              <w:rPr>
                <w:rFonts w:ascii="Arial" w:cs="Arial" w:eastAsia="Arial" w:hAnsi="Arial"/>
                <w:sz w:val="18"/>
                <w:szCs w:val="18"/>
                <w:b w:val="1"/>
                <w:bCs w:val="1"/>
                <w:color w:val="auto"/>
              </w:rPr>
              <w:t>FINANCIAL INFORMATION</w:t>
            </w: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80" w:type="dxa"/>
            <w:vAlign w:val="bottom"/>
            <w:gridSpan w:val="10"/>
            <w:vMerge w:val="continue"/>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7400" w:type="dxa"/>
            <w:vAlign w:val="bottom"/>
            <w:gridSpan w:val="11"/>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658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September 30, 2019 and December 31, 2018</w:t>
              </w:r>
            </w:hyperlink>
          </w:p>
        </w:tc>
        <w:tc>
          <w:tcPr>
            <w:tcW w:w="3200" w:type="dxa"/>
            <w:vAlign w:val="bottom"/>
            <w:gridSpan w:val="5"/>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978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 for the Three and Nine Months Ended September 30, 2019 and 2018</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9780" w:type="dxa"/>
            <w:vAlign w:val="bottom"/>
            <w:gridSpan w:val="17"/>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Comprehensive Income for the Three and Nine Months Ended September 30, 2019 and 2018</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93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Stockholders’ Equity for the Three and Nine Months Ended September 30, 2019 and 2018</w:t>
              </w:r>
            </w:hyperlink>
          </w:p>
        </w:tc>
        <w:tc>
          <w:tcPr>
            <w:tcW w:w="18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9780" w:type="dxa"/>
            <w:vAlign w:val="bottom"/>
            <w:gridSpan w:val="1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 for the Nine Months Ended September 30, 2019 and 2018</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7920" w:type="dxa"/>
            <w:vAlign w:val="bottom"/>
            <w:tcBorders>
              <w:top w:val="single" w:sz="8" w:color="0000EE"/>
            </w:tcBorders>
            <w:gridSpan w:val="1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w:t>
              </w:r>
            </w:hyperlink>
          </w:p>
        </w:tc>
        <w:tc>
          <w:tcPr>
            <w:tcW w:w="1860" w:type="dxa"/>
            <w:vAlign w:val="bottom"/>
            <w:gridSpan w:val="4"/>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1"/>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Management’s Discussion and Analysis of Financial Condition and Results of Operations</w:t>
              </w:r>
            </w:hyperlink>
          </w:p>
        </w:tc>
        <w:tc>
          <w:tcPr>
            <w:tcW w:w="332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6460" w:type="dxa"/>
            <w:vAlign w:val="bottom"/>
            <w:gridSpan w:val="1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332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gridSpan w:val="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5480" w:type="dxa"/>
            <w:vAlign w:val="bottom"/>
            <w:gridSpan w:val="8"/>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80" w:type="dxa"/>
            <w:vAlign w:val="bottom"/>
            <w:gridSpan w:val="10"/>
          </w:tcPr>
          <w:p>
            <w:pPr>
              <w:jc w:val="center"/>
              <w:ind w:right="2940"/>
              <w:spacing w:after="0"/>
              <w:rPr>
                <w:sz w:val="20"/>
                <w:szCs w:val="20"/>
                <w:color w:val="auto"/>
              </w:rPr>
            </w:pPr>
            <w:r>
              <w:rPr>
                <w:rFonts w:ascii="Arial" w:cs="Arial" w:eastAsia="Arial" w:hAnsi="Arial"/>
                <w:sz w:val="18"/>
                <w:szCs w:val="18"/>
                <w:b w:val="1"/>
                <w:bCs w:val="1"/>
                <w:color w:val="auto"/>
              </w:rPr>
              <w:t>PART II—OTHER INFORMATION</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780" w:type="dxa"/>
            <w:vAlign w:val="bottom"/>
            <w:gridSpan w:val="1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2"/>
          </w:tcPr>
          <w:p>
            <w:pPr>
              <w:spacing w:after="0"/>
              <w:rPr>
                <w:rFonts w:ascii="Arial" w:cs="Arial" w:eastAsia="Arial" w:hAnsi="Arial"/>
                <w:sz w:val="18"/>
                <w:szCs w:val="18"/>
                <w:color w:val="0000EE"/>
                <w:w w:val="87"/>
              </w:rPr>
            </w:pPr>
            <w:hyperlink w:anchor="page42">
              <w:r>
                <w:rPr>
                  <w:rFonts w:ascii="Arial" w:cs="Arial" w:eastAsia="Arial" w:hAnsi="Arial"/>
                  <w:sz w:val="18"/>
                  <w:szCs w:val="18"/>
                  <w:color w:val="0000EE"/>
                  <w:w w:val="87"/>
                </w:rPr>
                <w:t>Risk Factors</w:t>
              </w:r>
            </w:hyperlink>
          </w:p>
        </w:tc>
        <w:tc>
          <w:tcPr>
            <w:tcW w:w="420" w:type="dxa"/>
            <w:vAlign w:val="bottom"/>
            <w:gridSpan w:val="2"/>
          </w:tcPr>
          <w:p>
            <w:pPr>
              <w:spacing w:after="0"/>
              <w:rPr>
                <w:sz w:val="21"/>
                <w:szCs w:val="21"/>
                <w:color w:val="auto"/>
              </w:rPr>
            </w:pPr>
          </w:p>
        </w:tc>
        <w:tc>
          <w:tcPr>
            <w:tcW w:w="8460" w:type="dxa"/>
            <w:vAlign w:val="bottom"/>
            <w:gridSpan w:val="1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780" w:type="dxa"/>
            <w:vAlign w:val="bottom"/>
            <w:gridSpan w:val="17"/>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2900" w:type="dxa"/>
            <w:vAlign w:val="bottom"/>
            <w:gridSpan w:val="7"/>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Exhibits, Financial Statement Schedules</w:t>
              </w:r>
            </w:hyperlink>
          </w:p>
        </w:tc>
        <w:tc>
          <w:tcPr>
            <w:tcW w:w="1440" w:type="dxa"/>
            <w:vAlign w:val="bottom"/>
            <w:gridSpan w:val="3"/>
          </w:tcPr>
          <w:p>
            <w:pPr>
              <w:spacing w:after="0"/>
              <w:rPr>
                <w:sz w:val="21"/>
                <w:szCs w:val="21"/>
                <w:color w:val="auto"/>
              </w:rPr>
            </w:pPr>
          </w:p>
        </w:tc>
        <w:tc>
          <w:tcPr>
            <w:tcW w:w="544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688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980" w:type="dxa"/>
            <w:vAlign w:val="bottom"/>
            <w:gridSpan w:val="3"/>
          </w:tcPr>
          <w:p>
            <w:pPr>
              <w:spacing w:after="0"/>
              <w:rPr>
                <w:rFonts w:ascii="Arial" w:cs="Arial" w:eastAsia="Arial" w:hAnsi="Arial"/>
                <w:sz w:val="18"/>
                <w:szCs w:val="18"/>
                <w:color w:val="0000EE"/>
                <w:w w:val="93"/>
              </w:rPr>
            </w:pPr>
            <w:hyperlink w:anchor="page71">
              <w:r>
                <w:rPr>
                  <w:rFonts w:ascii="Arial" w:cs="Arial" w:eastAsia="Arial" w:hAnsi="Arial"/>
                  <w:sz w:val="18"/>
                  <w:szCs w:val="18"/>
                  <w:color w:val="0000EE"/>
                  <w:w w:val="93"/>
                </w:rPr>
                <w:t>Exhibit Index</w:t>
              </w:r>
            </w:hyperlink>
          </w:p>
        </w:tc>
        <w:tc>
          <w:tcPr>
            <w:tcW w:w="1920" w:type="dxa"/>
            <w:vAlign w:val="bottom"/>
            <w:gridSpan w:val="4"/>
          </w:tcPr>
          <w:p>
            <w:pPr>
              <w:spacing w:after="0"/>
              <w:rPr>
                <w:sz w:val="21"/>
                <w:szCs w:val="21"/>
                <w:color w:val="auto"/>
              </w:rPr>
            </w:pPr>
          </w:p>
        </w:tc>
        <w:tc>
          <w:tcPr>
            <w:tcW w:w="6880" w:type="dxa"/>
            <w:vAlign w:val="bottom"/>
            <w:gridSpan w:val="10"/>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80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760" w:type="dxa"/>
            <w:vAlign w:val="bottom"/>
          </w:tcPr>
          <w:p>
            <w:pPr>
              <w:spacing w:after="0"/>
              <w:rPr>
                <w:rFonts w:ascii="Arial" w:cs="Arial" w:eastAsia="Arial" w:hAnsi="Arial"/>
                <w:sz w:val="18"/>
                <w:szCs w:val="18"/>
                <w:color w:val="0000EE"/>
                <w:w w:val="85"/>
              </w:rPr>
            </w:pPr>
            <w:hyperlink w:anchor="page72">
              <w:r>
                <w:rPr>
                  <w:rFonts w:ascii="Arial" w:cs="Arial" w:eastAsia="Arial" w:hAnsi="Arial"/>
                  <w:sz w:val="18"/>
                  <w:szCs w:val="18"/>
                  <w:color w:val="0000EE"/>
                  <w:w w:val="85"/>
                </w:rPr>
                <w:t>Signatures</w:t>
              </w:r>
            </w:hyperlink>
          </w:p>
        </w:tc>
        <w:tc>
          <w:tcPr>
            <w:tcW w:w="220" w:type="dxa"/>
            <w:vAlign w:val="bottom"/>
            <w:gridSpan w:val="2"/>
          </w:tcPr>
          <w:p>
            <w:pPr>
              <w:spacing w:after="0"/>
              <w:rPr>
                <w:sz w:val="21"/>
                <w:szCs w:val="21"/>
                <w:color w:val="auto"/>
              </w:rPr>
            </w:pPr>
          </w:p>
        </w:tc>
        <w:tc>
          <w:tcPr>
            <w:tcW w:w="8800" w:type="dxa"/>
            <w:vAlign w:val="bottom"/>
            <w:gridSpan w:val="1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72">
              <w:r>
                <w:rPr>
                  <w:rFonts w:ascii="Arial" w:cs="Arial" w:eastAsia="Arial" w:hAnsi="Arial"/>
                  <w:sz w:val="18"/>
                  <w:szCs w:val="18"/>
                  <w:color w:val="0000EE"/>
                </w:rPr>
                <w:t>69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36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7520" w:type="dxa"/>
            <w:vAlign w:val="bottom"/>
          </w:tcPr>
          <w:p>
            <w:pPr>
              <w:jc w:val="center"/>
              <w:ind w:left="2190"/>
              <w:spacing w:after="0"/>
              <w:rPr>
                <w:sz w:val="20"/>
                <w:szCs w:val="20"/>
                <w:color w:val="auto"/>
              </w:rPr>
            </w:pPr>
            <w:r>
              <w:rPr>
                <w:rFonts w:ascii="Arial" w:cs="Arial" w:eastAsia="Arial" w:hAnsi="Arial"/>
                <w:sz w:val="18"/>
                <w:szCs w:val="18"/>
                <w:b w:val="1"/>
                <w:bCs w:val="1"/>
                <w:color w:val="auto"/>
              </w:rPr>
              <w:t>PART I—FINANCIAL INFORMATION</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4"/>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520" w:type="dxa"/>
            <w:vAlign w:val="bottom"/>
          </w:tcPr>
          <w:p>
            <w:pPr>
              <w:ind w:left="48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rPr>
              <w:t>FORTINET, INC.</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9"/>
        </w:trPr>
        <w:tc>
          <w:tcPr>
            <w:tcW w:w="820" w:type="dxa"/>
            <w:vAlign w:val="bottom"/>
          </w:tcPr>
          <w:p>
            <w:pPr>
              <w:spacing w:after="0"/>
              <w:rPr>
                <w:sz w:val="24"/>
                <w:szCs w:val="24"/>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7520" w:type="dxa"/>
            <w:vAlign w:val="bottom"/>
          </w:tcPr>
          <w:p>
            <w:pPr>
              <w:jc w:val="center"/>
              <w:ind w:left="2190"/>
              <w:spacing w:after="0"/>
              <w:rPr>
                <w:sz w:val="20"/>
                <w:szCs w:val="20"/>
                <w:color w:val="auto"/>
              </w:rPr>
            </w:pPr>
            <w:r>
              <w:rPr>
                <w:rFonts w:ascii="Arial" w:cs="Arial" w:eastAsia="Arial" w:hAnsi="Arial"/>
                <w:sz w:val="18"/>
                <w:szCs w:val="18"/>
                <w:b w:val="1"/>
                <w:bCs w:val="1"/>
                <w:color w:val="auto"/>
                <w:w w:val="89"/>
              </w:rPr>
              <w:t>(unaudited, in millions, except per share amounts)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40"/>
        </w:trPr>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91"/>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8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r>
      <w:tr>
        <w:trPr>
          <w:trHeight w:val="33"/>
        </w:trPr>
        <w:tc>
          <w:tcPr>
            <w:tcW w:w="82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5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1,112.4</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764.8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537.2</w:t>
            </w: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receivable—net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444.5</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90.0</w:t>
            </w: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w:t>
            </w:r>
          </w:p>
        </w:tc>
      </w:tr>
      <w:tr>
        <w:trPr>
          <w:trHeight w:val="237"/>
        </w:trPr>
        <w:tc>
          <w:tcPr>
            <w:tcW w:w="82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2,466.2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2,220.9</w:t>
            </w: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EQUIPMENT—NET</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305.5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271.4</w:t>
            </w: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CONTRACT COSTS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182.6</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243.7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255.0</w:t>
            </w: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INTANGIBLE ASSETS—NET</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22.1</w:t>
            </w: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r>
      <w:tr>
        <w:trPr>
          <w:trHeight w:val="297"/>
        </w:trPr>
        <w:tc>
          <w:tcPr>
            <w:tcW w:w="83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3,545.6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3,078.0</w:t>
            </w:r>
          </w:p>
        </w:tc>
      </w:tr>
      <w:tr>
        <w:trPr>
          <w:trHeight w:val="23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86.4</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77.5</w:t>
            </w: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Accrued payroll and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98.4</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28.2</w:t>
            </w: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965.9</w:t>
            </w:r>
          </w:p>
        </w:tc>
      </w:tr>
      <w:tr>
        <w:trPr>
          <w:trHeight w:val="237"/>
        </w:trPr>
        <w:tc>
          <w:tcPr>
            <w:tcW w:w="82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1,256.4</w:t>
            </w: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720.9</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INCOME TAX LIABILITIES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77.5</w:t>
            </w: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r>
      <w:tr>
        <w:trPr>
          <w:trHeight w:val="237"/>
        </w:trPr>
        <w:tc>
          <w:tcPr>
            <w:tcW w:w="82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2,345.2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2,067.8</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11)</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9"/>
              </w:rPr>
              <w:t>Common stock, $0.001 par value—300 shares authorized; 171.3 and 169.8 shares issued and outstanding at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September 30, 2019 and December 31, 2018,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1,152.6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1,068.3</w:t>
            </w: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Retained earnings (accumulated deficit)</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7"/>
        </w:trPr>
        <w:tc>
          <w:tcPr>
            <w:tcW w:w="82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20" w:type="dxa"/>
            <w:vAlign w:val="bottom"/>
            <w:tcBorders>
              <w:bottom w:val="single" w:sz="8" w:color="CCEEFF"/>
            </w:tcBorders>
            <w:shd w:val="clear" w:color="auto" w:fill="CCEEFF"/>
          </w:tcPr>
          <w:p>
            <w:pPr>
              <w:spacing w:after="0"/>
              <w:rPr>
                <w:sz w:val="22"/>
                <w:szCs w:val="22"/>
                <w:color w:val="auto"/>
              </w:rPr>
            </w:pPr>
          </w:p>
        </w:tc>
        <w:tc>
          <w:tcPr>
            <w:tcW w:w="7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1,010.2</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3,545.6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3,078.0</w:t>
            </w:r>
          </w:p>
        </w:tc>
      </w:tr>
      <w:tr>
        <w:trPr>
          <w:trHeight w:val="20"/>
        </w:trPr>
        <w:tc>
          <w:tcPr>
            <w:tcW w:w="8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per share amounts)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1"/>
              <w:spacing w:after="0"/>
              <w:rPr>
                <w:sz w:val="20"/>
                <w:szCs w:val="20"/>
                <w:color w:val="auto"/>
              </w:rPr>
            </w:pPr>
            <w:r>
              <w:rPr>
                <w:rFonts w:ascii="Arial" w:cs="Arial" w:eastAsia="Arial" w:hAnsi="Arial"/>
                <w:sz w:val="16"/>
                <w:szCs w:val="16"/>
                <w:b w:val="1"/>
                <w:bCs w:val="1"/>
                <w:color w:val="auto"/>
                <w:w w:val="93"/>
              </w:rPr>
              <w:t>September 30,</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Product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197.1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549.7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473.6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820.6</w:t>
            </w:r>
          </w:p>
        </w:tc>
        <w:tc>
          <w:tcPr>
            <w:tcW w:w="0" w:type="dxa"/>
            <w:vAlign w:val="bottom"/>
          </w:tcPr>
          <w:p>
            <w:pPr>
              <w:spacing w:after="0"/>
              <w:rPr>
                <w:sz w:val="1"/>
                <w:szCs w:val="1"/>
                <w:color w:val="auto"/>
              </w:rPr>
            </w:pPr>
          </w:p>
        </w:tc>
      </w:tr>
      <w:tr>
        <w:trPr>
          <w:trHeight w:val="237"/>
        </w:trPr>
        <w:tc>
          <w:tcPr>
            <w:tcW w:w="5160" w:type="dxa"/>
            <w:vAlign w:val="bottom"/>
          </w:tcPr>
          <w:p>
            <w:pPr>
              <w:ind w:left="9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547.5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453.9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1,294.2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Product</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37"/>
        </w:trPr>
        <w:tc>
          <w:tcPr>
            <w:tcW w:w="5160" w:type="dxa"/>
            <w:vAlign w:val="bottom"/>
          </w:tcPr>
          <w:p>
            <w:pPr>
              <w:ind w:left="920"/>
              <w:spacing w:after="0"/>
              <w:rPr>
                <w:sz w:val="20"/>
                <w:szCs w:val="20"/>
                <w:color w:val="auto"/>
              </w:rPr>
            </w:pPr>
            <w:r>
              <w:rPr>
                <w:rFonts w:ascii="Arial" w:cs="Arial" w:eastAsia="Arial" w:hAnsi="Arial"/>
                <w:sz w:val="18"/>
                <w:szCs w:val="18"/>
                <w:color w:val="auto"/>
              </w:rPr>
              <w:t>Total cost of revenue</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365.4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Product</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317.8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702.8</w:t>
            </w:r>
          </w:p>
        </w:tc>
        <w:tc>
          <w:tcPr>
            <w:tcW w:w="0" w:type="dxa"/>
            <w:vAlign w:val="bottom"/>
          </w:tcPr>
          <w:p>
            <w:pPr>
              <w:spacing w:after="0"/>
              <w:rPr>
                <w:sz w:val="1"/>
                <w:szCs w:val="1"/>
                <w:color w:val="auto"/>
              </w:rPr>
            </w:pPr>
          </w:p>
        </w:tc>
      </w:tr>
      <w:tr>
        <w:trPr>
          <w:trHeight w:val="237"/>
        </w:trPr>
        <w:tc>
          <w:tcPr>
            <w:tcW w:w="5160" w:type="dxa"/>
            <w:vAlign w:val="bottom"/>
          </w:tcPr>
          <w:p>
            <w:pPr>
              <w:ind w:left="920"/>
              <w:spacing w:after="0"/>
              <w:rPr>
                <w:sz w:val="20"/>
                <w:szCs w:val="20"/>
                <w:color w:val="auto"/>
              </w:rPr>
            </w:pPr>
            <w:r>
              <w:rPr>
                <w:rFonts w:ascii="Arial" w:cs="Arial" w:eastAsia="Arial" w:hAnsi="Arial"/>
                <w:sz w:val="18"/>
                <w:szCs w:val="18"/>
                <w:color w:val="auto"/>
              </w:rPr>
              <w:t>Total gross profit</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423.4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972.3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576.4</w:t>
            </w: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826.4</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(EXPENSE)—NET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Net income per share (Note 9):</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171.3</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170.9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3"/>
              <w:spacing w:after="0"/>
              <w:rPr>
                <w:sz w:val="20"/>
                <w:szCs w:val="20"/>
                <w:color w:val="auto"/>
              </w:rPr>
            </w:pPr>
            <w:r>
              <w:rPr>
                <w:rFonts w:ascii="Arial" w:cs="Arial" w:eastAsia="Arial" w:hAnsi="Arial"/>
                <w:sz w:val="16"/>
                <w:szCs w:val="16"/>
                <w:b w:val="1"/>
                <w:bCs w:val="1"/>
                <w:color w:val="auto"/>
                <w:w w:val="93"/>
              </w:rPr>
              <w:t>September 30,</w:t>
            </w: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2018</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unrealized gains (losses) on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5160" w:type="dxa"/>
            <w:vAlign w:val="bottom"/>
          </w:tcPr>
          <w:p>
            <w:pPr>
              <w:ind w:left="380"/>
              <w:spacing w:after="0"/>
              <w:rPr>
                <w:sz w:val="20"/>
                <w:szCs w:val="20"/>
                <w:color w:val="auto"/>
              </w:rPr>
            </w:pPr>
            <w:r>
              <w:rPr>
                <w:rFonts w:ascii="Arial" w:cs="Arial" w:eastAsia="Arial" w:hAnsi="Arial"/>
                <w:sz w:val="18"/>
                <w:szCs w:val="18"/>
                <w:color w:val="auto"/>
                <w:w w:val="92"/>
              </w:rPr>
              <w:t>Less: tax provision related to change in unrealized gains (losses)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160" w:type="dxa"/>
            <w:vAlign w:val="bottom"/>
          </w:tcPr>
          <w:p>
            <w:pPr>
              <w:ind w:left="380"/>
              <w:spacing w:after="0"/>
              <w:rPr>
                <w:sz w:val="20"/>
                <w:szCs w:val="20"/>
                <w:color w:val="auto"/>
              </w:rPr>
            </w:pPr>
            <w:r>
              <w:rPr>
                <w:rFonts w:ascii="Arial" w:cs="Arial" w:eastAsia="Arial" w:hAnsi="Arial"/>
                <w:sz w:val="18"/>
                <w:szCs w:val="18"/>
                <w:color w:val="auto"/>
              </w:rPr>
              <w:t>on investments</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0.1</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149.4</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40" w:type="dxa"/>
            <w:vAlign w:val="bottom"/>
            <w:gridSpan w:val="11"/>
          </w:tcPr>
          <w:p>
            <w:pPr>
              <w:ind w:left="660"/>
              <w:spacing w:after="0"/>
              <w:rPr>
                <w:sz w:val="20"/>
                <w:szCs w:val="20"/>
                <w:color w:val="auto"/>
              </w:rPr>
            </w:pPr>
            <w:r>
              <w:rPr>
                <w:rFonts w:ascii="Arial" w:cs="Arial" w:eastAsia="Arial" w:hAnsi="Arial"/>
                <w:sz w:val="16"/>
                <w:szCs w:val="16"/>
                <w:b w:val="1"/>
                <w:bCs w:val="1"/>
                <w:color w:val="auto"/>
              </w:rPr>
              <w:t>Three Months Ended September 30, 2019</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2240" w:type="dxa"/>
            <w:vAlign w:val="bottom"/>
            <w:gridSpan w:val="5"/>
            <w:vMerge w:val="restart"/>
          </w:tcPr>
          <w:p>
            <w:pPr>
              <w:ind w:left="54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Retained</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224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Additional</w:t>
            </w:r>
          </w:p>
        </w:tc>
        <w:tc>
          <w:tcPr>
            <w:tcW w:w="20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Earnings</w:t>
            </w:r>
          </w:p>
        </w:tc>
        <w:tc>
          <w:tcPr>
            <w:tcW w:w="200" w:type="dxa"/>
            <w:vAlign w:val="bottom"/>
          </w:tcPr>
          <w:p>
            <w:pPr>
              <w:spacing w:after="0"/>
              <w:rPr>
                <w:sz w:val="17"/>
                <w:szCs w:val="17"/>
                <w:color w:val="auto"/>
              </w:rPr>
            </w:pPr>
          </w:p>
        </w:tc>
        <w:tc>
          <w:tcPr>
            <w:tcW w:w="820" w:type="dxa"/>
            <w:vAlign w:val="bottom"/>
          </w:tcPr>
          <w:p>
            <w:pPr>
              <w:jc w:val="right"/>
              <w:ind w:right="2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2"/>
        </w:trPr>
        <w:tc>
          <w:tcPr>
            <w:tcW w:w="458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line="182" w:lineRule="exact"/>
              <w:rPr>
                <w:sz w:val="20"/>
                <w:szCs w:val="20"/>
                <w:color w:val="auto"/>
              </w:rPr>
            </w:pPr>
            <w:r>
              <w:rPr>
                <w:rFonts w:ascii="Arial" w:cs="Arial" w:eastAsia="Arial" w:hAnsi="Arial"/>
                <w:sz w:val="16"/>
                <w:szCs w:val="16"/>
                <w:b w:val="1"/>
                <w:bCs w:val="1"/>
                <w:color w:val="auto"/>
                <w:w w:val="97"/>
              </w:rPr>
              <w:t>Paid-In</w:t>
            </w:r>
          </w:p>
        </w:tc>
        <w:tc>
          <w:tcPr>
            <w:tcW w:w="1220" w:type="dxa"/>
            <w:vAlign w:val="bottom"/>
            <w:gridSpan w:val="3"/>
          </w:tcPr>
          <w:p>
            <w:pPr>
              <w:jc w:val="center"/>
              <w:ind w:right="100"/>
              <w:spacing w:after="0" w:line="182" w:lineRule="exact"/>
              <w:rPr>
                <w:sz w:val="20"/>
                <w:szCs w:val="20"/>
                <w:color w:val="auto"/>
              </w:rPr>
            </w:pPr>
            <w:r>
              <w:rPr>
                <w:rFonts w:ascii="Arial" w:cs="Arial" w:eastAsia="Arial" w:hAnsi="Arial"/>
                <w:sz w:val="16"/>
                <w:szCs w:val="16"/>
                <w:b w:val="1"/>
                <w:bCs w:val="1"/>
                <w:color w:val="auto"/>
                <w:w w:val="89"/>
              </w:rPr>
              <w:t>Comprehensive</w:t>
            </w:r>
          </w:p>
        </w:tc>
        <w:tc>
          <w:tcPr>
            <w:tcW w:w="1140" w:type="dxa"/>
            <w:vAlign w:val="bottom"/>
            <w:gridSpan w:val="3"/>
          </w:tcPr>
          <w:p>
            <w:pPr>
              <w:jc w:val="center"/>
              <w:ind w:right="100"/>
              <w:spacing w:after="0" w:line="182" w:lineRule="exact"/>
              <w:rPr>
                <w:sz w:val="20"/>
                <w:szCs w:val="20"/>
                <w:color w:val="auto"/>
              </w:rPr>
            </w:pPr>
            <w:r>
              <w:rPr>
                <w:rFonts w:ascii="Arial" w:cs="Arial" w:eastAsia="Arial" w:hAnsi="Arial"/>
                <w:sz w:val="16"/>
                <w:szCs w:val="16"/>
                <w:b w:val="1"/>
                <w:bCs w:val="1"/>
                <w:color w:val="auto"/>
                <w:w w:val="90"/>
              </w:rPr>
              <w:t>(Accumulated</w:t>
            </w:r>
          </w:p>
        </w:tc>
        <w:tc>
          <w:tcPr>
            <w:tcW w:w="1020" w:type="dxa"/>
            <w:vAlign w:val="bottom"/>
            <w:gridSpan w:val="2"/>
          </w:tcPr>
          <w:p>
            <w:pPr>
              <w:ind w:left="20"/>
              <w:spacing w:after="0" w:line="182" w:lineRule="exact"/>
              <w:rPr>
                <w:sz w:val="20"/>
                <w:szCs w:val="20"/>
                <w:color w:val="auto"/>
              </w:rPr>
            </w:pPr>
            <w:r>
              <w:rPr>
                <w:rFonts w:ascii="Arial" w:cs="Arial" w:eastAsia="Arial" w:hAnsi="Arial"/>
                <w:sz w:val="16"/>
                <w:szCs w:val="16"/>
                <w:b w:val="1"/>
                <w:bCs w:val="1"/>
                <w:color w:val="auto"/>
                <w:w w:val="92"/>
              </w:rPr>
              <w:t>Stockholders’</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Income</w:t>
            </w: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Deficit)</w:t>
            </w:r>
          </w:p>
        </w:tc>
        <w:tc>
          <w:tcPr>
            <w:tcW w:w="20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BALANCE—June 30, 2019</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1,122.3</w:t>
            </w:r>
          </w:p>
        </w:tc>
        <w:tc>
          <w:tcPr>
            <w:tcW w:w="0" w:type="dxa"/>
            <w:vAlign w:val="bottom"/>
          </w:tcPr>
          <w:p>
            <w:pPr>
              <w:spacing w:after="0"/>
              <w:rPr>
                <w:sz w:val="1"/>
                <w:szCs w:val="1"/>
                <w:color w:val="auto"/>
              </w:rPr>
            </w:pPr>
          </w:p>
        </w:tc>
      </w:tr>
      <w:tr>
        <w:trPr>
          <w:trHeight w:val="229"/>
        </w:trPr>
        <w:tc>
          <w:tcPr>
            <w:tcW w:w="4580" w:type="dxa"/>
            <w:vAlign w:val="bottom"/>
          </w:tcPr>
          <w:p>
            <w:pPr>
              <w:ind w:left="280"/>
              <w:spacing w:after="0"/>
              <w:rPr>
                <w:sz w:val="20"/>
                <w:szCs w:val="20"/>
                <w:color w:val="auto"/>
              </w:rPr>
            </w:pPr>
            <w:r>
              <w:rPr>
                <w:rFonts w:ascii="Arial" w:cs="Arial" w:eastAsia="Arial" w:hAnsi="Arial"/>
                <w:sz w:val="18"/>
                <w:szCs w:val="18"/>
                <w:color w:val="auto"/>
              </w:rPr>
              <w:t>Issuance of common stock in connection with equity</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80"/>
              <w:spacing w:after="0"/>
              <w:rPr>
                <w:sz w:val="20"/>
                <w:szCs w:val="20"/>
                <w:color w:val="auto"/>
              </w:rPr>
            </w:pPr>
            <w:r>
              <w:rPr>
                <w:rFonts w:ascii="Arial" w:cs="Arial" w:eastAsia="Arial" w:hAnsi="Arial"/>
                <w:sz w:val="18"/>
                <w:szCs w:val="18"/>
                <w:color w:val="auto"/>
              </w:rPr>
              <w:t>incentive plans - net of tax withholding</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and retirement of common stock</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unrealized gain on investments - net of tax</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BALANCE—September 30, 2019</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1,152.6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1,200.4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60" w:type="dxa"/>
            <w:vAlign w:val="bottom"/>
            <w:gridSpan w:val="9"/>
          </w:tcPr>
          <w:p>
            <w:pPr>
              <w:jc w:val="right"/>
              <w:spacing w:after="0"/>
              <w:rPr>
                <w:sz w:val="20"/>
                <w:szCs w:val="20"/>
                <w:color w:val="auto"/>
              </w:rPr>
            </w:pPr>
            <w:r>
              <w:rPr>
                <w:rFonts w:ascii="Arial" w:cs="Arial" w:eastAsia="Arial" w:hAnsi="Arial"/>
                <w:sz w:val="16"/>
                <w:szCs w:val="16"/>
                <w:b w:val="1"/>
                <w:bCs w:val="1"/>
                <w:color w:val="auto"/>
              </w:rPr>
              <w:t>Three Months Ended September 30, 2018</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2240" w:type="dxa"/>
            <w:vAlign w:val="bottom"/>
            <w:gridSpan w:val="5"/>
            <w:vMerge w:val="restart"/>
          </w:tcPr>
          <w:p>
            <w:pPr>
              <w:ind w:left="54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Accumulated</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224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Additional</w:t>
            </w:r>
          </w:p>
        </w:tc>
        <w:tc>
          <w:tcPr>
            <w:tcW w:w="240" w:type="dxa"/>
            <w:vAlign w:val="bottom"/>
          </w:tcPr>
          <w:p>
            <w:pPr>
              <w:spacing w:after="0"/>
              <w:rPr>
                <w:sz w:val="17"/>
                <w:szCs w:val="17"/>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Other</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2"/>
        </w:trPr>
        <w:tc>
          <w:tcPr>
            <w:tcW w:w="458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line="182" w:lineRule="exact"/>
              <w:rPr>
                <w:sz w:val="20"/>
                <w:szCs w:val="20"/>
                <w:color w:val="auto"/>
              </w:rPr>
            </w:pPr>
            <w:r>
              <w:rPr>
                <w:rFonts w:ascii="Arial" w:cs="Arial" w:eastAsia="Arial" w:hAnsi="Arial"/>
                <w:sz w:val="16"/>
                <w:szCs w:val="16"/>
                <w:b w:val="1"/>
                <w:bCs w:val="1"/>
                <w:color w:val="auto"/>
                <w:w w:val="97"/>
              </w:rPr>
              <w:t>Paid-In</w:t>
            </w:r>
          </w:p>
        </w:tc>
        <w:tc>
          <w:tcPr>
            <w:tcW w:w="1220" w:type="dxa"/>
            <w:vAlign w:val="bottom"/>
            <w:gridSpan w:val="3"/>
          </w:tcPr>
          <w:p>
            <w:pPr>
              <w:jc w:val="center"/>
              <w:ind w:right="100"/>
              <w:spacing w:after="0" w:line="182" w:lineRule="exact"/>
              <w:rPr>
                <w:sz w:val="20"/>
                <w:szCs w:val="20"/>
                <w:color w:val="auto"/>
              </w:rPr>
            </w:pPr>
            <w:r>
              <w:rPr>
                <w:rFonts w:ascii="Arial" w:cs="Arial" w:eastAsia="Arial" w:hAnsi="Arial"/>
                <w:sz w:val="16"/>
                <w:szCs w:val="16"/>
                <w:b w:val="1"/>
                <w:bCs w:val="1"/>
                <w:color w:val="auto"/>
                <w:w w:val="89"/>
              </w:rPr>
              <w:t>Comprehensive</w:t>
            </w:r>
          </w:p>
        </w:tc>
        <w:tc>
          <w:tcPr>
            <w:tcW w:w="1140" w:type="dxa"/>
            <w:vAlign w:val="bottom"/>
            <w:gridSpan w:val="3"/>
          </w:tcPr>
          <w:p>
            <w:pPr>
              <w:jc w:val="center"/>
              <w:ind w:right="100"/>
              <w:spacing w:after="0" w:line="182" w:lineRule="exact"/>
              <w:rPr>
                <w:sz w:val="20"/>
                <w:szCs w:val="20"/>
                <w:color w:val="auto"/>
              </w:rPr>
            </w:pPr>
            <w:r>
              <w:rPr>
                <w:rFonts w:ascii="Arial" w:cs="Arial" w:eastAsia="Arial" w:hAnsi="Arial"/>
                <w:sz w:val="16"/>
                <w:szCs w:val="16"/>
                <w:b w:val="1"/>
                <w:bCs w:val="1"/>
                <w:color w:val="auto"/>
                <w:w w:val="91"/>
              </w:rPr>
              <w:t>Accumulated</w:t>
            </w:r>
          </w:p>
        </w:tc>
        <w:tc>
          <w:tcPr>
            <w:tcW w:w="1020" w:type="dxa"/>
            <w:vAlign w:val="bottom"/>
            <w:gridSpan w:val="2"/>
          </w:tcPr>
          <w:p>
            <w:pPr>
              <w:ind w:left="20"/>
              <w:spacing w:after="0" w:line="182" w:lineRule="exact"/>
              <w:rPr>
                <w:sz w:val="20"/>
                <w:szCs w:val="20"/>
                <w:color w:val="auto"/>
              </w:rPr>
            </w:pPr>
            <w:r>
              <w:rPr>
                <w:rFonts w:ascii="Arial" w:cs="Arial" w:eastAsia="Arial" w:hAnsi="Arial"/>
                <w:sz w:val="16"/>
                <w:szCs w:val="16"/>
                <w:b w:val="1"/>
                <w:bCs w:val="1"/>
                <w:color w:val="auto"/>
                <w:w w:val="92"/>
              </w:rPr>
              <w:t>Stockholders’</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1000" w:type="dxa"/>
            <w:vAlign w:val="bottom"/>
          </w:tcPr>
          <w:p>
            <w:pPr>
              <w:jc w:val="right"/>
              <w:ind w:right="172"/>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2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5"/>
              </w:rPr>
              <w:t>Loss</w:t>
            </w:r>
          </w:p>
        </w:tc>
        <w:tc>
          <w:tcPr>
            <w:tcW w:w="260" w:type="dxa"/>
            <w:vAlign w:val="bottom"/>
          </w:tcPr>
          <w:p>
            <w:pPr>
              <w:spacing w:after="0"/>
              <w:rPr>
                <w:sz w:val="18"/>
                <w:szCs w:val="18"/>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Deficit</w:t>
            </w:r>
          </w:p>
        </w:tc>
        <w:tc>
          <w:tcPr>
            <w:tcW w:w="20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BALANCE—June 30, 2018</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780.2</w:t>
            </w:r>
          </w:p>
        </w:tc>
        <w:tc>
          <w:tcPr>
            <w:tcW w:w="0" w:type="dxa"/>
            <w:vAlign w:val="bottom"/>
          </w:tcPr>
          <w:p>
            <w:pPr>
              <w:spacing w:after="0"/>
              <w:rPr>
                <w:sz w:val="1"/>
                <w:szCs w:val="1"/>
                <w:color w:val="auto"/>
              </w:rPr>
            </w:pPr>
          </w:p>
        </w:tc>
      </w:tr>
      <w:tr>
        <w:trPr>
          <w:trHeight w:val="229"/>
        </w:trPr>
        <w:tc>
          <w:tcPr>
            <w:tcW w:w="4580" w:type="dxa"/>
            <w:vAlign w:val="bottom"/>
          </w:tcPr>
          <w:p>
            <w:pPr>
              <w:ind w:left="280"/>
              <w:spacing w:after="0"/>
              <w:rPr>
                <w:sz w:val="20"/>
                <w:szCs w:val="20"/>
                <w:color w:val="auto"/>
              </w:rPr>
            </w:pPr>
            <w:r>
              <w:rPr>
                <w:rFonts w:ascii="Arial" w:cs="Arial" w:eastAsia="Arial" w:hAnsi="Arial"/>
                <w:sz w:val="18"/>
                <w:szCs w:val="18"/>
                <w:color w:val="auto"/>
              </w:rPr>
              <w:t>Issuance of common stock in connection with equity</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80"/>
              <w:spacing w:after="0"/>
              <w:rPr>
                <w:sz w:val="20"/>
                <w:szCs w:val="20"/>
                <w:color w:val="auto"/>
              </w:rPr>
            </w:pPr>
            <w:r>
              <w:rPr>
                <w:rFonts w:ascii="Arial" w:cs="Arial" w:eastAsia="Arial" w:hAnsi="Arial"/>
                <w:sz w:val="18"/>
                <w:szCs w:val="18"/>
                <w:color w:val="auto"/>
              </w:rPr>
              <w:t>incentive plans - net of tax withholding</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and retirement of common stock</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unrealized gain on investments - net of tax</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BALANCE—September 30, 2018</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170.3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1,048.4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891.6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121" w:right="3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00" w:type="dxa"/>
            <w:vAlign w:val="bottom"/>
            <w:gridSpan w:val="9"/>
          </w:tcPr>
          <w:p>
            <w:pPr>
              <w:jc w:val="right"/>
              <w:spacing w:after="0"/>
              <w:rPr>
                <w:sz w:val="20"/>
                <w:szCs w:val="20"/>
                <w:color w:val="auto"/>
              </w:rPr>
            </w:pPr>
            <w:r>
              <w:rPr>
                <w:rFonts w:ascii="Arial" w:cs="Arial" w:eastAsia="Arial" w:hAnsi="Arial"/>
                <w:sz w:val="16"/>
                <w:szCs w:val="16"/>
                <w:b w:val="1"/>
                <w:bCs w:val="1"/>
                <w:color w:val="auto"/>
              </w:rPr>
              <w:t>Nine Months Ended September 30, 2019</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2240" w:type="dxa"/>
            <w:vAlign w:val="bottom"/>
            <w:gridSpan w:val="5"/>
            <w:vMerge w:val="restart"/>
          </w:tcPr>
          <w:p>
            <w:pPr>
              <w:ind w:left="54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Retained</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224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Additional</w:t>
            </w:r>
          </w:p>
        </w:tc>
        <w:tc>
          <w:tcPr>
            <w:tcW w:w="240" w:type="dxa"/>
            <w:vAlign w:val="bottom"/>
          </w:tcPr>
          <w:p>
            <w:pPr>
              <w:spacing w:after="0"/>
              <w:rPr>
                <w:sz w:val="17"/>
                <w:szCs w:val="17"/>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7"/>
                <w:szCs w:val="17"/>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Earnings</w:t>
            </w:r>
          </w:p>
        </w:tc>
        <w:tc>
          <w:tcPr>
            <w:tcW w:w="200" w:type="dxa"/>
            <w:vAlign w:val="bottom"/>
          </w:tcPr>
          <w:p>
            <w:pPr>
              <w:spacing w:after="0"/>
              <w:rPr>
                <w:sz w:val="17"/>
                <w:szCs w:val="17"/>
                <w:color w:val="auto"/>
              </w:rPr>
            </w:pPr>
          </w:p>
        </w:tc>
        <w:tc>
          <w:tcPr>
            <w:tcW w:w="820" w:type="dxa"/>
            <w:vAlign w:val="bottom"/>
          </w:tcPr>
          <w:p>
            <w:pPr>
              <w:jc w:val="right"/>
              <w:ind w:right="2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2"/>
        </w:trPr>
        <w:tc>
          <w:tcPr>
            <w:tcW w:w="458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line="182" w:lineRule="exact"/>
              <w:rPr>
                <w:sz w:val="20"/>
                <w:szCs w:val="20"/>
                <w:color w:val="auto"/>
              </w:rPr>
            </w:pPr>
            <w:r>
              <w:rPr>
                <w:rFonts w:ascii="Arial" w:cs="Arial" w:eastAsia="Arial" w:hAnsi="Arial"/>
                <w:sz w:val="16"/>
                <w:szCs w:val="16"/>
                <w:b w:val="1"/>
                <w:bCs w:val="1"/>
                <w:color w:val="auto"/>
                <w:w w:val="97"/>
              </w:rPr>
              <w:t>Paid-In</w:t>
            </w:r>
          </w:p>
        </w:tc>
        <w:tc>
          <w:tcPr>
            <w:tcW w:w="1220" w:type="dxa"/>
            <w:vAlign w:val="bottom"/>
            <w:gridSpan w:val="3"/>
          </w:tcPr>
          <w:p>
            <w:pPr>
              <w:jc w:val="center"/>
              <w:ind w:right="100"/>
              <w:spacing w:after="0" w:line="182" w:lineRule="exact"/>
              <w:rPr>
                <w:sz w:val="20"/>
                <w:szCs w:val="20"/>
                <w:color w:val="auto"/>
              </w:rPr>
            </w:pPr>
            <w:r>
              <w:rPr>
                <w:rFonts w:ascii="Arial" w:cs="Arial" w:eastAsia="Arial" w:hAnsi="Arial"/>
                <w:sz w:val="16"/>
                <w:szCs w:val="16"/>
                <w:b w:val="1"/>
                <w:bCs w:val="1"/>
                <w:color w:val="auto"/>
                <w:w w:val="89"/>
              </w:rPr>
              <w:t>Comprehensive</w:t>
            </w:r>
          </w:p>
        </w:tc>
        <w:tc>
          <w:tcPr>
            <w:tcW w:w="1140" w:type="dxa"/>
            <w:vAlign w:val="bottom"/>
            <w:gridSpan w:val="3"/>
          </w:tcPr>
          <w:p>
            <w:pPr>
              <w:jc w:val="center"/>
              <w:ind w:right="100"/>
              <w:spacing w:after="0" w:line="182" w:lineRule="exact"/>
              <w:rPr>
                <w:sz w:val="20"/>
                <w:szCs w:val="20"/>
                <w:color w:val="auto"/>
              </w:rPr>
            </w:pPr>
            <w:r>
              <w:rPr>
                <w:rFonts w:ascii="Arial" w:cs="Arial" w:eastAsia="Arial" w:hAnsi="Arial"/>
                <w:sz w:val="16"/>
                <w:szCs w:val="16"/>
                <w:b w:val="1"/>
                <w:bCs w:val="1"/>
                <w:color w:val="auto"/>
                <w:w w:val="90"/>
              </w:rPr>
              <w:t>(Accumulated</w:t>
            </w:r>
          </w:p>
        </w:tc>
        <w:tc>
          <w:tcPr>
            <w:tcW w:w="1020" w:type="dxa"/>
            <w:vAlign w:val="bottom"/>
            <w:gridSpan w:val="2"/>
          </w:tcPr>
          <w:p>
            <w:pPr>
              <w:ind w:left="20"/>
              <w:spacing w:after="0" w:line="182" w:lineRule="exact"/>
              <w:rPr>
                <w:sz w:val="20"/>
                <w:szCs w:val="20"/>
                <w:color w:val="auto"/>
              </w:rPr>
            </w:pPr>
            <w:r>
              <w:rPr>
                <w:rFonts w:ascii="Arial" w:cs="Arial" w:eastAsia="Arial" w:hAnsi="Arial"/>
                <w:sz w:val="16"/>
                <w:szCs w:val="16"/>
                <w:b w:val="1"/>
                <w:bCs w:val="1"/>
                <w:color w:val="auto"/>
                <w:w w:val="92"/>
              </w:rPr>
              <w:t>Stockholders’</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Income (Loss)</w:t>
            </w:r>
          </w:p>
        </w:tc>
        <w:tc>
          <w:tcPr>
            <w:tcW w:w="20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Deficit)</w:t>
            </w:r>
          </w:p>
        </w:tc>
        <w:tc>
          <w:tcPr>
            <w:tcW w:w="20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2018</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1,010.2</w:t>
            </w:r>
          </w:p>
        </w:tc>
        <w:tc>
          <w:tcPr>
            <w:tcW w:w="0" w:type="dxa"/>
            <w:vAlign w:val="bottom"/>
          </w:tcPr>
          <w:p>
            <w:pPr>
              <w:spacing w:after="0"/>
              <w:rPr>
                <w:sz w:val="1"/>
                <w:szCs w:val="1"/>
                <w:color w:val="auto"/>
              </w:rPr>
            </w:pPr>
          </w:p>
        </w:tc>
      </w:tr>
      <w:tr>
        <w:trPr>
          <w:trHeight w:val="229"/>
        </w:trPr>
        <w:tc>
          <w:tcPr>
            <w:tcW w:w="4580" w:type="dxa"/>
            <w:vAlign w:val="bottom"/>
          </w:tcPr>
          <w:p>
            <w:pPr>
              <w:ind w:left="280"/>
              <w:spacing w:after="0"/>
              <w:rPr>
                <w:sz w:val="20"/>
                <w:szCs w:val="20"/>
                <w:color w:val="auto"/>
              </w:rPr>
            </w:pPr>
            <w:r>
              <w:rPr>
                <w:rFonts w:ascii="Arial" w:cs="Arial" w:eastAsia="Arial" w:hAnsi="Arial"/>
                <w:sz w:val="18"/>
                <w:szCs w:val="18"/>
                <w:color w:val="auto"/>
              </w:rPr>
              <w:t>Issuance of common stock in connection with equity</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80"/>
              <w:spacing w:after="0"/>
              <w:rPr>
                <w:sz w:val="20"/>
                <w:szCs w:val="20"/>
                <w:color w:val="auto"/>
              </w:rPr>
            </w:pPr>
            <w:r>
              <w:rPr>
                <w:rFonts w:ascii="Arial" w:cs="Arial" w:eastAsia="Arial" w:hAnsi="Arial"/>
                <w:sz w:val="18"/>
                <w:szCs w:val="18"/>
                <w:color w:val="auto"/>
              </w:rPr>
              <w:t>incentive plans - net of tax withholding</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and retirement of common stock</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Cumulative-effect adjustment from adoption of ASU 2018-</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02</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Net unrealized gain on investments - net of tax</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57"/>
        </w:trPr>
        <w:tc>
          <w:tcPr>
            <w:tcW w:w="4580" w:type="dxa"/>
            <w:vAlign w:val="bottom"/>
          </w:tcPr>
          <w:p>
            <w:pPr>
              <w:ind w:left="40"/>
              <w:spacing w:after="0"/>
              <w:rPr>
                <w:sz w:val="20"/>
                <w:szCs w:val="20"/>
                <w:color w:val="auto"/>
              </w:rPr>
            </w:pPr>
            <w:r>
              <w:rPr>
                <w:rFonts w:ascii="Arial" w:cs="Arial" w:eastAsia="Arial" w:hAnsi="Arial"/>
                <w:sz w:val="18"/>
                <w:szCs w:val="18"/>
                <w:color w:val="auto"/>
              </w:rPr>
              <w:t>BALANCE—September 30, 2019</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171.3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1,152.6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1,200.4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40" w:type="dxa"/>
            <w:vAlign w:val="bottom"/>
            <w:gridSpan w:val="9"/>
          </w:tcPr>
          <w:p>
            <w:pPr>
              <w:jc w:val="right"/>
              <w:spacing w:after="0"/>
              <w:rPr>
                <w:sz w:val="20"/>
                <w:szCs w:val="20"/>
                <w:color w:val="auto"/>
              </w:rPr>
            </w:pPr>
            <w:r>
              <w:rPr>
                <w:rFonts w:ascii="Arial" w:cs="Arial" w:eastAsia="Arial" w:hAnsi="Arial"/>
                <w:sz w:val="16"/>
                <w:szCs w:val="16"/>
                <w:b w:val="1"/>
                <w:bCs w:val="1"/>
                <w:color w:val="auto"/>
              </w:rPr>
              <w:t>Nine Months Ended September 30, 2018</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2240" w:type="dxa"/>
            <w:vAlign w:val="bottom"/>
            <w:gridSpan w:val="5"/>
            <w:vMerge w:val="restart"/>
          </w:tcPr>
          <w:p>
            <w:pPr>
              <w:ind w:left="54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224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Additional</w:t>
            </w:r>
          </w:p>
        </w:tc>
        <w:tc>
          <w:tcPr>
            <w:tcW w:w="240" w:type="dxa"/>
            <w:vAlign w:val="bottom"/>
          </w:tcPr>
          <w:p>
            <w:pPr>
              <w:spacing w:after="0"/>
              <w:rPr>
                <w:sz w:val="17"/>
                <w:szCs w:val="17"/>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Other</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2"/>
        </w:trPr>
        <w:tc>
          <w:tcPr>
            <w:tcW w:w="458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line="182" w:lineRule="exact"/>
              <w:rPr>
                <w:sz w:val="20"/>
                <w:szCs w:val="20"/>
                <w:color w:val="auto"/>
              </w:rPr>
            </w:pPr>
            <w:r>
              <w:rPr>
                <w:rFonts w:ascii="Arial" w:cs="Arial" w:eastAsia="Arial" w:hAnsi="Arial"/>
                <w:sz w:val="16"/>
                <w:szCs w:val="16"/>
                <w:b w:val="1"/>
                <w:bCs w:val="1"/>
                <w:color w:val="auto"/>
                <w:w w:val="97"/>
              </w:rPr>
              <w:t>Paid-In</w:t>
            </w:r>
          </w:p>
        </w:tc>
        <w:tc>
          <w:tcPr>
            <w:tcW w:w="1220" w:type="dxa"/>
            <w:vAlign w:val="bottom"/>
            <w:gridSpan w:val="3"/>
          </w:tcPr>
          <w:p>
            <w:pPr>
              <w:jc w:val="center"/>
              <w:ind w:right="100"/>
              <w:spacing w:after="0" w:line="182" w:lineRule="exact"/>
              <w:rPr>
                <w:sz w:val="20"/>
                <w:szCs w:val="20"/>
                <w:color w:val="auto"/>
              </w:rPr>
            </w:pPr>
            <w:r>
              <w:rPr>
                <w:rFonts w:ascii="Arial" w:cs="Arial" w:eastAsia="Arial" w:hAnsi="Arial"/>
                <w:sz w:val="16"/>
                <w:szCs w:val="16"/>
                <w:b w:val="1"/>
                <w:bCs w:val="1"/>
                <w:color w:val="auto"/>
                <w:w w:val="89"/>
              </w:rPr>
              <w:t>Comprehensive</w:t>
            </w:r>
          </w:p>
        </w:tc>
        <w:tc>
          <w:tcPr>
            <w:tcW w:w="1140" w:type="dxa"/>
            <w:vAlign w:val="bottom"/>
            <w:gridSpan w:val="3"/>
          </w:tcPr>
          <w:p>
            <w:pPr>
              <w:jc w:val="center"/>
              <w:ind w:right="100"/>
              <w:spacing w:after="0" w:line="182" w:lineRule="exact"/>
              <w:rPr>
                <w:sz w:val="20"/>
                <w:szCs w:val="20"/>
                <w:color w:val="auto"/>
              </w:rPr>
            </w:pPr>
            <w:r>
              <w:rPr>
                <w:rFonts w:ascii="Arial" w:cs="Arial" w:eastAsia="Arial" w:hAnsi="Arial"/>
                <w:sz w:val="16"/>
                <w:szCs w:val="16"/>
                <w:b w:val="1"/>
                <w:bCs w:val="1"/>
                <w:color w:val="auto"/>
                <w:w w:val="91"/>
              </w:rPr>
              <w:t>Accumulated</w:t>
            </w:r>
          </w:p>
        </w:tc>
        <w:tc>
          <w:tcPr>
            <w:tcW w:w="1020" w:type="dxa"/>
            <w:vAlign w:val="bottom"/>
            <w:gridSpan w:val="2"/>
          </w:tcPr>
          <w:p>
            <w:pPr>
              <w:ind w:left="20"/>
              <w:spacing w:after="0" w:line="182" w:lineRule="exact"/>
              <w:rPr>
                <w:sz w:val="20"/>
                <w:szCs w:val="20"/>
                <w:color w:val="auto"/>
              </w:rPr>
            </w:pPr>
            <w:r>
              <w:rPr>
                <w:rFonts w:ascii="Arial" w:cs="Arial" w:eastAsia="Arial" w:hAnsi="Arial"/>
                <w:sz w:val="16"/>
                <w:szCs w:val="16"/>
                <w:b w:val="1"/>
                <w:bCs w:val="1"/>
                <w:color w:val="auto"/>
                <w:w w:val="92"/>
              </w:rPr>
              <w:t>Stockholders’</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2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5"/>
              </w:rPr>
              <w:t>Loss</w:t>
            </w:r>
          </w:p>
        </w:tc>
        <w:tc>
          <w:tcPr>
            <w:tcW w:w="240" w:type="dxa"/>
            <w:vAlign w:val="bottom"/>
          </w:tcPr>
          <w:p>
            <w:pPr>
              <w:spacing w:after="0"/>
              <w:rPr>
                <w:sz w:val="18"/>
                <w:szCs w:val="18"/>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Deficit</w:t>
            </w:r>
          </w:p>
        </w:tc>
        <w:tc>
          <w:tcPr>
            <w:tcW w:w="20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2017</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589.4</w:t>
            </w:r>
          </w:p>
        </w:tc>
        <w:tc>
          <w:tcPr>
            <w:tcW w:w="0" w:type="dxa"/>
            <w:vAlign w:val="bottom"/>
          </w:tcPr>
          <w:p>
            <w:pPr>
              <w:spacing w:after="0"/>
              <w:rPr>
                <w:sz w:val="1"/>
                <w:szCs w:val="1"/>
                <w:color w:val="auto"/>
              </w:rPr>
            </w:pPr>
          </w:p>
        </w:tc>
      </w:tr>
      <w:tr>
        <w:trPr>
          <w:trHeight w:val="229"/>
        </w:trPr>
        <w:tc>
          <w:tcPr>
            <w:tcW w:w="4580" w:type="dxa"/>
            <w:vAlign w:val="bottom"/>
          </w:tcPr>
          <w:p>
            <w:pPr>
              <w:ind w:left="280"/>
              <w:spacing w:after="0"/>
              <w:rPr>
                <w:sz w:val="20"/>
                <w:szCs w:val="20"/>
                <w:color w:val="auto"/>
              </w:rPr>
            </w:pPr>
            <w:r>
              <w:rPr>
                <w:rFonts w:ascii="Arial" w:cs="Arial" w:eastAsia="Arial" w:hAnsi="Arial"/>
                <w:sz w:val="18"/>
                <w:szCs w:val="18"/>
                <w:color w:val="auto"/>
              </w:rPr>
              <w:t>Issuance of common stock in connection with equity</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80"/>
              <w:spacing w:after="0"/>
              <w:rPr>
                <w:sz w:val="20"/>
                <w:szCs w:val="20"/>
                <w:color w:val="auto"/>
              </w:rPr>
            </w:pPr>
            <w:r>
              <w:rPr>
                <w:rFonts w:ascii="Arial" w:cs="Arial" w:eastAsia="Arial" w:hAnsi="Arial"/>
                <w:sz w:val="18"/>
                <w:szCs w:val="18"/>
                <w:color w:val="auto"/>
              </w:rPr>
              <w:t>incentive plans - net of tax withholding</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and retirement of common stock</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4"/>
              </w:rPr>
              <w:t>Cumulative effect adjustments from adoption of ASC 606</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Net unrealized gain on investments - net of tax</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57"/>
        </w:trPr>
        <w:tc>
          <w:tcPr>
            <w:tcW w:w="4580" w:type="dxa"/>
            <w:vAlign w:val="bottom"/>
          </w:tcPr>
          <w:p>
            <w:pPr>
              <w:ind w:left="40"/>
              <w:spacing w:after="0"/>
              <w:rPr>
                <w:sz w:val="20"/>
                <w:szCs w:val="20"/>
                <w:color w:val="auto"/>
              </w:rPr>
            </w:pPr>
            <w:r>
              <w:rPr>
                <w:rFonts w:ascii="Arial" w:cs="Arial" w:eastAsia="Arial" w:hAnsi="Arial"/>
                <w:sz w:val="18"/>
                <w:szCs w:val="18"/>
                <w:color w:val="auto"/>
              </w:rPr>
              <w:t>BALANCE—September 30, 2018</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170.3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1,048.4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891.6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121" w:right="3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4"/>
          </w:tcPr>
          <w:p>
            <w:pPr>
              <w:jc w:val="right"/>
              <w:ind w:right="648"/>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220" w:type="dxa"/>
            <w:vAlign w:val="bottom"/>
          </w:tcPr>
          <w:p>
            <w:pPr>
              <w:jc w:val="right"/>
              <w:ind w:right="128"/>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0"/>
        </w:trPr>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467"/>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48"/>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Net income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47"/>
              <w:spacing w:after="0"/>
              <w:rPr>
                <w:sz w:val="20"/>
                <w:szCs w:val="20"/>
                <w:color w:val="auto"/>
              </w:rPr>
            </w:pPr>
            <w:r>
              <w:rPr>
                <w:rFonts w:ascii="Arial" w:cs="Arial" w:eastAsia="Arial" w:hAnsi="Arial"/>
                <w:sz w:val="14"/>
                <w:szCs w:val="14"/>
                <w:color w:val="auto"/>
              </w:rPr>
              <w:t>211.3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149.6</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92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22"/>
                <w:szCs w:val="22"/>
                <w:color w:val="auto"/>
              </w:rPr>
            </w:pPr>
          </w:p>
        </w:tc>
        <w:tc>
          <w:tcPr>
            <w:tcW w:w="1240" w:type="dxa"/>
            <w:vAlign w:val="bottom"/>
          </w:tcPr>
          <w:p>
            <w:pPr>
              <w:jc w:val="right"/>
              <w:ind w:right="47"/>
              <w:spacing w:after="0"/>
              <w:rPr>
                <w:sz w:val="20"/>
                <w:szCs w:val="20"/>
                <w:color w:val="auto"/>
              </w:rPr>
            </w:pPr>
            <w:r>
              <w:rPr>
                <w:rFonts w:ascii="Arial" w:cs="Arial" w:eastAsia="Arial" w:hAnsi="Arial"/>
                <w:sz w:val="14"/>
                <w:szCs w:val="14"/>
                <w:color w:val="auto"/>
              </w:rPr>
              <w:t>130.4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120.3</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Amortization of deferred contract costs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78.5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66.3</w:t>
            </w:r>
          </w:p>
        </w:tc>
        <w:tc>
          <w:tcPr>
            <w:tcW w:w="0" w:type="dxa"/>
            <w:vAlign w:val="bottom"/>
          </w:tcPr>
          <w:p>
            <w:pPr>
              <w:spacing w:after="0"/>
              <w:rPr>
                <w:sz w:val="1"/>
                <w:szCs w:val="1"/>
                <w:color w:val="auto"/>
              </w:rPr>
            </w:pPr>
          </w:p>
        </w:tc>
      </w:tr>
      <w:tr>
        <w:trPr>
          <w:trHeight w:val="264"/>
        </w:trPr>
        <w:tc>
          <w:tcPr>
            <w:tcW w:w="8580" w:type="dxa"/>
            <w:vAlign w:val="bottom"/>
          </w:tcPr>
          <w:p>
            <w:pPr>
              <w:ind w:left="92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22"/>
                <w:szCs w:val="22"/>
                <w:color w:val="auto"/>
              </w:rPr>
            </w:pPr>
          </w:p>
        </w:tc>
        <w:tc>
          <w:tcPr>
            <w:tcW w:w="1240" w:type="dxa"/>
            <w:vAlign w:val="bottom"/>
          </w:tcPr>
          <w:p>
            <w:pPr>
              <w:jc w:val="right"/>
              <w:ind w:right="47"/>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Amortization of investment premiums, net of accretion of purchase discounts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580" w:type="dxa"/>
            <w:vAlign w:val="bottom"/>
          </w:tcPr>
          <w:p>
            <w:pPr>
              <w:ind w:left="92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22"/>
                <w:szCs w:val="22"/>
                <w:color w:val="auto"/>
              </w:rPr>
            </w:pPr>
          </w:p>
        </w:tc>
        <w:tc>
          <w:tcPr>
            <w:tcW w:w="1240" w:type="dxa"/>
            <w:vAlign w:val="bottom"/>
          </w:tcPr>
          <w:p>
            <w:pPr>
              <w:jc w:val="right"/>
              <w:ind w:right="47"/>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Changes in operating assets and liabilities: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Accounts receivable—net</w:t>
            </w:r>
          </w:p>
        </w:tc>
        <w:tc>
          <w:tcPr>
            <w:tcW w:w="140" w:type="dxa"/>
            <w:vAlign w:val="bottom"/>
          </w:tcPr>
          <w:p>
            <w:pPr>
              <w:spacing w:after="0"/>
              <w:rPr>
                <w:sz w:val="22"/>
                <w:szCs w:val="22"/>
                <w:color w:val="auto"/>
              </w:rPr>
            </w:pPr>
          </w:p>
        </w:tc>
        <w:tc>
          <w:tcPr>
            <w:tcW w:w="1240" w:type="dxa"/>
            <w:vAlign w:val="bottom"/>
          </w:tcPr>
          <w:p>
            <w:pPr>
              <w:jc w:val="right"/>
              <w:ind w:right="47"/>
              <w:spacing w:after="0"/>
              <w:rPr>
                <w:sz w:val="20"/>
                <w:szCs w:val="20"/>
                <w:color w:val="auto"/>
              </w:rPr>
            </w:pPr>
            <w:r>
              <w:rPr>
                <w:rFonts w:ascii="Arial" w:cs="Arial" w:eastAsia="Arial" w:hAnsi="Arial"/>
                <w:sz w:val="14"/>
                <w:szCs w:val="14"/>
                <w:color w:val="auto"/>
              </w:rPr>
              <w:t>60.5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Inventory</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Pr>
          <w:p>
            <w:pPr>
              <w:spacing w:after="0"/>
              <w:rPr>
                <w:sz w:val="22"/>
                <w:szCs w:val="22"/>
                <w:color w:val="auto"/>
              </w:rPr>
            </w:pPr>
          </w:p>
        </w:tc>
        <w:tc>
          <w:tcPr>
            <w:tcW w:w="1240" w:type="dxa"/>
            <w:vAlign w:val="bottom"/>
          </w:tcPr>
          <w:p>
            <w:pPr>
              <w:jc w:val="right"/>
              <w:ind w:right="7"/>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Deferred contract costs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(113.1)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0" w:type="dxa"/>
            <w:vAlign w:val="bottom"/>
          </w:tcPr>
          <w:p>
            <w:pPr>
              <w:spacing w:after="0"/>
              <w:rPr>
                <w:sz w:val="1"/>
                <w:szCs w:val="1"/>
                <w:color w:val="auto"/>
              </w:rPr>
            </w:pP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Deferred tax assets</w:t>
            </w:r>
          </w:p>
        </w:tc>
        <w:tc>
          <w:tcPr>
            <w:tcW w:w="140" w:type="dxa"/>
            <w:vAlign w:val="bottom"/>
          </w:tcPr>
          <w:p>
            <w:pPr>
              <w:spacing w:after="0"/>
              <w:rPr>
                <w:sz w:val="22"/>
                <w:szCs w:val="22"/>
                <w:color w:val="auto"/>
              </w:rPr>
            </w:pPr>
          </w:p>
        </w:tc>
        <w:tc>
          <w:tcPr>
            <w:tcW w:w="1240" w:type="dxa"/>
            <w:vAlign w:val="bottom"/>
          </w:tcPr>
          <w:p>
            <w:pPr>
              <w:jc w:val="right"/>
              <w:ind w:right="47"/>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assets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Accounts payable</w:t>
            </w:r>
          </w:p>
        </w:tc>
        <w:tc>
          <w:tcPr>
            <w:tcW w:w="140" w:type="dxa"/>
            <w:vAlign w:val="bottom"/>
          </w:tcPr>
          <w:p>
            <w:pPr>
              <w:spacing w:after="0"/>
              <w:rPr>
                <w:sz w:val="22"/>
                <w:szCs w:val="22"/>
                <w:color w:val="auto"/>
              </w:rPr>
            </w:pPr>
          </w:p>
        </w:tc>
        <w:tc>
          <w:tcPr>
            <w:tcW w:w="1240" w:type="dxa"/>
            <w:vAlign w:val="bottom"/>
          </w:tcPr>
          <w:p>
            <w:pPr>
              <w:jc w:val="right"/>
              <w:ind w:right="7"/>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Accrued liabilities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Accrued payroll and compensation</w:t>
            </w:r>
          </w:p>
        </w:tc>
        <w:tc>
          <w:tcPr>
            <w:tcW w:w="140" w:type="dxa"/>
            <w:vAlign w:val="bottom"/>
          </w:tcPr>
          <w:p>
            <w:pPr>
              <w:spacing w:after="0"/>
              <w:rPr>
                <w:sz w:val="22"/>
                <w:szCs w:val="22"/>
                <w:color w:val="auto"/>
              </w:rPr>
            </w:pPr>
          </w:p>
        </w:tc>
        <w:tc>
          <w:tcPr>
            <w:tcW w:w="1240" w:type="dxa"/>
            <w:vAlign w:val="bottom"/>
          </w:tcPr>
          <w:p>
            <w:pPr>
              <w:jc w:val="right"/>
              <w:ind w:right="7"/>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liabilities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Deferred revenue</w:t>
            </w:r>
          </w:p>
        </w:tc>
        <w:tc>
          <w:tcPr>
            <w:tcW w:w="140" w:type="dxa"/>
            <w:vAlign w:val="bottom"/>
          </w:tcPr>
          <w:p>
            <w:pPr>
              <w:spacing w:after="0"/>
              <w:rPr>
                <w:sz w:val="22"/>
                <w:szCs w:val="22"/>
                <w:color w:val="auto"/>
              </w:rPr>
            </w:pPr>
          </w:p>
        </w:tc>
        <w:tc>
          <w:tcPr>
            <w:tcW w:w="1240" w:type="dxa"/>
            <w:vAlign w:val="bottom"/>
          </w:tcPr>
          <w:p>
            <w:pPr>
              <w:jc w:val="right"/>
              <w:ind w:right="47"/>
              <w:spacing w:after="0"/>
              <w:rPr>
                <w:sz w:val="20"/>
                <w:szCs w:val="20"/>
                <w:color w:val="auto"/>
              </w:rPr>
            </w:pPr>
            <w:r>
              <w:rPr>
                <w:rFonts w:ascii="Arial" w:cs="Arial" w:eastAsia="Arial" w:hAnsi="Arial"/>
                <w:sz w:val="14"/>
                <w:szCs w:val="14"/>
                <w:color w:val="auto"/>
              </w:rPr>
              <w:t>258.8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209.9</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Income taxes payable</w:t>
            </w: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617.6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458.7</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Purchases of investments</w:t>
            </w:r>
          </w:p>
        </w:tc>
        <w:tc>
          <w:tcPr>
            <w:tcW w:w="140" w:type="dxa"/>
            <w:vAlign w:val="bottom"/>
          </w:tcPr>
          <w:p>
            <w:pPr>
              <w:spacing w:after="0"/>
              <w:rPr>
                <w:sz w:val="22"/>
                <w:szCs w:val="22"/>
                <w:color w:val="auto"/>
              </w:rPr>
            </w:pPr>
          </w:p>
        </w:tc>
        <w:tc>
          <w:tcPr>
            <w:tcW w:w="1240" w:type="dxa"/>
            <w:vAlign w:val="bottom"/>
          </w:tcPr>
          <w:p>
            <w:pPr>
              <w:jc w:val="right"/>
              <w:ind w:right="7"/>
              <w:spacing w:after="0"/>
              <w:rPr>
                <w:sz w:val="20"/>
                <w:szCs w:val="20"/>
                <w:color w:val="auto"/>
              </w:rPr>
            </w:pPr>
            <w:r>
              <w:rPr>
                <w:rFonts w:ascii="Arial" w:cs="Arial" w:eastAsia="Arial" w:hAnsi="Arial"/>
                <w:sz w:val="14"/>
                <w:szCs w:val="14"/>
                <w:color w:val="auto"/>
              </w:rPr>
              <w:t>(1,072.4)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(405.2)</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Sales of investments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Maturities of investments</w:t>
            </w:r>
          </w:p>
        </w:tc>
        <w:tc>
          <w:tcPr>
            <w:tcW w:w="140" w:type="dxa"/>
            <w:vAlign w:val="bottom"/>
          </w:tcPr>
          <w:p>
            <w:pPr>
              <w:spacing w:after="0"/>
              <w:rPr>
                <w:sz w:val="22"/>
                <w:szCs w:val="22"/>
                <w:color w:val="auto"/>
              </w:rPr>
            </w:pPr>
          </w:p>
        </w:tc>
        <w:tc>
          <w:tcPr>
            <w:tcW w:w="1240" w:type="dxa"/>
            <w:vAlign w:val="bottom"/>
          </w:tcPr>
          <w:p>
            <w:pPr>
              <w:jc w:val="right"/>
              <w:ind w:right="47"/>
              <w:spacing w:after="0"/>
              <w:rPr>
                <w:sz w:val="20"/>
                <w:szCs w:val="20"/>
                <w:color w:val="auto"/>
              </w:rPr>
            </w:pPr>
            <w:r>
              <w:rPr>
                <w:rFonts w:ascii="Arial" w:cs="Arial" w:eastAsia="Arial" w:hAnsi="Arial"/>
                <w:sz w:val="14"/>
                <w:szCs w:val="14"/>
                <w:color w:val="auto"/>
              </w:rPr>
              <w:t>695.0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405.6</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Purchases of property and equipment</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Payments made in connection with business combination, net of cash acquired</w:t>
            </w: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56"/>
        </w:trPr>
        <w:tc>
          <w:tcPr>
            <w:tcW w:w="8580" w:type="dxa"/>
            <w:vAlign w:val="bottom"/>
            <w:tcBorders>
              <w:top w:val="single" w:sz="8" w:color="CCEEFF"/>
            </w:tcBorders>
            <w:shd w:val="clear" w:color="auto" w:fill="CCEEFF"/>
          </w:tcPr>
          <w:p>
            <w:pPr>
              <w:ind w:left="1900"/>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(402.7)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58"/>
        </w:trPr>
        <w:tc>
          <w:tcPr>
            <w:tcW w:w="858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Repurchase and retirement of common stock</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(117.6)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w:t>
            </w:r>
          </w:p>
        </w:tc>
        <w:tc>
          <w:tcPr>
            <w:tcW w:w="0" w:type="dxa"/>
            <w:vAlign w:val="bottom"/>
          </w:tcPr>
          <w:p>
            <w:pPr>
              <w:spacing w:after="0"/>
              <w:rPr>
                <w:sz w:val="1"/>
                <w:szCs w:val="1"/>
                <w:color w:val="auto"/>
              </w:rPr>
            </w:pP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Proceeds from issuance of common stock</w:t>
            </w:r>
          </w:p>
        </w:tc>
        <w:tc>
          <w:tcPr>
            <w:tcW w:w="140" w:type="dxa"/>
            <w:vAlign w:val="bottom"/>
          </w:tcPr>
          <w:p>
            <w:pPr>
              <w:spacing w:after="0"/>
              <w:rPr>
                <w:sz w:val="22"/>
                <w:szCs w:val="22"/>
                <w:color w:val="auto"/>
              </w:rPr>
            </w:pPr>
          </w:p>
        </w:tc>
        <w:tc>
          <w:tcPr>
            <w:tcW w:w="1240" w:type="dxa"/>
            <w:vAlign w:val="bottom"/>
          </w:tcPr>
          <w:p>
            <w:pPr>
              <w:jc w:val="right"/>
              <w:ind w:right="47"/>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81.6</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Taxes paid related to net share settlement of equity awards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(76.0)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Payments of debt assumed in connection with business combination</w:t>
            </w: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tcBorders>
            <w:shd w:val="clear" w:color="auto" w:fill="CCEEFF"/>
          </w:tcPr>
          <w:p>
            <w:pPr>
              <w:ind w:left="1900"/>
              <w:spacing w:after="0"/>
              <w:rPr>
                <w:sz w:val="20"/>
                <w:szCs w:val="20"/>
                <w:color w:val="auto"/>
              </w:rPr>
            </w:pPr>
            <w:r>
              <w:rPr>
                <w:rFonts w:ascii="Arial" w:cs="Arial" w:eastAsia="Arial" w:hAnsi="Arial"/>
                <w:sz w:val="14"/>
                <w:szCs w:val="14"/>
                <w:color w:val="auto"/>
              </w:rPr>
              <w:t>Net cash used in financing activities</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(151.8)</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(93.0)</w:t>
            </w:r>
          </w:p>
        </w:tc>
        <w:tc>
          <w:tcPr>
            <w:tcW w:w="0" w:type="dxa"/>
            <w:vAlign w:val="bottom"/>
          </w:tcPr>
          <w:p>
            <w:pPr>
              <w:spacing w:after="0"/>
              <w:rPr>
                <w:sz w:val="1"/>
                <w:szCs w:val="1"/>
                <w:color w:val="auto"/>
              </w:rPr>
            </w:pPr>
          </w:p>
        </w:tc>
      </w:tr>
      <w:tr>
        <w:trPr>
          <w:trHeight w:val="250"/>
        </w:trPr>
        <w:tc>
          <w:tcPr>
            <w:tcW w:w="858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140" w:type="dxa"/>
            <w:vAlign w:val="bottom"/>
          </w:tcPr>
          <w:p>
            <w:pPr>
              <w:spacing w:after="0"/>
              <w:rPr>
                <w:sz w:val="21"/>
                <w:szCs w:val="21"/>
                <w:color w:val="auto"/>
              </w:rPr>
            </w:pPr>
          </w:p>
        </w:tc>
        <w:tc>
          <w:tcPr>
            <w:tcW w:w="1240" w:type="dxa"/>
            <w:vAlign w:val="bottom"/>
          </w:tcPr>
          <w:p>
            <w:pPr>
              <w:jc w:val="right"/>
              <w:ind w:right="47"/>
              <w:spacing w:after="0"/>
              <w:rPr>
                <w:sz w:val="20"/>
                <w:szCs w:val="20"/>
                <w:color w:val="auto"/>
              </w:rPr>
            </w:pPr>
            <w:r>
              <w:rPr>
                <w:rFonts w:ascii="Arial" w:cs="Arial" w:eastAsia="Arial" w:hAnsi="Arial"/>
                <w:sz w:val="14"/>
                <w:szCs w:val="14"/>
                <w:color w:val="auto"/>
              </w:rPr>
              <w:t>63.1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358.3</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EQUIVALENTS—Beginning of period</w:t>
            </w: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1,112.4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811.0</w:t>
            </w:r>
          </w:p>
        </w:tc>
        <w:tc>
          <w:tcPr>
            <w:tcW w:w="0" w:type="dxa"/>
            <w:vAlign w:val="bottom"/>
          </w:tcPr>
          <w:p>
            <w:pPr>
              <w:spacing w:after="0"/>
              <w:rPr>
                <w:sz w:val="1"/>
                <w:szCs w:val="1"/>
                <w:color w:val="auto"/>
              </w:rPr>
            </w:pPr>
          </w:p>
        </w:tc>
      </w:tr>
      <w:tr>
        <w:trPr>
          <w:trHeight w:val="283"/>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1,175.5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1,169.3</w:t>
            </w:r>
          </w:p>
        </w:tc>
        <w:tc>
          <w:tcPr>
            <w:tcW w:w="0" w:type="dxa"/>
            <w:vAlign w:val="bottom"/>
          </w:tcPr>
          <w:p>
            <w:pPr>
              <w:spacing w:after="0"/>
              <w:rPr>
                <w:sz w:val="1"/>
                <w:szCs w:val="1"/>
                <w:color w:val="auto"/>
              </w:rPr>
            </w:pPr>
          </w:p>
        </w:tc>
      </w:tr>
      <w:tr>
        <w:trPr>
          <w:trHeight w:val="251"/>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Operating lease liabilities arising from obtaining right-of-use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12.6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Cash paid to settle liability incurred for repurchase of common stock</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5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Transfers of evaluation units from inventory to property and equipment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Liability for purchase of property and equipment and asset retirement obligations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20.1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1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Liability incurred for repurchase of common stock</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1" w:right="239" w:bottom="1057"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057"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b w:val="1"/>
          <w:bCs w:val="1"/>
          <w:color w:val="auto"/>
        </w:rPr>
        <w:t>Basis of Presentation and Preparation</w:t>
      </w:r>
      <w:r>
        <w:rPr>
          <w:rFonts w:ascii="Arial" w:cs="Arial" w:eastAsia="Arial" w:hAnsi="Arial"/>
          <w:sz w:val="17"/>
          <w:szCs w:val="17"/>
          <w:color w:val="auto"/>
        </w:rPr>
        <w:t>—The unaudited condensed consolidated financial statements of Fortinet, Inc. and its wholly owned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(the “SEC”). Accordingly, they do not include all of the information and footnotes required by GAAP for complete financial statements, and should be read in conjunction with our audited consolidated financial statements as of and for the year ended December 31, 2018, contained in our Annual Report on Form 10-K filed with the SEC on February 27, 2019. In the opinion of management, all adjustments, which includes normal recurring adjustments, considered necessary for a fair presentation have been included. All intercompany balances, transactions and cash flows have been eliminated. The results of operations for the three and nine months ended September 30, 2019 are not necessarily indicative of the results for the full year or for any future periods. The condensed consolidated balance sheet as of December 31, 2018 is derived from the audited consolidated financial statements for the year ended December 31, 2018.</w:t>
      </w:r>
    </w:p>
    <w:p>
      <w:pPr>
        <w:spacing w:after="0" w:line="182"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24"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There have been no material changes to our significant accounting policies as of and for the three and nine months ended September 30, 2019, except for the accounting policies for leases that were updated as a result of adopting Accounting Standards Update (“ASU”) 2016-02—Leases (Topic 842) (“Topic 842”). For more information, refer to the “Recently Adopted Accounting Standards” and Note 10.</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February 2016, the Financial Accounting Standards Board (the “FASB”) issued Topic 842, which requires the recognition of right-of-use (“ROU”) assets and lease liabilities for operating leases on the condensed consolidated balance sheet. We adopted Topic 842 and its related amendments as of January 1, 2019 using a modified retrospective transition approach by applying the new standard to all leases existing at the date of initial application and not restating comparative periods. We elected the package of practical expedients permitted under the transition guidance, which allowed us to waive reassessing the lease classification for any expired or existing leases, the initial direct costs for any existing leases and whether any expired or existing contracts contained leases.</w:t>
      </w:r>
    </w:p>
    <w:p>
      <w:pPr>
        <w:spacing w:after="0" w:line="193"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Under the new guidance, we determine if an arrangement contains a lease and the classification of that lease, if applicable, at inception or upon modification of a contract. We have elected to not recognize a lease liability or ROU asset for short-term leases (leases that, at the commencement date, have a lease term of twelve months or less and do not include an option to purchase the underlying asset that the Company is reasonably certain to exercise). We have elected to not allocate the contract consideration for operating lease contracts with lease and non-lease components, and account for the lease and non-lease components as a single lease component. ROU assets represent our right to use an underlying asset for the lease term. Lease liabilities represent our obligation to make lease payments under the lease. Operating lease ROU assets and liabilities are recognized at the lease commencement date based on the present value of lease payments over the lease term. The implicit rate within our operating leases is generally not determinable and therefore we use our incremental borrowing rate at the lease commencement date to determine the present value of lease payments. The determination of our incremental borrowing rate requires judgment. We determine our incremental borrowing rate for each lease using indicative bank borrowing rates, adjusted for various factors including level of collateralization, term and currency to align with the terms of a lease. The operating lease ROU asset also includes any lease prepayments, net of lease incentives. Certain leases include options to extend or terminate the lease. An option to extend the lease is considered in connection with determining the ROU asset and lease liability when it is reasonably certain we will exercise that option. An option to terminate is considered unless it is reasonably certain we will not exercise the option.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4"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The primary impact of adopting Topic 842 was the recognition of ROU assets and lease liabilities for operating leases of $39.1 million and $40.6 million, respectively, on January 1, 2019, which included reclassifying prepaid rent and deferred rent as a component of the ROU asset. Topic 842 did not have a material impact on our condensed consolidated statements of income and cash flows.</w:t>
      </w:r>
    </w:p>
    <w:p>
      <w:pPr>
        <w:spacing w:after="0" w:line="181"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The ROU assets and the short-term and long-term lease liabilities from our operating leases are included in other assets, accrued liabilities and other liabilities in our condensed consolidated balance sheets, respectively. Our accounting for finance leases (formerly referred to as capital leases prior to the adoption of Topic 842) remains substantially unchanged. Finance leases are not material to our condensed consolidated financial statements.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 expense for lease payments for our operating leases is recognized on a straight-line basis over the term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Comprehensive Income</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February 2018, the FASB issued ASU 2018-02—Income Statement—Reporting Comprehensive Income (Topic 220): Reclassification of Certain Tax Effects from Accumulated Other Comprehensive Income, which allows companies to reclassify stranded tax effects resulting from the Tax Cuts and Jobs Act (the “2017 Tax Act”) from accumulated other comprehensive income to retained earnings. We adopted ASU 2018-02 on January 1, 2019 and elected to reclassify $0.1 million of stranded tax effects as of that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June 2018, the FASB issued ASU 2018-07—Compensation—Stock Compensation (Topic 718): Improvements to Nonemployee Share-Based Payment Accounting, which simplifies the accounting for share-based payments to nonemployees by aligning it with the accounting for share-based payments to employees subject to certain exceptions. ASU 2018-07 expands the scope of Accounting Standards Codification (“ASC”) Topic 718, Compensation— Stock Compensation (“ASC 718”), to include share-based payments granted to nonemployees in exchange for goods or services used or consumed in an entity’s own operations and supersedes the guidance in ASC 505, Equity, by moving it to ASC 718. We adopted ASU 2018-07 on January 1, 2019. ASU 2018-07 did not have a material impact on our condensed consolidated financial statements.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Standards Not Yet Effective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Cloud Computing</w:t>
      </w:r>
    </w:p>
    <w:p>
      <w:pPr>
        <w:spacing w:after="0" w:line="225"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In August 2018, the FASB issued ASU 2018-15—Intangibles-Goodwill and Other—Internal-Use Software (Subtopic 350-40): Customer’s Accounting for Implementation Costs Incurred in a Cloud Computing Arrangement That Is a Service Contract, which requires a customer in a cloud computing arrangement that is a service contract to follow the internal-use software guidance in ASC Topic 350, Intangibles—Goodwill and Other, to determine which implementation costs to capitalize as assets or expense as incurred. Companies can choose to adopt the ASU 2018-15 prospectively or retrospectively. ASU 2018-15 is effective for us beginning January 1, 2020, and early adoption is permitted. We are currently evaluating the impact of ASU 2018-15 on our condensed consolidated financial statements.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August 2018, the FASB issued ASU 2018-13—Fair Value Measurement (Topic 820): Disclosure Framework—Changes to the Disclosure Requirements for Fair Value Measurement, which eliminates, adds and modifies certain disclosure requirements for fair value measurements in ASC 820, Fair Value Measurement, as part of its disclosure framework project. ASU 2018-13 is effective for us beginning January 1, 2020. The amendments in ASU 2018-13 that relate to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in ASU 2018-13 should be applied retrospectively to all periods presented upon their effective date. Early adoption is permitted upon issuance of ASU 2018-13. An entity is permitted to early adopt any removed or modified disclosures upon issuance of ASU 2018-13 and delay adoption of the additional disclosures until their effective date. We are currently assessing the impact the new guidance will have on our disclosures.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In June 2016, the FASB issued ASU 2016-13—Financial Instruments—Credit Losses (Topic 326): Measurement of Credit Losses on Financial Instruments and in November 2018, the FASB issued ASU 2018-19—Codification Improvements to Topic 326, Financial Instruments—Credit Losses, as a subsequent amendment to the initial guidance (collectively, Topic 326). In April 2019, the FASB issued ASU 2019-04—Codification Improvements to Topic</w:t>
      </w:r>
    </w:p>
    <w:p>
      <w:pPr>
        <w:ind w:firstLine="8"/>
        <w:spacing w:after="0" w:line="288" w:lineRule="auto"/>
        <w:tabs>
          <w:tab w:leader="none" w:pos="365" w:val="left"/>
        </w:tabs>
        <w:numPr>
          <w:ilvl w:val="0"/>
          <w:numId w:val="4"/>
        </w:numPr>
        <w:rPr>
          <w:rFonts w:ascii="Arial" w:cs="Arial" w:eastAsia="Arial" w:hAnsi="Arial"/>
          <w:sz w:val="16"/>
          <w:szCs w:val="16"/>
          <w:color w:val="auto"/>
        </w:rPr>
      </w:pPr>
      <w:r>
        <w:rPr>
          <w:rFonts w:ascii="Arial" w:cs="Arial" w:eastAsia="Arial" w:hAnsi="Arial"/>
          <w:sz w:val="16"/>
          <w:szCs w:val="16"/>
          <w:color w:val="auto"/>
        </w:rPr>
        <w:t>Financial Instruments—Credit Losses, Topic 815, Derivatives and Hedging, and Topic 825, Financial Instruments, and in May 2019, the FASB issued ASU 2019-05—Financial Instruments—Credit Losses (Topic 326): Targeted Transition Relief. Topic 326 requires a financial asset (or a group of financial assets) measured at an amortized cost basis to be presented at the net amount expected to be collected. The new approach to estimating credit losses (referred to as the current expected credit losses model) generally accelerates recognition of credit losses. We are in the process of determining the changes needed to our valuation model for trade receivables, and we are reviewing our process to identify credit-related losses on available-for-sale investments. We also expect the new guidance to expand our related financial statement disclosures. The new guidance is effective for us beginning on January 1, 2020, and early adoption is permitted. We are currently assessing the impact of the new guidance on our condensed consolidated financial statements.</w:t>
      </w:r>
    </w:p>
    <w:p>
      <w:pPr>
        <w:spacing w:after="0" w:line="165"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Our revenue consists of product and service revenue. Product revenue is generated by sales of our FortiGate products and other hardware and software solutions. Service revenue relates to sales of our FortiGuard security subscription, FortiCare technical support services and other services.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major product and service lines (in millions):</w:t>
      </w: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880" w:type="dxa"/>
            <w:vAlign w:val="bottom"/>
            <w:gridSpan w:val="4"/>
          </w:tcPr>
          <w:p>
            <w:pPr>
              <w:jc w:val="right"/>
              <w:ind w:right="73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1300" w:type="dxa"/>
            <w:vAlign w:val="bottom"/>
          </w:tcPr>
          <w:p>
            <w:pPr>
              <w:jc w:val="right"/>
              <w:ind w:right="173"/>
              <w:spacing w:after="0"/>
              <w:rPr>
                <w:sz w:val="20"/>
                <w:szCs w:val="20"/>
                <w:color w:val="auto"/>
              </w:rPr>
            </w:pPr>
            <w:r>
              <w:rPr>
                <w:rFonts w:ascii="Arial" w:cs="Arial" w:eastAsia="Arial" w:hAnsi="Arial"/>
                <w:sz w:val="16"/>
                <w:szCs w:val="16"/>
                <w:b w:val="1"/>
                <w:bCs w:val="1"/>
                <w:color w:val="auto"/>
                <w:w w:val="93"/>
              </w:rPr>
              <w:t>September 30,</w:t>
            </w:r>
          </w:p>
        </w:tc>
      </w:tr>
      <w:tr>
        <w:trPr>
          <w:trHeight w:val="210"/>
        </w:trPr>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47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47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473"/>
              <w:spacing w:after="0"/>
              <w:rPr>
                <w:sz w:val="20"/>
                <w:szCs w:val="20"/>
                <w:color w:val="auto"/>
              </w:rPr>
            </w:pPr>
            <w:r>
              <w:rPr>
                <w:rFonts w:ascii="Arial" w:cs="Arial" w:eastAsia="Arial" w:hAnsi="Arial"/>
                <w:sz w:val="16"/>
                <w:szCs w:val="16"/>
                <w:b w:val="1"/>
                <w:bCs w:val="1"/>
                <w:color w:val="auto"/>
              </w:rPr>
              <w:t>2018</w:t>
            </w:r>
          </w:p>
        </w:tc>
      </w:tr>
      <w:tr>
        <w:trPr>
          <w:trHeight w:val="33"/>
        </w:trPr>
        <w:tc>
          <w:tcPr>
            <w:tcW w:w="5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473.6</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Service:</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Security subscription</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440.7</w:t>
            </w:r>
          </w:p>
        </w:tc>
      </w:tr>
      <w:tr>
        <w:trPr>
          <w:trHeight w:val="243"/>
        </w:trPr>
        <w:tc>
          <w:tcPr>
            <w:tcW w:w="5140" w:type="dxa"/>
            <w:vAlign w:val="bottom"/>
          </w:tcPr>
          <w:p>
            <w:pPr>
              <w:ind w:left="160"/>
              <w:spacing w:after="0"/>
              <w:rPr>
                <w:sz w:val="20"/>
                <w:szCs w:val="20"/>
                <w:color w:val="auto"/>
              </w:rPr>
            </w:pPr>
            <w:r>
              <w:rPr>
                <w:rFonts w:ascii="Arial" w:cs="Arial" w:eastAsia="Arial" w:hAnsi="Arial"/>
                <w:sz w:val="18"/>
                <w:szCs w:val="18"/>
                <w:color w:val="auto"/>
              </w:rPr>
              <w:t>Technical support and other</w:t>
            </w:r>
          </w:p>
        </w:tc>
        <w:tc>
          <w:tcPr>
            <w:tcW w:w="1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157.6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132.4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446.6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379.9</w:t>
            </w:r>
          </w:p>
        </w:tc>
      </w:tr>
      <w:tr>
        <w:trPr>
          <w:trHeight w:val="27"/>
        </w:trPr>
        <w:tc>
          <w:tcPr>
            <w:tcW w:w="5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service revenue</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992.1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820.6</w:t>
            </w:r>
          </w:p>
        </w:tc>
      </w:tr>
      <w:tr>
        <w:trPr>
          <w:trHeight w:val="257"/>
        </w:trPr>
        <w:tc>
          <w:tcPr>
            <w:tcW w:w="51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547.5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453.9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1,541.8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1,294.2</w:t>
            </w:r>
          </w:p>
        </w:tc>
      </w:tr>
      <w:tr>
        <w:trPr>
          <w:trHeight w:val="20"/>
        </w:trPr>
        <w:tc>
          <w:tcPr>
            <w:tcW w:w="5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225"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During the three months ended September 30, 2019 and September 30, 2018, we recognized $211.6 million and $173.0 million in revenue that was included in the deferred revenue balance as of December 31, 2018 and December 31, 2017, respectively. During the nine months ended September 30, 2019 and September 30, 2018, we recognized $752.2 million and $615.3 million in revenue that was included in the deferred revenue balance as of December 31, 2018 and December 31,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the Remaining Performance Obligations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As of September 30, 2019, the aggregate amount of the transaction price allocated to remaining performance obligations was $1.95 billion, which was substantially comprised of deferred security subscription and technical support services revenue. We expect to recognize approximately $1.06 billion as revenue over the next 12 months and the remainder thereafter.</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Trade accounts receivable are recorded at the invoiced amount. Trade accounts receivable are reduced by an allowance for doubtful accounts which is determined based on our assessment of the collectability of customer accounts. The allowance for doubtful accounts was $0.8 million and $0.9 million as of September 30, 2019 and December 31, 2018,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Contract Costs</w:t>
      </w:r>
    </w:p>
    <w:p>
      <w:pPr>
        <w:spacing w:after="0" w:line="225"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Sales commissions earned by our sales force are considered incremental and recoverable costs of obtaining a contract with a customer. The amortization of deferred contract costs is included in sales and marketing expense in our condensed consolidated statements of income. Amortization of deferred contract costs during the three months ended September 30, 2019 and September 30, 2018 were $27.5 million and $23.2 million, respectively. Amortization of deferred contract costs during the nine months ended September 30, 2019 and September 30, 2018 were $78.5 million and $66.3 million, respectively.</w:t>
      </w:r>
    </w:p>
    <w:p>
      <w:pPr>
        <w:spacing w:after="0" w:line="184"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FAIR VALUE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our investments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September 30, 2019</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3"/>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3"/>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542.5</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132.8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132.9</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221.6</w:t>
            </w:r>
          </w:p>
        </w:tc>
      </w:tr>
      <w:tr>
        <w:trPr>
          <w:trHeight w:val="270"/>
        </w:trPr>
        <w:tc>
          <w:tcPr>
            <w:tcW w:w="5160" w:type="dxa"/>
            <w:vAlign w:val="bottom"/>
          </w:tcPr>
          <w:p>
            <w:pPr>
              <w:ind w:left="500"/>
              <w:spacing w:after="0" w:line="270" w:lineRule="exact"/>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72.0</w:t>
            </w:r>
          </w:p>
        </w:tc>
      </w:tr>
      <w:tr>
        <w:trPr>
          <w:trHeight w:val="257"/>
        </w:trPr>
        <w:tc>
          <w:tcPr>
            <w:tcW w:w="5160" w:type="dxa"/>
            <w:vAlign w:val="bottom"/>
            <w:tcBorders>
              <w:top w:val="single" w:sz="8" w:color="CCEEFF"/>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967.6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969.0</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97"/>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December 31, 2018</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3"/>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3"/>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298.3</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102.5</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145.8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145.8</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57.6</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605.5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604.2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680" w:hanging="186"/>
        <w:spacing w:after="0"/>
        <w:tabs>
          <w:tab w:leader="none" w:pos="68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The majority of our certificates of deposit and term deposits are foreign deposits.</w:t>
      </w:r>
    </w:p>
    <w:p>
      <w:pPr>
        <w:spacing w:after="0" w:line="200" w:lineRule="exact"/>
        <w:rPr>
          <w:sz w:val="20"/>
          <w:szCs w:val="20"/>
          <w:color w:val="auto"/>
        </w:rPr>
      </w:pPr>
    </w:p>
    <w:p>
      <w:pPr>
        <w:spacing w:after="0" w:line="24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tables show the gross unrealized losses and the related fair values of our investments that have been in a continuous unrealized loss position (in millions):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ind w:left="260"/>
              <w:spacing w:after="0"/>
              <w:rPr>
                <w:sz w:val="20"/>
                <w:szCs w:val="20"/>
                <w:color w:val="auto"/>
              </w:rPr>
            </w:pPr>
            <w:r>
              <w:rPr>
                <w:rFonts w:ascii="Arial" w:cs="Arial" w:eastAsia="Arial" w:hAnsi="Arial"/>
                <w:sz w:val="16"/>
                <w:szCs w:val="16"/>
                <w:b w:val="1"/>
                <w:bCs w:val="1"/>
                <w:color w:val="auto"/>
              </w:rPr>
              <w:t>September 30, 2019</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780" w:type="dxa"/>
            <w:vAlign w:val="bottom"/>
          </w:tcPr>
          <w:p>
            <w:pPr>
              <w:jc w:val="center"/>
              <w:ind w:right="36"/>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6"/>
              <w:spacing w:after="0"/>
              <w:rPr>
                <w:sz w:val="20"/>
                <w:szCs w:val="20"/>
                <w:color w:val="auto"/>
              </w:rPr>
            </w:pPr>
            <w:r>
              <w:rPr>
                <w:rFonts w:ascii="Arial" w:cs="Arial" w:eastAsia="Arial" w:hAnsi="Arial"/>
                <w:sz w:val="16"/>
                <w:szCs w:val="16"/>
                <w:b w:val="1"/>
                <w:bCs w:val="1"/>
                <w:color w:val="auto"/>
                <w:w w:val="91"/>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tcPr>
          <w:p>
            <w:pPr>
              <w:jc w:val="center"/>
              <w:ind w:right="36"/>
              <w:spacing w:after="0"/>
              <w:rPr>
                <w:sz w:val="20"/>
                <w:szCs w:val="20"/>
                <w:color w:val="auto"/>
              </w:rPr>
            </w:pPr>
            <w:r>
              <w:rPr>
                <w:rFonts w:ascii="Arial" w:cs="Arial" w:eastAsia="Arial" w:hAnsi="Arial"/>
                <w:sz w:val="16"/>
                <w:szCs w:val="16"/>
                <w:b w:val="1"/>
                <w:bCs w:val="1"/>
                <w:color w:val="auto"/>
                <w:w w:val="88"/>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6"/>
              <w:spacing w:after="0"/>
              <w:rPr>
                <w:sz w:val="20"/>
                <w:szCs w:val="20"/>
                <w:color w:val="auto"/>
              </w:rPr>
            </w:pPr>
            <w:r>
              <w:rPr>
                <w:rFonts w:ascii="Arial" w:cs="Arial" w:eastAsia="Arial" w:hAnsi="Arial"/>
                <w:sz w:val="16"/>
                <w:szCs w:val="16"/>
                <w:b w:val="1"/>
                <w:bCs w:val="1"/>
                <w:color w:val="auto"/>
                <w:w w:val="83"/>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4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ind w:left="280"/>
              <w:spacing w:after="0"/>
              <w:rPr>
                <w:sz w:val="20"/>
                <w:szCs w:val="20"/>
                <w:color w:val="auto"/>
              </w:rPr>
            </w:pPr>
            <w:r>
              <w:rPr>
                <w:rFonts w:ascii="Arial" w:cs="Arial" w:eastAsia="Arial" w:hAnsi="Arial"/>
                <w:sz w:val="16"/>
                <w:szCs w:val="16"/>
                <w:b w:val="1"/>
                <w:bCs w:val="1"/>
                <w:color w:val="auto"/>
              </w:rPr>
              <w:t>December 31, 2018</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780" w:type="dxa"/>
            <w:vAlign w:val="bottom"/>
          </w:tcPr>
          <w:p>
            <w:pPr>
              <w:jc w:val="right"/>
              <w:ind w:right="213"/>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Arial" w:cs="Arial" w:eastAsia="Arial" w:hAnsi="Arial"/>
                <w:sz w:val="16"/>
                <w:szCs w:val="16"/>
                <w:b w:val="1"/>
                <w:bCs w:val="1"/>
                <w:color w:val="auto"/>
                <w:w w:val="93"/>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53"/>
              <w:spacing w:after="0"/>
              <w:rPr>
                <w:sz w:val="20"/>
                <w:szCs w:val="20"/>
                <w:color w:val="auto"/>
              </w:rPr>
            </w:pPr>
            <w:r>
              <w:rPr>
                <w:rFonts w:ascii="Arial" w:cs="Arial" w:eastAsia="Arial" w:hAnsi="Arial"/>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Certificates of deposit and term deposits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316.4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contractual maturities of our investments were as follows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7"/>
                <w:szCs w:val="17"/>
                <w:color w:val="auto"/>
              </w:rPr>
            </w:pPr>
          </w:p>
        </w:tc>
        <w:tc>
          <w:tcPr>
            <w:tcW w:w="1560" w:type="dxa"/>
            <w:vAlign w:val="bottom"/>
          </w:tcPr>
          <w:p>
            <w:pPr>
              <w:jc w:val="right"/>
              <w:ind w:right="37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654"/>
              <w:spacing w:after="0"/>
              <w:rPr>
                <w:sz w:val="20"/>
                <w:szCs w:val="20"/>
                <w:color w:val="auto"/>
              </w:rPr>
            </w:pPr>
            <w:r>
              <w:rPr>
                <w:rFonts w:ascii="Arial" w:cs="Arial" w:eastAsia="Arial" w:hAnsi="Arial"/>
                <w:sz w:val="16"/>
                <w:szCs w:val="16"/>
                <w:b w:val="1"/>
                <w:bCs w:val="1"/>
                <w:color w:val="auto"/>
              </w:rPr>
              <w:t>2018</w:t>
            </w:r>
          </w:p>
        </w:tc>
      </w:tr>
      <w:tr>
        <w:trPr>
          <w:trHeight w:val="33"/>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537.2</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Due within one to three years</w:t>
            </w: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204.2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67.0</w:t>
            </w: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969.0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604.2</w:t>
            </w: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Available-for-sale securities are reported at fair value, with unrealized gains and losses and the related tax impact included as a separate component of stockholders’ equity and in comprehensive income. Realized gains and losses on available-for-sale securities were insignificant in the periods presented and are included in other income (expense)—net in our condensed consolidated statements of income. We use the specific identification method to determine the cost basis of investments sold.</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unrealized losses on our available-for-sale securities were caused by fluctuations in market value and interest rates as a result of the economic environment. We consider these investments to be temporarily impaired as of September 30, 2019 because (i) the decline in market value was attributable to changes in market conditions and not credit quality, and (ii) we have concluded currently that neither do we intend to sell nor is it more likely than not that we will be required to sell these investments prior to recovery of their amortized cost basis.</w:t>
      </w:r>
    </w:p>
    <w:p>
      <w:pPr>
        <w:spacing w:after="0" w:line="160"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Fair Value Accounting—We apply the following fair value hierarchy for disclosure of the inputs used to measure fair value. This hierarchy prioritizes the inputs into three broad levels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25" w:lineRule="exact"/>
        <w:rPr>
          <w:sz w:val="20"/>
          <w:szCs w:val="20"/>
          <w:color w:val="auto"/>
        </w:rPr>
      </w:pPr>
    </w:p>
    <w:p>
      <w:pPr>
        <w:ind w:left="1300" w:right="280" w:hanging="647"/>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70" w:lineRule="exact"/>
        <w:rPr>
          <w:sz w:val="20"/>
          <w:szCs w:val="20"/>
          <w:color w:val="auto"/>
        </w:rPr>
      </w:pPr>
    </w:p>
    <w:p>
      <w:pPr>
        <w:ind w:left="1300" w:right="500" w:hanging="647"/>
        <w:spacing w:after="0" w:line="277" w:lineRule="auto"/>
        <w:rPr>
          <w:sz w:val="20"/>
          <w:szCs w:val="20"/>
          <w:color w:val="auto"/>
        </w:rPr>
      </w:pPr>
      <w:r>
        <w:rPr>
          <w:rFonts w:ascii="Arial" w:cs="Arial" w:eastAsia="Arial" w:hAnsi="Arial"/>
          <w:sz w:val="18"/>
          <w:szCs w:val="18"/>
          <w:color w:val="auto"/>
        </w:rPr>
        <w:t>Level 3—Unobservable inputs based on our own assumptions used to measure assets and liabilities at fair value. The inputs require significant management judgment or estimation.</w:t>
      </w:r>
    </w:p>
    <w:p>
      <w:pPr>
        <w:spacing w:after="0" w:line="170"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measure the fair value of money market funds and certain U.S. government and agency securities using quoted prices in active markets for identical assets. The fair value of all other financial instruments was based on quoted prices for similar assets in active markets, or model-driven valuations using significant inputs derived from or corroborated by observable market data.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25"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We classify items within Level 2 if the investments are valued using model-driven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ectPr>
          <w:pgSz w:w="11900" w:h="16838" w:orient="portrait"/>
          <w:cols w:equalWidth="0" w:num="1">
            <w:col w:w="11420"/>
          </w:cols>
          <w:pgMar w:left="240" w:top="125"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 on a Recurring Basis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present the fair value of our financial assets measured at fair value on a recurring basis as of September 30, 2019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(in millions):</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5"/>
          </w:tcPr>
          <w:p>
            <w:pPr>
              <w:ind w:left="240"/>
              <w:spacing w:after="0"/>
              <w:rPr>
                <w:sz w:val="20"/>
                <w:szCs w:val="20"/>
                <w:color w:val="auto"/>
              </w:rPr>
            </w:pPr>
            <w:r>
              <w:rPr>
                <w:rFonts w:ascii="Arial" w:cs="Arial" w:eastAsia="Arial" w:hAnsi="Arial"/>
                <w:sz w:val="16"/>
                <w:szCs w:val="16"/>
                <w:b w:val="1"/>
                <w:bCs w:val="1"/>
                <w:color w:val="auto"/>
              </w:rPr>
              <w:t>September 30, 2019</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5"/>
          </w:tcPr>
          <w:p>
            <w:pPr>
              <w:ind w:left="360"/>
              <w:spacing w:after="0"/>
              <w:rPr>
                <w:sz w:val="20"/>
                <w:szCs w:val="20"/>
                <w:color w:val="auto"/>
              </w:rPr>
            </w:pPr>
            <w:r>
              <w:rPr>
                <w:rFonts w:ascii="Arial" w:cs="Arial" w:eastAsia="Arial" w:hAnsi="Arial"/>
                <w:sz w:val="16"/>
                <w:szCs w:val="16"/>
                <w:b w:val="1"/>
                <w:bCs w:val="1"/>
                <w:color w:val="auto"/>
              </w:rPr>
              <w:t>December 31, 2018</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2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37"/>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87"/>
              </w:rPr>
              <w:t>Quoted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Prices in</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Prices in</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1"/>
                <w:szCs w:val="11"/>
                <w:color w:val="auto"/>
              </w:rPr>
            </w:pPr>
          </w:p>
        </w:tc>
        <w:tc>
          <w:tcPr>
            <w:tcW w:w="980" w:type="dxa"/>
            <w:vAlign w:val="bottom"/>
          </w:tcPr>
          <w:p>
            <w:pPr>
              <w:jc w:val="center"/>
              <w:ind w:right="82"/>
              <w:spacing w:after="0" w:line="135" w:lineRule="exact"/>
              <w:rPr>
                <w:sz w:val="20"/>
                <w:szCs w:val="20"/>
                <w:color w:val="auto"/>
              </w:rPr>
            </w:pPr>
            <w:r>
              <w:rPr>
                <w:rFonts w:ascii="Arial" w:cs="Arial" w:eastAsia="Arial" w:hAnsi="Arial"/>
                <w:sz w:val="13"/>
                <w:szCs w:val="13"/>
                <w:b w:val="1"/>
                <w:bCs w:val="1"/>
                <w:color w:val="auto"/>
                <w:w w:val="87"/>
              </w:rPr>
              <w:t>Significant</w:t>
            </w: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Active</w:t>
            </w: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98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2"/>
              </w:rPr>
              <w:t>Other</w:t>
            </w: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56"/>
              <w:spacing w:after="0" w:line="135" w:lineRule="exact"/>
              <w:rPr>
                <w:sz w:val="20"/>
                <w:szCs w:val="20"/>
                <w:color w:val="auto"/>
              </w:rPr>
            </w:pPr>
            <w:r>
              <w:rPr>
                <w:rFonts w:ascii="Arial" w:cs="Arial" w:eastAsia="Arial" w:hAnsi="Arial"/>
                <w:sz w:val="13"/>
                <w:szCs w:val="13"/>
                <w:b w:val="1"/>
                <w:bCs w:val="1"/>
                <w:color w:val="auto"/>
                <w:w w:val="87"/>
              </w:rPr>
              <w:t>Aggregate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Unobservable</w:t>
            </w:r>
          </w:p>
        </w:tc>
        <w:tc>
          <w:tcPr>
            <w:tcW w:w="140" w:type="dxa"/>
            <w:vAlign w:val="bottom"/>
          </w:tcPr>
          <w:p>
            <w:pPr>
              <w:spacing w:after="0"/>
              <w:rPr>
                <w:sz w:val="11"/>
                <w:szCs w:val="11"/>
                <w:color w:val="auto"/>
              </w:rPr>
            </w:pPr>
          </w:p>
        </w:tc>
        <w:tc>
          <w:tcPr>
            <w:tcW w:w="76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w w:val="87"/>
              </w:rPr>
              <w:t>Aggregate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40" w:type="dxa"/>
            <w:vAlign w:val="bottom"/>
          </w:tcPr>
          <w:p>
            <w:pPr>
              <w:spacing w:after="0"/>
              <w:rPr>
                <w:sz w:val="11"/>
                <w:szCs w:val="11"/>
                <w:color w:val="auto"/>
              </w:rPr>
            </w:pPr>
          </w:p>
        </w:tc>
        <w:tc>
          <w:tcPr>
            <w:tcW w:w="98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88"/>
              </w:rPr>
              <w:t>Unobservable</w:t>
            </w: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56"/>
              <w:spacing w:after="0" w:line="135"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1"/>
                <w:szCs w:val="11"/>
                <w:color w:val="auto"/>
              </w:rPr>
            </w:pPr>
          </w:p>
        </w:tc>
        <w:tc>
          <w:tcPr>
            <w:tcW w:w="76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Identical</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1"/>
                <w:szCs w:val="11"/>
                <w:color w:val="auto"/>
              </w:rPr>
            </w:pPr>
          </w:p>
        </w:tc>
        <w:tc>
          <w:tcPr>
            <w:tcW w:w="98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0"/>
              </w:rPr>
              <w:t>Remaining</w:t>
            </w:r>
          </w:p>
        </w:tc>
      </w:tr>
      <w:tr>
        <w:trPr>
          <w:trHeight w:val="174"/>
        </w:trPr>
        <w:tc>
          <w:tcPr>
            <w:tcW w:w="2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6"/>
              </w:rPr>
              <w:t>Value</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92"/>
              </w:rPr>
              <w:t>Inputs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74"/>
              </w:rPr>
              <w:t>Assets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92"/>
              </w:rPr>
              <w:t>Inputs</w:t>
            </w:r>
          </w:p>
        </w:tc>
      </w:tr>
      <w:tr>
        <w:trPr>
          <w:trHeight w:val="224"/>
        </w:trPr>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(Level 1)</w:t>
            </w:r>
          </w:p>
        </w:tc>
        <w:tc>
          <w:tcPr>
            <w:tcW w:w="14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2)</w:t>
            </w:r>
          </w:p>
        </w:tc>
        <w:tc>
          <w:tcPr>
            <w:tcW w:w="12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(Level 3)</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1)</w:t>
            </w:r>
          </w:p>
        </w:tc>
        <w:tc>
          <w:tcPr>
            <w:tcW w:w="120" w:type="dxa"/>
            <w:vAlign w:val="bottom"/>
          </w:tcPr>
          <w:p>
            <w:pPr>
              <w:spacing w:after="0"/>
              <w:rPr>
                <w:sz w:val="19"/>
                <w:szCs w:val="19"/>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(Level 2)</w:t>
            </w:r>
          </w:p>
        </w:tc>
        <w:tc>
          <w:tcPr>
            <w:tcW w:w="140" w:type="dxa"/>
            <w:vAlign w:val="bottom"/>
          </w:tcPr>
          <w:p>
            <w:pPr>
              <w:spacing w:after="0"/>
              <w:rPr>
                <w:sz w:val="19"/>
                <w:szCs w:val="19"/>
                <w:color w:val="auto"/>
              </w:rPr>
            </w:pPr>
          </w:p>
        </w:tc>
        <w:tc>
          <w:tcPr>
            <w:tcW w:w="980" w:type="dxa"/>
            <w:vAlign w:val="bottom"/>
          </w:tcPr>
          <w:p>
            <w:pPr>
              <w:jc w:val="center"/>
              <w:ind w:right="62"/>
              <w:spacing w:after="0"/>
              <w:rPr>
                <w:sz w:val="20"/>
                <w:szCs w:val="20"/>
                <w:color w:val="auto"/>
              </w:rPr>
            </w:pPr>
            <w:r>
              <w:rPr>
                <w:rFonts w:ascii="Arial" w:cs="Arial" w:eastAsia="Arial" w:hAnsi="Arial"/>
                <w:sz w:val="16"/>
                <w:szCs w:val="16"/>
                <w:b w:val="1"/>
                <w:bCs w:val="1"/>
                <w:color w:val="auto"/>
                <w:w w:val="92"/>
              </w:rPr>
              <w:t>(Level 3)</w:t>
            </w:r>
          </w:p>
        </w:tc>
      </w:tr>
      <w:tr>
        <w:trPr>
          <w:trHeight w:val="33"/>
        </w:trPr>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740" w:type="dxa"/>
            <w:vAlign w:val="bottom"/>
          </w:tcPr>
          <w:p>
            <w:pPr>
              <w:ind w:left="48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542.5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542.5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299.3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22"/>
              <w:spacing w:after="0"/>
              <w:rPr>
                <w:sz w:val="20"/>
                <w:szCs w:val="20"/>
                <w:color w:val="auto"/>
              </w:rPr>
            </w:pPr>
            <w:r>
              <w:rPr>
                <w:rFonts w:ascii="Arial" w:cs="Arial" w:eastAsia="Arial" w:hAnsi="Arial"/>
                <w:sz w:val="18"/>
                <w:szCs w:val="18"/>
                <w:color w:val="auto"/>
              </w:rPr>
              <w:t>299.3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144.1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144.1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184.7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9"/>
        </w:trPr>
        <w:tc>
          <w:tcPr>
            <w:tcW w:w="2740" w:type="dxa"/>
            <w:vAlign w:val="bottom"/>
          </w:tcPr>
          <w:p>
            <w:pPr>
              <w:ind w:left="480"/>
              <w:spacing w:after="0"/>
              <w:rPr>
                <w:sz w:val="20"/>
                <w:szCs w:val="20"/>
                <w:color w:val="auto"/>
              </w:rPr>
            </w:pPr>
            <w:r>
              <w:rPr>
                <w:rFonts w:ascii="Arial" w:cs="Arial" w:eastAsia="Arial" w:hAnsi="Arial"/>
                <w:sz w:val="18"/>
                <w:szCs w:val="18"/>
                <w:color w:val="auto"/>
              </w:rPr>
              <w:t>Certificates of deposit and</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740" w:type="dxa"/>
            <w:vAlign w:val="bottom"/>
          </w:tcPr>
          <w:p>
            <w:pPr>
              <w:ind w:left="480"/>
              <w:spacing w:after="0"/>
              <w:rPr>
                <w:sz w:val="20"/>
                <w:szCs w:val="20"/>
                <w:color w:val="auto"/>
              </w:rPr>
            </w:pPr>
            <w:r>
              <w:rPr>
                <w:rFonts w:ascii="Arial" w:cs="Arial" w:eastAsia="Arial" w:hAnsi="Arial"/>
                <w:sz w:val="18"/>
                <w:szCs w:val="18"/>
                <w:color w:val="auto"/>
              </w:rPr>
              <w:t>term deposits</w:t>
            </w:r>
          </w:p>
        </w:tc>
        <w:tc>
          <w:tcPr>
            <w:tcW w:w="160" w:type="dxa"/>
            <w:vAlign w:val="bottom"/>
          </w:tcPr>
          <w:p>
            <w:pPr>
              <w:spacing w:after="0"/>
              <w:rPr>
                <w:sz w:val="20"/>
                <w:szCs w:val="20"/>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72.0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ind w:right="22"/>
              <w:spacing w:after="0"/>
              <w:rPr>
                <w:sz w:val="20"/>
                <w:szCs w:val="20"/>
                <w:color w:val="auto"/>
              </w:rPr>
            </w:pPr>
            <w:r>
              <w:rPr>
                <w:rFonts w:ascii="Arial" w:cs="Arial" w:eastAsia="Arial" w:hAnsi="Arial"/>
                <w:sz w:val="18"/>
                <w:szCs w:val="18"/>
                <w:color w:val="auto"/>
              </w:rPr>
              <w:t>217.4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U.S. government and agency</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securities</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221.6</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221.6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43"/>
        </w:trPr>
        <w:tc>
          <w:tcPr>
            <w:tcW w:w="2740" w:type="dxa"/>
            <w:vAlign w:val="bottom"/>
          </w:tcPr>
          <w:p>
            <w:pPr>
              <w:ind w:left="48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34.2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43"/>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3"/>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1,014.4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255.8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758.6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817.6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713.7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Reported as: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740" w:type="dxa"/>
            <w:vAlign w:val="bottom"/>
          </w:tcPr>
          <w:p>
            <w:pPr>
              <w:ind w:left="480"/>
              <w:spacing w:after="0"/>
              <w:rPr>
                <w:sz w:val="20"/>
                <w:szCs w:val="20"/>
                <w:color w:val="auto"/>
              </w:rPr>
            </w:pPr>
            <w:r>
              <w:rPr>
                <w:rFonts w:ascii="Arial" w:cs="Arial" w:eastAsia="Arial" w:hAnsi="Arial"/>
                <w:sz w:val="18"/>
                <w:szCs w:val="18"/>
                <w:color w:val="auto"/>
              </w:rPr>
              <w:t>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45.4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213.4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764.8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740" w:type="dxa"/>
            <w:vAlign w:val="bottom"/>
          </w:tcPr>
          <w:p>
            <w:pPr>
              <w:ind w:left="48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204.2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57"/>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1,014.4</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817.6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There were no transfers between Level 1 and Level 2 of the fair value hierarchy during the nine months ended September 30, 2019 and year ended December 31, 2018.</w:t>
      </w:r>
    </w:p>
    <w:p>
      <w:pPr>
        <w:spacing w:after="0" w:line="166"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the following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ind w:right="434"/>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3380" w:type="dxa"/>
            <w:vAlign w:val="bottom"/>
          </w:tcPr>
          <w:p>
            <w:pPr>
              <w:spacing w:after="0"/>
              <w:rPr>
                <w:sz w:val="18"/>
                <w:szCs w:val="18"/>
                <w:color w:val="auto"/>
              </w:rPr>
            </w:pPr>
          </w:p>
        </w:tc>
        <w:tc>
          <w:tcPr>
            <w:tcW w:w="554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4"/>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338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5540" w:type="dxa"/>
            <w:vAlign w:val="bottom"/>
            <w:tcBorders>
              <w:bottom w:val="single" w:sz="8" w:color="CCEEFF"/>
            </w:tcBorders>
            <w:gridSpan w:val="2"/>
            <w:shd w:val="clear" w:color="auto" w:fill="CCEEFF"/>
          </w:tcPr>
          <w:p>
            <w:pPr>
              <w:jc w:val="right"/>
              <w:ind w:right="1279"/>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40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91.5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5540" w:type="dxa"/>
            <w:vAlign w:val="bottom"/>
            <w:gridSpan w:val="2"/>
            <w:shd w:val="clear" w:color="auto" w:fill="CCEEFF"/>
          </w:tcPr>
          <w:p>
            <w:pPr>
              <w:jc w:val="right"/>
              <w:ind w:right="127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99.2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bottom w:val="single" w:sz="8" w:color="CCEEFF"/>
            </w:tcBorders>
            <w:vMerge w:val="restart"/>
          </w:tcPr>
          <w:p>
            <w:pPr>
              <w:jc w:val="right"/>
              <w:ind w:right="1552"/>
              <w:spacing w:after="0"/>
              <w:rPr>
                <w:sz w:val="20"/>
                <w:szCs w:val="20"/>
                <w:color w:val="auto"/>
              </w:rPr>
            </w:pPr>
            <w:r>
              <w:rPr>
                <w:rFonts w:ascii="Arial" w:cs="Arial" w:eastAsia="Arial" w:hAnsi="Arial"/>
                <w:sz w:val="18"/>
                <w:szCs w:val="18"/>
                <w:color w:val="auto"/>
              </w:rPr>
              <w:t>12</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38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equipment—net consisted of the following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7"/>
                <w:szCs w:val="17"/>
                <w:color w:val="auto"/>
              </w:rPr>
            </w:pPr>
          </w:p>
        </w:tc>
        <w:tc>
          <w:tcPr>
            <w:tcW w:w="1640" w:type="dxa"/>
            <w:vAlign w:val="bottom"/>
          </w:tcPr>
          <w:p>
            <w:pPr>
              <w:jc w:val="right"/>
              <w:ind w:right="431"/>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ind w:right="7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1"/>
              <w:spacing w:after="0"/>
              <w:rPr>
                <w:sz w:val="20"/>
                <w:szCs w:val="20"/>
                <w:color w:val="auto"/>
              </w:rPr>
            </w:pPr>
            <w:r>
              <w:rPr>
                <w:rFonts w:ascii="Arial" w:cs="Arial" w:eastAsia="Arial" w:hAnsi="Arial"/>
                <w:sz w:val="16"/>
                <w:szCs w:val="16"/>
                <w:b w:val="1"/>
                <w:bCs w:val="1"/>
                <w:color w:val="auto"/>
              </w:rPr>
              <w:t>2018</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144.2</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17.9</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Evaluation units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15.7</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color w:val="auto"/>
              </w:rPr>
              <w:t>Total property and equipment</w:t>
            </w:r>
          </w:p>
        </w:tc>
        <w:tc>
          <w:tcPr>
            <w:tcW w:w="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434.6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382.2</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Property and equipment—net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305.5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271.4</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expense was $12.8 million and $11.8 million during the three months ended September 30, 2019 and September 30, 2018,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$37.8 million and $34.9 million during the nine months ended September 30, 2019 and September 30, 2018, respectively.</w:t>
      </w:r>
    </w:p>
    <w:p>
      <w:pPr>
        <w:spacing w:after="0" w:line="218"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PRIVATELY HELD COMPANIES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investments in the equity securities of privately held companies totaled $5.3 million and $9.1 million as of September 30, 2019 and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respectively. These investments are accounted for at cost, adjusted for changes in observable prices minus impairment. We own less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 of the voting securities in each of these investments and do not have the ability to exercise significant influence over operating and financial policies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respective entities. These investments are recorded as other assets in our condensed consolidated balance sheets and would be measured at fair value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indicators of an increase in value or impairment existed. During the three months ended September 30, 2019, we determined that one of our investments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other-than-temporarily impaired. As a result, we recognized a non-cash impairment charge of $3.8 million to Other income (expense)—net in our condensed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consolidated statements of income. During the three months ended September 30, 2018, we sold equity securities of a privately held company for $5.2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million and recognized a gain of $2.2 million to Other income (expense)—net in our condensed consolidated statements of income.</w:t>
      </w:r>
    </w:p>
    <w:p>
      <w:pPr>
        <w:spacing w:after="0" w:line="207"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ZoneFox Holdings Limited</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On October 22, 2018, we acquired all outstanding shares of ZoneFox Holdings Limited (“ZoneFox”), a privately held cloud-based company providing insider threat detection and response. ZoneFox is headquartered in Edinburgh, Scotland.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the business combination method of accounting in accordance with ASC Topic 805, Business Combinations (“ASC 805”), the total purchase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price was allocated to ZoneFox’s identifiable tangible and intangible assets acquired and liabilities assumed based on their estimated fair values using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management’s best estimates and assumptions to assign fair value as of the acquisition date. The purchase price for ZoneFox was $16.1 million, of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$12.5 million was allocated to goodwill that was non-deductible for tax purposes, and $6.8 million was allocated to identifiable intangible assets, the majority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which was developed technology offset by $3.2 million of net liabilities assumed. Acquisition-related costs related to the ZoneFox acquisition were not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material. Goodwill recorded in connection with this acquisition represents the value we expect to be created through expansion into markets within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existing business, and potential cost savings and synergies.</w:t>
      </w:r>
    </w:p>
    <w:p>
      <w:pPr>
        <w:spacing w:after="0" w:line="21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may pay an additional $2.0 million in cash consideration as an earn-out that is subject in full to satisfaction of certain performance conditions. As of September 30, 2019, no fair value was assigned to the contingent consideration based on the estimated probability of attainment of the performance conditions.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Bradford Networks, Inc.</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On June 4, 2018, we acquired all outstanding shares of Bradford Networks, Inc. (“Bradford”), a provider of network access control security products and services.</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Under the business combination method of accounting in accordance with ASC 805, the total purchase price was allocated to Bradford’s identifiable tangible and intangible assets acquired and liabilities assumed based on their estimated fair values using management's best estimates and assumptions to assign fair value as of the acquisition date. The purchase price for Bradford was $6.8 million, of which $11.1 million was allocated to goodwill that was non-deductible for tax purposes, and $8.0 million was allocated to identifiable intangible assets, the majority of which was developed technology offset by $12.3 million of net liabilities assumed. Acquisition-related costs related to the Bradford acquisition were not material. Goodwill recorded in connection with this acquisition represents the value we expect to be created through expansion into markets within our existing business, and potential cost savings and synergies.</w:t>
      </w:r>
    </w:p>
    <w:p>
      <w:pPr>
        <w:spacing w:after="0" w:line="16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acquisition included a $2.0 million cash earn-out that was subject in full to satisfaction of certain performance conditions. The performance conditions were not met and the cash earn-out will not be paid.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 forma information has not been presented for these acquisitions as the impact to our condensed consolidated financial statements was not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material.</w:t>
      </w:r>
    </w:p>
    <w:p>
      <w:pPr>
        <w:spacing w:after="0" w:line="207"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As of September 30, 2019 and December 31, 2018, we had goodwill of $38.2 million. There were no impairments to goodwill during the nine months ended September 30, 2019 or during prior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other intangible assets—net as of September 30, 2019 and December 31, 2018 (in millions, except years):</w:t>
      </w:r>
    </w:p>
    <w:p>
      <w:pPr>
        <w:spacing w:after="0" w:line="200" w:lineRule="exact"/>
        <w:rPr>
          <w:sz w:val="20"/>
          <w:szCs w:val="20"/>
          <w:color w:val="auto"/>
        </w:rPr>
      </w:pPr>
    </w:p>
    <w:p>
      <w:pPr>
        <w:spacing w:after="0" w:line="201" w:lineRule="exact"/>
        <w:rPr>
          <w:sz w:val="20"/>
          <w:szCs w:val="20"/>
          <w:color w:val="auto"/>
        </w:rPr>
      </w:pPr>
    </w:p>
    <w:p>
      <w:pPr>
        <w:ind w:left="7780"/>
        <w:spacing w:after="0"/>
        <w:rPr>
          <w:sz w:val="20"/>
          <w:szCs w:val="20"/>
          <w:color w:val="auto"/>
        </w:rPr>
      </w:pPr>
      <w:r>
        <w:rPr>
          <w:rFonts w:ascii="Arial" w:cs="Arial" w:eastAsia="Arial" w:hAnsi="Arial"/>
          <w:sz w:val="16"/>
          <w:szCs w:val="16"/>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37465</wp:posOffset>
            </wp:positionV>
            <wp:extent cx="37649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Useful Life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Arial" w:cs="Arial" w:eastAsia="Arial" w:hAnsi="Arial"/>
                <w:sz w:val="16"/>
                <w:szCs w:val="16"/>
                <w:b w:val="1"/>
                <w:bCs w:val="1"/>
                <w:color w:val="auto"/>
              </w:rPr>
              <w:t>Net</w:t>
            </w:r>
          </w:p>
        </w:tc>
      </w:tr>
      <w:tr>
        <w:trPr>
          <w:trHeight w:val="33"/>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Finite-lived intangible assets: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Developed technologies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r>
      <w:tr>
        <w:trPr>
          <w:trHeight w:val="243"/>
        </w:trPr>
        <w:tc>
          <w:tcPr>
            <w:tcW w:w="550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2.3</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intangible assets—net</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r>
      <w:tr>
        <w:trPr>
          <w:trHeight w:val="20"/>
        </w:trPr>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ind w:left="7800"/>
        <w:spacing w:after="0"/>
        <w:rPr>
          <w:sz w:val="20"/>
          <w:szCs w:val="20"/>
          <w:color w:val="auto"/>
        </w:rPr>
      </w:pPr>
      <w:r>
        <w:rPr>
          <w:rFonts w:ascii="Arial" w:cs="Arial" w:eastAsia="Arial" w:hAnsi="Arial"/>
          <w:sz w:val="16"/>
          <w:szCs w:val="16"/>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37465</wp:posOffset>
            </wp:positionV>
            <wp:extent cx="37649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Useful Life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Arial" w:cs="Arial" w:eastAsia="Arial" w:hAnsi="Arial"/>
                <w:sz w:val="16"/>
                <w:szCs w:val="16"/>
                <w:b w:val="1"/>
                <w:bCs w:val="1"/>
                <w:color w:val="auto"/>
              </w:rPr>
              <w:t>Net</w:t>
            </w:r>
          </w:p>
        </w:tc>
      </w:tr>
      <w:tr>
        <w:trPr>
          <w:trHeight w:val="33"/>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Finite-lived intangible assets: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Developed technologies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w:t>
            </w:r>
          </w:p>
        </w:tc>
      </w:tr>
      <w:tr>
        <w:trPr>
          <w:trHeight w:val="243"/>
        </w:trPr>
        <w:tc>
          <w:tcPr>
            <w:tcW w:w="550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4.7</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intangible assets—net</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22.1</w:t>
            </w:r>
          </w:p>
        </w:tc>
      </w:tr>
      <w:tr>
        <w:trPr>
          <w:trHeight w:val="20"/>
        </w:trPr>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Amortization expense was $2.2 million and $2.5 million during the three months ended September 30, 2019 and September 30, 2018,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was $8.1 million and $6.1 million during the nine months ended September 30, 2019 and September 30, 2018, respectively.</w:t>
      </w:r>
    </w:p>
    <w:p>
      <w:pPr>
        <w:spacing w:after="0" w:line="3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estimated future amortization expense of finite-lived intangible assets—net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jc w:val="right"/>
              <w:ind w:right="771"/>
              <w:spacing w:after="0"/>
              <w:rPr>
                <w:sz w:val="20"/>
                <w:szCs w:val="20"/>
                <w:color w:val="auto"/>
              </w:rPr>
            </w:pPr>
            <w:r>
              <w:rPr>
                <w:rFonts w:ascii="Arial" w:cs="Arial" w:eastAsia="Arial" w:hAnsi="Arial"/>
                <w:sz w:val="16"/>
                <w:szCs w:val="16"/>
                <w:b w:val="1"/>
                <w:bCs w:val="1"/>
                <w:color w:val="auto"/>
              </w:rPr>
              <w:t>Amount</w:t>
            </w:r>
          </w:p>
        </w:tc>
      </w:tr>
      <w:tr>
        <w:trPr>
          <w:trHeight w:val="33"/>
        </w:trPr>
        <w:tc>
          <w:tcPr>
            <w:tcW w:w="9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Years:</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2019 (the remainder of 2019)</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2.2</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14.0</w:t>
            </w:r>
          </w:p>
        </w:tc>
      </w:tr>
      <w:tr>
        <w:trPr>
          <w:trHeight w:val="20"/>
        </w:trPr>
        <w:tc>
          <w:tcPr>
            <w:tcW w:w="9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jc w:val="both"/>
        <w:ind w:right="100" w:firstLine="648"/>
        <w:spacing w:after="0" w:line="302" w:lineRule="auto"/>
        <w:rPr>
          <w:sz w:val="20"/>
          <w:szCs w:val="20"/>
          <w:color w:val="auto"/>
        </w:rPr>
      </w:pPr>
      <w:r>
        <w:rPr>
          <w:rFonts w:ascii="Arial" w:cs="Arial" w:eastAsia="Arial" w:hAnsi="Arial"/>
          <w:sz w:val="16"/>
          <w:szCs w:val="16"/>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during the period, plus the dilutive effects of restricted stock units (“RSUs”), stock options and our Employee Stock Purchase Plan (the “ESPP”), which was terminated in February 2019 at the completion of the prior offering period. Dilutive shares of common stock are determined by applying the treasury stock method.</w:t>
      </w:r>
    </w:p>
    <w:p>
      <w:pPr>
        <w:spacing w:after="0" w:line="15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is as follows (in millions, except per share amounts):</w:t>
      </w:r>
    </w:p>
    <w:p>
      <w:pPr>
        <w:spacing w:after="0" w:line="320"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5"/>
          </w:tcPr>
          <w:p>
            <w:pPr>
              <w:ind w:left="58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860" w:type="dxa"/>
            <w:vAlign w:val="bottom"/>
            <w:gridSpan w:val="4"/>
          </w:tcPr>
          <w:p>
            <w:pPr>
              <w:jc w:val="right"/>
              <w:ind w:right="71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1300" w:type="dxa"/>
            <w:vAlign w:val="bottom"/>
          </w:tcPr>
          <w:p>
            <w:pPr>
              <w:jc w:val="right"/>
              <w:ind w:right="172"/>
              <w:spacing w:after="0"/>
              <w:rPr>
                <w:sz w:val="20"/>
                <w:szCs w:val="20"/>
                <w:color w:val="auto"/>
              </w:rPr>
            </w:pPr>
            <w:r>
              <w:rPr>
                <w:rFonts w:ascii="Arial" w:cs="Arial" w:eastAsia="Arial" w:hAnsi="Arial"/>
                <w:sz w:val="16"/>
                <w:szCs w:val="16"/>
                <w:b w:val="1"/>
                <w:bCs w:val="1"/>
                <w:color w:val="auto"/>
                <w:w w:val="93"/>
              </w:rPr>
              <w:t>September 30,</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58.7</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211.3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311"/>
        </w:trPr>
        <w:tc>
          <w:tcPr>
            <w:tcW w:w="5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Denominator:</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shares: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2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171.3</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169.8</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170.9</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shares:</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171.3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Effect of potentially dilutive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920"/>
              <w:spacing w:after="0"/>
              <w:rPr>
                <w:sz w:val="20"/>
                <w:szCs w:val="20"/>
                <w:color w:val="auto"/>
              </w:rPr>
            </w:pPr>
            <w:r>
              <w:rPr>
                <w:rFonts w:ascii="Arial" w:cs="Arial" w:eastAsia="Arial" w:hAnsi="Arial"/>
                <w:sz w:val="18"/>
                <w:szCs w:val="18"/>
                <w:color w:val="auto"/>
              </w:rPr>
              <w:t>RSUs</w:t>
            </w: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200" w:type="dxa"/>
            <w:vAlign w:val="bottom"/>
          </w:tcPr>
          <w:p>
            <w:pPr>
              <w:ind w:left="920"/>
              <w:spacing w:after="0"/>
              <w:rPr>
                <w:sz w:val="20"/>
                <w:szCs w:val="20"/>
                <w:color w:val="auto"/>
              </w:rPr>
            </w:pPr>
            <w:r>
              <w:rPr>
                <w:rFonts w:ascii="Arial" w:cs="Arial" w:eastAsia="Arial" w:hAnsi="Arial"/>
                <w:sz w:val="18"/>
                <w:szCs w:val="18"/>
                <w:color w:val="auto"/>
              </w:rPr>
              <w:t>ESPP</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Weighted-average shares used to compute diluted net income per share</w:t>
            </w: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174.8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175.7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00" w:type="dxa"/>
            <w:vAlign w:val="bottom"/>
          </w:tcPr>
          <w:p>
            <w:pPr>
              <w:ind w:left="50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85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weighted-average shares of common stock were excluded from the computation of diluted net income per share for the periods presented, as their effect would have been antidilutive (in millions):</w:t>
      </w:r>
    </w:p>
    <w:p>
      <w:pPr>
        <w:spacing w:after="0" w:line="320"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3160" w:type="dxa"/>
            <w:vAlign w:val="bottom"/>
            <w:gridSpan w:val="4"/>
          </w:tcPr>
          <w:p>
            <w:pPr>
              <w:ind w:left="800"/>
              <w:spacing w:after="0"/>
              <w:rPr>
                <w:sz w:val="20"/>
                <w:szCs w:val="20"/>
                <w:color w:val="auto"/>
              </w:rPr>
            </w:pPr>
            <w:r>
              <w:rPr>
                <w:rFonts w:ascii="Arial" w:cs="Arial" w:eastAsia="Arial" w:hAnsi="Arial"/>
                <w:sz w:val="16"/>
                <w:szCs w:val="16"/>
                <w:b w:val="1"/>
                <w:bCs w:val="1"/>
                <w:color w:val="auto"/>
              </w:rPr>
              <w:t>Three Months Ended</w:t>
            </w:r>
          </w:p>
        </w:tc>
        <w:tc>
          <w:tcPr>
            <w:tcW w:w="3040" w:type="dxa"/>
            <w:vAlign w:val="bottom"/>
            <w:gridSpan w:val="3"/>
          </w:tcPr>
          <w:p>
            <w:pPr>
              <w:jc w:val="right"/>
              <w:ind w:right="73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08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5080" w:type="dxa"/>
            <w:vAlign w:val="bottom"/>
          </w:tcPr>
          <w:p>
            <w:pPr>
              <w:spacing w:after="0"/>
              <w:rPr>
                <w:sz w:val="18"/>
                <w:szCs w:val="18"/>
                <w:color w:val="auto"/>
              </w:rPr>
            </w:pPr>
          </w:p>
        </w:tc>
        <w:tc>
          <w:tcPr>
            <w:tcW w:w="1600" w:type="dxa"/>
            <w:vAlign w:val="bottom"/>
            <w:gridSpan w:val="2"/>
          </w:tcPr>
          <w:p>
            <w:pPr>
              <w:ind w:left="220"/>
              <w:spacing w:after="0"/>
              <w:rPr>
                <w:sz w:val="20"/>
                <w:szCs w:val="20"/>
                <w:color w:val="auto"/>
              </w:rPr>
            </w:pPr>
            <w:r>
              <w:rPr>
                <w:rFonts w:ascii="Arial" w:cs="Arial" w:eastAsia="Arial" w:hAnsi="Arial"/>
                <w:sz w:val="16"/>
                <w:szCs w:val="16"/>
                <w:b w:val="1"/>
                <w:bCs w:val="1"/>
                <w:color w:val="auto"/>
              </w:rPr>
              <w:t>September 30,</w:t>
            </w:r>
          </w:p>
        </w:tc>
        <w:tc>
          <w:tcPr>
            <w:tcW w:w="1560" w:type="dxa"/>
            <w:vAlign w:val="bottom"/>
            <w:gridSpan w:val="2"/>
          </w:tcPr>
          <w:p>
            <w:pPr>
              <w:ind w:left="220"/>
              <w:spacing w:after="0"/>
              <w:rPr>
                <w:sz w:val="20"/>
                <w:szCs w:val="20"/>
                <w:color w:val="auto"/>
              </w:rPr>
            </w:pPr>
            <w:r>
              <w:rPr>
                <w:rFonts w:ascii="Arial" w:cs="Arial" w:eastAsia="Arial" w:hAnsi="Arial"/>
                <w:sz w:val="16"/>
                <w:szCs w:val="16"/>
                <w:b w:val="1"/>
                <w:bCs w:val="1"/>
                <w:color w:val="auto"/>
              </w:rPr>
              <w:t>September 30,</w:t>
            </w:r>
          </w:p>
        </w:tc>
        <w:tc>
          <w:tcPr>
            <w:tcW w:w="1580" w:type="dxa"/>
            <w:vAlign w:val="bottom"/>
            <w:gridSpan w:val="2"/>
          </w:tcPr>
          <w:p>
            <w:pPr>
              <w:ind w:left="220"/>
              <w:spacing w:after="0"/>
              <w:rPr>
                <w:sz w:val="20"/>
                <w:szCs w:val="20"/>
                <w:color w:val="auto"/>
              </w:rPr>
            </w:pPr>
            <w:r>
              <w:rPr>
                <w:rFonts w:ascii="Arial" w:cs="Arial" w:eastAsia="Arial" w:hAnsi="Arial"/>
                <w:sz w:val="16"/>
                <w:szCs w:val="16"/>
                <w:b w:val="1"/>
                <w:bCs w:val="1"/>
                <w:color w:val="auto"/>
              </w:rPr>
              <w:t>September 30,</w:t>
            </w:r>
          </w:p>
        </w:tc>
        <w:tc>
          <w:tcPr>
            <w:tcW w:w="1460" w:type="dxa"/>
            <w:vAlign w:val="bottom"/>
          </w:tcPr>
          <w:p>
            <w:pPr>
              <w:jc w:val="right"/>
              <w:ind w:right="173"/>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5080" w:type="dxa"/>
            <w:vAlign w:val="bottom"/>
          </w:tcPr>
          <w:p>
            <w:pPr>
              <w:spacing w:after="0"/>
              <w:rPr>
                <w:sz w:val="18"/>
                <w:szCs w:val="18"/>
                <w:color w:val="auto"/>
              </w:rPr>
            </w:pPr>
          </w:p>
        </w:tc>
        <w:tc>
          <w:tcPr>
            <w:tcW w:w="1480" w:type="dxa"/>
            <w:vAlign w:val="bottom"/>
          </w:tcPr>
          <w:p>
            <w:pPr>
              <w:jc w:val="right"/>
              <w:ind w:right="49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60" w:type="dxa"/>
            <w:vAlign w:val="bottom"/>
          </w:tcPr>
          <w:p>
            <w:pPr>
              <w:jc w:val="right"/>
              <w:ind w:right="47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460" w:type="dxa"/>
            <w:vAlign w:val="bottom"/>
          </w:tcPr>
          <w:p>
            <w:pPr>
              <w:jc w:val="right"/>
              <w:ind w:right="47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60" w:type="dxa"/>
            <w:vAlign w:val="bottom"/>
          </w:tcPr>
          <w:p>
            <w:pPr>
              <w:jc w:val="right"/>
              <w:ind w:right="493"/>
              <w:spacing w:after="0"/>
              <w:rPr>
                <w:sz w:val="20"/>
                <w:szCs w:val="20"/>
                <w:color w:val="auto"/>
              </w:rPr>
            </w:pPr>
            <w:r>
              <w:rPr>
                <w:rFonts w:ascii="Arial" w:cs="Arial" w:eastAsia="Arial" w:hAnsi="Arial"/>
                <w:sz w:val="16"/>
                <w:szCs w:val="16"/>
                <w:b w:val="1"/>
                <w:bCs w:val="1"/>
                <w:color w:val="auto"/>
              </w:rPr>
              <w:t>2018</w:t>
            </w:r>
          </w:p>
        </w:tc>
      </w:tr>
      <w:tr>
        <w:trPr>
          <w:trHeight w:val="33"/>
        </w:trPr>
        <w:tc>
          <w:tcPr>
            <w:tcW w:w="50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0.4</w:t>
            </w:r>
          </w:p>
        </w:tc>
      </w:tr>
      <w:tr>
        <w:trPr>
          <w:trHeight w:val="27"/>
        </w:trPr>
        <w:tc>
          <w:tcPr>
            <w:tcW w:w="5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r>
      <w:tr>
        <w:trPr>
          <w:trHeight w:val="257"/>
        </w:trPr>
        <w:tc>
          <w:tcPr>
            <w:tcW w:w="5080" w:type="dxa"/>
            <w:vAlign w:val="bottom"/>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w:t>
            </w:r>
          </w:p>
        </w:tc>
      </w:tr>
      <w:tr>
        <w:trPr>
          <w:trHeight w:val="20"/>
        </w:trPr>
        <w:tc>
          <w:tcPr>
            <w:tcW w:w="50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have operating leases for offices, research and development facilities and data centers. Our leases have remaining terms that range from less than one year to approximately seven years, some of which include one or more options to renew, with renewal terms of up to five years. We do not include renewal options in our lease terms for calculating our lease liability, as the renewal options allow us to maintain operational flexibility and we are not reasonably certain we will exercise these renewal options at the time of the lease commencement. Our finance leases are not material to our financial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00" w:type="dxa"/>
            <w:vAlign w:val="bottom"/>
          </w:tcPr>
          <w:p>
            <w:pPr>
              <w:spacing w:after="0"/>
              <w:rPr>
                <w:sz w:val="18"/>
                <w:szCs w:val="18"/>
                <w:color w:val="auto"/>
              </w:rPr>
            </w:pPr>
          </w:p>
        </w:tc>
        <w:tc>
          <w:tcPr>
            <w:tcW w:w="2000" w:type="dxa"/>
            <w:vAlign w:val="bottom"/>
          </w:tcPr>
          <w:p>
            <w:pPr>
              <w:jc w:val="center"/>
              <w:ind w:left="315"/>
              <w:spacing w:after="0"/>
              <w:rPr>
                <w:sz w:val="20"/>
                <w:szCs w:val="20"/>
                <w:color w:val="auto"/>
              </w:rPr>
            </w:pPr>
            <w:r>
              <w:rPr>
                <w:rFonts w:ascii="Arial" w:cs="Arial" w:eastAsia="Arial" w:hAnsi="Arial"/>
                <w:sz w:val="16"/>
                <w:szCs w:val="16"/>
                <w:b w:val="1"/>
                <w:bCs w:val="1"/>
                <w:color w:val="auto"/>
                <w:w w:val="93"/>
              </w:rPr>
              <w:t>Three Months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jc w:val="center"/>
              <w:ind w:right="234"/>
              <w:spacing w:after="0"/>
              <w:rPr>
                <w:sz w:val="20"/>
                <w:szCs w:val="20"/>
                <w:color w:val="auto"/>
              </w:rPr>
            </w:pPr>
            <w:r>
              <w:rPr>
                <w:rFonts w:ascii="Arial" w:cs="Arial" w:eastAsia="Arial" w:hAnsi="Arial"/>
                <w:sz w:val="16"/>
                <w:szCs w:val="16"/>
                <w:b w:val="1"/>
                <w:bCs w:val="1"/>
                <w:color w:val="auto"/>
                <w:w w:val="93"/>
              </w:rPr>
              <w:t>Nine Months Ended</w:t>
            </w:r>
          </w:p>
        </w:tc>
      </w:tr>
      <w:tr>
        <w:trPr>
          <w:trHeight w:val="33"/>
        </w:trPr>
        <w:tc>
          <w:tcPr>
            <w:tcW w:w="65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09"/>
        </w:trPr>
        <w:tc>
          <w:tcPr>
            <w:tcW w:w="6500" w:type="dxa"/>
            <w:vAlign w:val="bottom"/>
          </w:tcPr>
          <w:p>
            <w:pPr>
              <w:spacing w:after="0"/>
              <w:rPr>
                <w:sz w:val="18"/>
                <w:szCs w:val="18"/>
                <w:color w:val="auto"/>
              </w:rPr>
            </w:pPr>
          </w:p>
        </w:tc>
        <w:tc>
          <w:tcPr>
            <w:tcW w:w="2000" w:type="dxa"/>
            <w:vAlign w:val="bottom"/>
          </w:tcPr>
          <w:p>
            <w:pPr>
              <w:jc w:val="center"/>
              <w:ind w:left="275"/>
              <w:spacing w:after="0"/>
              <w:rPr>
                <w:sz w:val="20"/>
                <w:szCs w:val="20"/>
                <w:color w:val="auto"/>
              </w:rPr>
            </w:pPr>
            <w:r>
              <w:rPr>
                <w:rFonts w:ascii="Arial" w:cs="Arial" w:eastAsia="Arial" w:hAnsi="Arial"/>
                <w:sz w:val="16"/>
                <w:szCs w:val="16"/>
                <w:b w:val="1"/>
                <w:bCs w:val="1"/>
                <w:color w:val="auto"/>
                <w:w w:val="91"/>
              </w:rPr>
              <w:t>September 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jc w:val="center"/>
              <w:ind w:right="274"/>
              <w:spacing w:after="0"/>
              <w:rPr>
                <w:sz w:val="20"/>
                <w:szCs w:val="20"/>
                <w:color w:val="auto"/>
              </w:rPr>
            </w:pPr>
            <w:r>
              <w:rPr>
                <w:rFonts w:ascii="Arial" w:cs="Arial" w:eastAsia="Arial" w:hAnsi="Arial"/>
                <w:sz w:val="16"/>
                <w:szCs w:val="16"/>
                <w:b w:val="1"/>
                <w:bCs w:val="1"/>
                <w:color w:val="auto"/>
                <w:w w:val="91"/>
              </w:rPr>
              <w:t>September 30,</w:t>
            </w:r>
          </w:p>
        </w:tc>
      </w:tr>
      <w:tr>
        <w:trPr>
          <w:trHeight w:val="210"/>
        </w:trPr>
        <w:tc>
          <w:tcPr>
            <w:tcW w:w="6500" w:type="dxa"/>
            <w:vAlign w:val="bottom"/>
          </w:tcPr>
          <w:p>
            <w:pPr>
              <w:spacing w:after="0"/>
              <w:rPr>
                <w:sz w:val="18"/>
                <w:szCs w:val="18"/>
                <w:color w:val="auto"/>
              </w:rPr>
            </w:pPr>
          </w:p>
        </w:tc>
        <w:tc>
          <w:tcPr>
            <w:tcW w:w="2000" w:type="dxa"/>
            <w:vAlign w:val="bottom"/>
          </w:tcPr>
          <w:p>
            <w:pPr>
              <w:jc w:val="center"/>
              <w:ind w:left="315"/>
              <w:spacing w:after="0"/>
              <w:rPr>
                <w:sz w:val="20"/>
                <w:szCs w:val="20"/>
                <w:color w:val="auto"/>
              </w:rPr>
            </w:pPr>
            <w:r>
              <w:rPr>
                <w:rFonts w:ascii="Arial" w:cs="Arial" w:eastAsia="Arial" w:hAnsi="Arial"/>
                <w:sz w:val="16"/>
                <w:szCs w:val="16"/>
                <w:b w:val="1"/>
                <w:bCs w:val="1"/>
                <w:color w:val="auto"/>
                <w:w w:val="89"/>
              </w:rPr>
              <w:t>2019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jc w:val="center"/>
              <w:ind w:right="234"/>
              <w:spacing w:after="0"/>
              <w:rPr>
                <w:sz w:val="20"/>
                <w:szCs w:val="20"/>
                <w:color w:val="auto"/>
              </w:rPr>
            </w:pPr>
            <w:r>
              <w:rPr>
                <w:rFonts w:ascii="Arial" w:cs="Arial" w:eastAsia="Arial" w:hAnsi="Arial"/>
                <w:sz w:val="16"/>
                <w:szCs w:val="16"/>
                <w:b w:val="1"/>
                <w:bCs w:val="1"/>
                <w:color w:val="auto"/>
                <w:w w:val="89"/>
              </w:rPr>
              <w:t>2019</w:t>
            </w:r>
          </w:p>
        </w:tc>
      </w:tr>
      <w:tr>
        <w:trPr>
          <w:trHeight w:val="33"/>
        </w:trPr>
        <w:tc>
          <w:tcPr>
            <w:tcW w:w="65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expense</w:t>
            </w:r>
          </w:p>
        </w:tc>
        <w:tc>
          <w:tcPr>
            <w:tcW w:w="2000" w:type="dxa"/>
            <w:vAlign w:val="bottom"/>
            <w:tcBorders>
              <w:bottom w:val="single" w:sz="8" w:color="CCEEFF"/>
            </w:tcBorders>
            <w:shd w:val="clear" w:color="auto" w:fill="CCEEFF"/>
          </w:tcPr>
          <w:p>
            <w:pPr>
              <w:jc w:val="right"/>
              <w:ind w:right="179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w:t>
            </w:r>
          </w:p>
        </w:tc>
      </w:tr>
      <w:tr>
        <w:trPr>
          <w:trHeight w:val="270"/>
        </w:trPr>
        <w:tc>
          <w:tcPr>
            <w:tcW w:w="65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Variable lease expense </w:t>
            </w:r>
            <w:r>
              <w:rPr>
                <w:rFonts w:ascii="Arial" w:cs="Arial" w:eastAsia="Arial" w:hAnsi="Arial"/>
                <w:sz w:val="25"/>
                <w:szCs w:val="25"/>
                <w:color w:val="auto"/>
                <w:vertAlign w:val="superscript"/>
              </w:rPr>
              <w:t>(1)</w:t>
            </w:r>
          </w:p>
        </w:tc>
        <w:tc>
          <w:tcPr>
            <w:tcW w:w="2000" w:type="dxa"/>
            <w:vAlign w:val="bottom"/>
          </w:tcPr>
          <w:p>
            <w:pPr>
              <w:spacing w:after="0"/>
              <w:rPr>
                <w:sz w:val="23"/>
                <w:szCs w:val="23"/>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80" w:type="dxa"/>
            <w:vAlign w:val="bottom"/>
          </w:tcPr>
          <w:p>
            <w:pPr>
              <w:jc w:val="right"/>
              <w:ind w:right="34"/>
              <w:spacing w:after="0"/>
              <w:rPr>
                <w:sz w:val="20"/>
                <w:szCs w:val="20"/>
                <w:color w:val="auto"/>
              </w:rPr>
            </w:pPr>
            <w:r>
              <w:rPr>
                <w:rFonts w:ascii="Arial" w:cs="Arial" w:eastAsia="Arial" w:hAnsi="Arial"/>
                <w:sz w:val="18"/>
                <w:szCs w:val="18"/>
                <w:color w:val="auto"/>
              </w:rPr>
              <w:t>1.9</w:t>
            </w: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lease expense</w:t>
            </w:r>
          </w:p>
        </w:tc>
        <w:tc>
          <w:tcPr>
            <w:tcW w:w="20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r>
      <w:tr>
        <w:trPr>
          <w:trHeight w:val="257"/>
        </w:trPr>
        <w:tc>
          <w:tcPr>
            <w:tcW w:w="6500" w:type="dxa"/>
            <w:vAlign w:val="bottom"/>
          </w:tcPr>
          <w:p>
            <w:pPr>
              <w:ind w:left="380"/>
              <w:spacing w:after="0"/>
              <w:rPr>
                <w:sz w:val="20"/>
                <w:szCs w:val="20"/>
                <w:color w:val="auto"/>
              </w:rPr>
            </w:pPr>
            <w:r>
              <w:rPr>
                <w:rFonts w:ascii="Arial" w:cs="Arial" w:eastAsia="Arial" w:hAnsi="Arial"/>
                <w:sz w:val="18"/>
                <w:szCs w:val="18"/>
                <w:color w:val="auto"/>
              </w:rPr>
              <w:t>Total lease expense</w:t>
            </w:r>
          </w:p>
        </w:tc>
        <w:tc>
          <w:tcPr>
            <w:tcW w:w="2000" w:type="dxa"/>
            <w:vAlign w:val="bottom"/>
            <w:tcBorders>
              <w:top w:val="single" w:sz="8" w:color="auto"/>
              <w:bottom w:val="single" w:sz="8" w:color="auto"/>
            </w:tcBorders>
          </w:tcPr>
          <w:p>
            <w:pPr>
              <w:jc w:val="right"/>
              <w:ind w:right="1795"/>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15.2</w:t>
            </w:r>
          </w:p>
        </w:tc>
      </w:tr>
      <w:tr>
        <w:trPr>
          <w:trHeight w:val="20"/>
        </w:trPr>
        <w:tc>
          <w:tcPr>
            <w:tcW w:w="65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9"/>
          <w:szCs w:val="9"/>
          <w:color w:val="auto"/>
        </w:rPr>
      </w:pPr>
      <w:r>
        <w:rPr>
          <w:rFonts w:ascii="Arial" w:cs="Arial" w:eastAsia="Arial" w:hAnsi="Arial"/>
          <w:sz w:val="14"/>
          <w:szCs w:val="14"/>
          <w:color w:val="auto"/>
        </w:rPr>
        <w:t>Variable lease expense for the three and nine months ended September 30, 2019 predominantly included common area maintenance charges and parking expense.</w:t>
      </w:r>
    </w:p>
    <w:p>
      <w:pPr>
        <w:spacing w:after="0" w:line="22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Rent expense was $4.4 million and $13.1 million during the three and nine months ended September 30, 2018, respectively. Rent expense was recognized in accordance with ASC 840, Leases, using the straight-line method over the term of a lease.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Supplemental balance sheet information related to our operating leases was as follows (in millions, except lease term and discount rate):</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tcPr>
          <w:p>
            <w:pPr>
              <w:jc w:val="right"/>
              <w:ind w:right="612"/>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6320" w:type="dxa"/>
            <w:vAlign w:val="bottom"/>
          </w:tcPr>
          <w:p>
            <w:pPr>
              <w:spacing w:after="0"/>
              <w:rPr>
                <w:sz w:val="18"/>
                <w:szCs w:val="18"/>
                <w:color w:val="auto"/>
              </w:rPr>
            </w:pPr>
          </w:p>
        </w:tc>
        <w:tc>
          <w:tcPr>
            <w:tcW w:w="2720" w:type="dxa"/>
            <w:vAlign w:val="bottom"/>
          </w:tcPr>
          <w:p>
            <w:pPr>
              <w:ind w:left="40"/>
              <w:spacing w:after="0"/>
              <w:rPr>
                <w:sz w:val="20"/>
                <w:szCs w:val="20"/>
                <w:color w:val="auto"/>
              </w:rPr>
            </w:pPr>
            <w:r>
              <w:rPr>
                <w:rFonts w:ascii="Arial" w:cs="Arial" w:eastAsia="Arial" w:hAnsi="Arial"/>
                <w:sz w:val="16"/>
                <w:szCs w:val="16"/>
                <w:b w:val="1"/>
                <w:bCs w:val="1"/>
                <w:color w:val="auto"/>
              </w:rPr>
              <w:t>Classification</w:t>
            </w:r>
          </w:p>
        </w:tc>
        <w:tc>
          <w:tcPr>
            <w:tcW w:w="400" w:type="dxa"/>
            <w:vAlign w:val="bottom"/>
          </w:tcPr>
          <w:p>
            <w:pPr>
              <w:spacing w:after="0"/>
              <w:rPr>
                <w:sz w:val="18"/>
                <w:szCs w:val="18"/>
                <w:color w:val="auto"/>
              </w:rPr>
            </w:pPr>
          </w:p>
        </w:tc>
        <w:tc>
          <w:tcPr>
            <w:tcW w:w="1960" w:type="dxa"/>
            <w:vAlign w:val="bottom"/>
          </w:tcPr>
          <w:p>
            <w:pPr>
              <w:jc w:val="right"/>
              <w:ind w:right="932"/>
              <w:spacing w:after="0"/>
              <w:rPr>
                <w:sz w:val="20"/>
                <w:szCs w:val="20"/>
                <w:color w:val="auto"/>
              </w:rPr>
            </w:pPr>
            <w:r>
              <w:rPr>
                <w:rFonts w:ascii="Arial" w:cs="Arial" w:eastAsia="Arial" w:hAnsi="Arial"/>
                <w:sz w:val="16"/>
                <w:szCs w:val="16"/>
                <w:b w:val="1"/>
                <w:bCs w:val="1"/>
                <w:color w:val="auto"/>
              </w:rPr>
              <w:t>2019</w:t>
            </w:r>
          </w:p>
        </w:tc>
      </w:tr>
      <w:tr>
        <w:trPr>
          <w:trHeight w:val="33"/>
        </w:trPr>
        <w:tc>
          <w:tcPr>
            <w:tcW w:w="63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ROU assets - non-current</w:t>
            </w:r>
          </w:p>
        </w:tc>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41.0</w:t>
            </w:r>
          </w:p>
        </w:tc>
      </w:tr>
      <w:tr>
        <w:trPr>
          <w:trHeight w:val="20"/>
        </w:trPr>
        <w:tc>
          <w:tcPr>
            <w:tcW w:w="6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84"/>
        </w:trPr>
        <w:tc>
          <w:tcPr>
            <w:tcW w:w="63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 - current</w:t>
            </w:r>
          </w:p>
        </w:tc>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13.9</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Operating lease liabilities - non-current</w:t>
            </w:r>
          </w:p>
        </w:tc>
        <w:tc>
          <w:tcPr>
            <w:tcW w:w="272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400" w:type="dxa"/>
            <w:vAlign w:val="bottom"/>
          </w:tcPr>
          <w:p>
            <w:pPr>
              <w:spacing w:after="0"/>
              <w:rPr>
                <w:sz w:val="21"/>
                <w:szCs w:val="21"/>
                <w:color w:val="auto"/>
              </w:rPr>
            </w:pPr>
          </w:p>
        </w:tc>
        <w:tc>
          <w:tcPr>
            <w:tcW w:w="1960" w:type="dxa"/>
            <w:vAlign w:val="bottom"/>
          </w:tcPr>
          <w:p>
            <w:pPr>
              <w:jc w:val="right"/>
              <w:ind w:right="112"/>
              <w:spacing w:after="0"/>
              <w:rPr>
                <w:sz w:val="20"/>
                <w:szCs w:val="20"/>
                <w:color w:val="auto"/>
              </w:rPr>
            </w:pPr>
            <w:r>
              <w:rPr>
                <w:rFonts w:ascii="Arial" w:cs="Arial" w:eastAsia="Arial" w:hAnsi="Arial"/>
                <w:sz w:val="18"/>
                <w:szCs w:val="18"/>
                <w:color w:val="auto"/>
              </w:rPr>
              <w:t>27.7</w:t>
            </w:r>
          </w:p>
        </w:tc>
      </w:tr>
      <w:tr>
        <w:trPr>
          <w:trHeight w:val="27"/>
        </w:trPr>
        <w:tc>
          <w:tcPr>
            <w:tcW w:w="63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lease liabilities</w:t>
            </w:r>
          </w:p>
        </w:tc>
        <w:tc>
          <w:tcPr>
            <w:tcW w:w="27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41.6</w:t>
            </w:r>
          </w:p>
        </w:tc>
      </w:tr>
      <w:tr>
        <w:trPr>
          <w:trHeight w:val="20"/>
        </w:trPr>
        <w:tc>
          <w:tcPr>
            <w:tcW w:w="6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84"/>
        </w:trPr>
        <w:tc>
          <w:tcPr>
            <w:tcW w:w="63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in years - operating leases</w:t>
            </w:r>
          </w:p>
        </w:tc>
        <w:tc>
          <w:tcPr>
            <w:tcW w:w="2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3.9</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Weighted average discount rate - operating leases</w:t>
            </w:r>
          </w:p>
        </w:tc>
        <w:tc>
          <w:tcPr>
            <w:tcW w:w="2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00"/>
          </w:cols>
          <w:pgMar w:left="240" w:top="125" w:right="25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leases was as follows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jc w:val="center"/>
              <w:ind w:right="194"/>
              <w:spacing w:after="0"/>
              <w:rPr>
                <w:sz w:val="20"/>
                <w:szCs w:val="20"/>
                <w:color w:val="auto"/>
              </w:rPr>
            </w:pPr>
            <w:r>
              <w:rPr>
                <w:rFonts w:ascii="Arial" w:cs="Arial" w:eastAsia="Arial" w:hAnsi="Arial"/>
                <w:sz w:val="16"/>
                <w:szCs w:val="16"/>
                <w:b w:val="1"/>
                <w:bCs w:val="1"/>
                <w:color w:val="auto"/>
                <w:w w:val="93"/>
              </w:rPr>
              <w:t>Nine Months Ended</w:t>
            </w:r>
          </w:p>
        </w:tc>
        <w:tc>
          <w:tcPr>
            <w:tcW w:w="0" w:type="dxa"/>
            <w:vAlign w:val="bottom"/>
          </w:tcPr>
          <w:p>
            <w:pPr>
              <w:spacing w:after="0"/>
              <w:rPr>
                <w:sz w:val="1"/>
                <w:szCs w:val="1"/>
                <w:color w:val="auto"/>
              </w:rPr>
            </w:pPr>
          </w:p>
        </w:tc>
      </w:tr>
      <w:tr>
        <w:trPr>
          <w:trHeight w:val="33"/>
        </w:trPr>
        <w:tc>
          <w:tcPr>
            <w:tcW w:w="9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jc w:val="center"/>
              <w:ind w:right="234"/>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0"/>
        </w:trPr>
        <w:tc>
          <w:tcPr>
            <w:tcW w:w="9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jc w:val="center"/>
              <w:ind w:right="194"/>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33"/>
        </w:trPr>
        <w:tc>
          <w:tcPr>
            <w:tcW w:w="9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9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cash flows used for operating leases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84"/>
        </w:trPr>
        <w:tc>
          <w:tcPr>
            <w:tcW w:w="9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b w:val="1"/>
                <w:bCs w:val="1"/>
                <w:color w:val="auto"/>
              </w:rPr>
              <w:t>Lease liabilities arising from obtaining right-of-use assets</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9120" w:type="dxa"/>
            <w:vAlign w:val="bottom"/>
            <w:vMerge w:val="restart"/>
          </w:tcPr>
          <w:p>
            <w:pPr>
              <w:ind w:left="660"/>
              <w:spacing w:after="0"/>
              <w:rPr>
                <w:sz w:val="20"/>
                <w:szCs w:val="20"/>
                <w:color w:val="auto"/>
              </w:rPr>
            </w:pPr>
            <w:r>
              <w:rPr>
                <w:rFonts w:ascii="Arial" w:cs="Arial" w:eastAsia="Arial" w:hAnsi="Arial"/>
                <w:sz w:val="18"/>
                <w:szCs w:val="18"/>
                <w:color w:val="auto"/>
              </w:rPr>
              <w:t>Maturities of operating lease liabilities as of September 30, 2019 were as follows (in millions):</w:t>
            </w: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9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9120" w:type="dxa"/>
            <w:vAlign w:val="bottom"/>
          </w:tcPr>
          <w:p>
            <w:pPr>
              <w:ind w:left="40"/>
              <w:spacing w:after="0"/>
              <w:rPr>
                <w:sz w:val="20"/>
                <w:szCs w:val="20"/>
                <w:color w:val="auto"/>
              </w:rPr>
            </w:pPr>
            <w:r>
              <w:rPr>
                <w:rFonts w:ascii="Arial" w:cs="Arial" w:eastAsia="Arial" w:hAnsi="Arial"/>
                <w:sz w:val="18"/>
                <w:szCs w:val="18"/>
                <w:b w:val="1"/>
                <w:bCs w:val="1"/>
                <w:color w:val="auto"/>
              </w:rPr>
              <w:t>Year ending December 31,</w:t>
            </w:r>
          </w:p>
        </w:tc>
        <w:tc>
          <w:tcPr>
            <w:tcW w:w="280" w:type="dxa"/>
            <w:vAlign w:val="bottom"/>
          </w:tcPr>
          <w:p>
            <w:pPr>
              <w:spacing w:after="0"/>
              <w:rPr>
                <w:sz w:val="24"/>
                <w:szCs w:val="24"/>
                <w:color w:val="auto"/>
              </w:rPr>
            </w:pPr>
          </w:p>
        </w:tc>
        <w:tc>
          <w:tcPr>
            <w:tcW w:w="2000" w:type="dxa"/>
            <w:vAlign w:val="bottom"/>
          </w:tcPr>
          <w:p>
            <w:pPr>
              <w:jc w:val="center"/>
              <w:ind w:right="194"/>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2019 (the remainder of 2019)</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2020</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Thereafter</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lease payments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imputed interest</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3.5</w:t>
      </w:r>
    </w:p>
    <w:p>
      <w:pPr>
        <w:spacing w:after="0" w:line="6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31750</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10.6</w:t>
      </w:r>
    </w:p>
    <w:p>
      <w:pPr>
        <w:spacing w:after="0" w:line="6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31750</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4.5</w:t>
      </w:r>
    </w:p>
    <w:p>
      <w:pPr>
        <w:spacing w:after="0" w:line="6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31750</wp:posOffset>
            </wp:positionV>
            <wp:extent cx="7229475"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57"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44.3</w:t>
      </w:r>
    </w:p>
    <w:p>
      <w:pPr>
        <w:spacing w:after="0" w:line="63"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46355</wp:posOffset>
            </wp:positionV>
            <wp:extent cx="7229475"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80"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48895</wp:posOffset>
            </wp:positionV>
            <wp:extent cx="14408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440" w:space="720"/>
            <w:col w:w="2240"/>
          </w:cols>
          <w:pgMar w:left="240" w:top="125" w:right="259" w:bottom="1440" w:gutter="0" w:footer="0" w:header="0"/>
          <w:type w:val="continuous"/>
        </w:sectPr>
      </w:pPr>
    </w:p>
    <w:p>
      <w:pPr>
        <w:spacing w:after="0" w:line="29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As of September 30, 2019, we had additional minimum lease payments of $1.7 million relating to operating leases that had been signed but had not yet commenced and therefore were excluded from the table above. These leases will commence during 2019 and will have lease terms of approximately two to five years.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our future principal contractual obligations for operating lease commitments as of December 31, 2018 (in millions):</w:t>
      </w: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120" w:type="dxa"/>
            <w:vAlign w:val="bottom"/>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460" w:type="dxa"/>
            <w:vAlign w:val="bottom"/>
          </w:tcPr>
          <w:p>
            <w:pPr>
              <w:spacing w:after="0"/>
              <w:rPr>
                <w:sz w:val="20"/>
                <w:szCs w:val="20"/>
                <w:color w:val="auto"/>
              </w:rPr>
            </w:pPr>
          </w:p>
        </w:tc>
        <w:tc>
          <w:tcPr>
            <w:tcW w:w="1800" w:type="dxa"/>
            <w:vAlign w:val="bottom"/>
          </w:tcPr>
          <w:p>
            <w:pPr>
              <w:jc w:val="right"/>
              <w:ind w:right="730"/>
              <w:spacing w:after="0"/>
              <w:rPr>
                <w:sz w:val="20"/>
                <w:szCs w:val="20"/>
                <w:color w:val="auto"/>
              </w:rPr>
            </w:pPr>
            <w:r>
              <w:rPr>
                <w:rFonts w:ascii="Arial" w:cs="Arial" w:eastAsia="Arial" w:hAnsi="Arial"/>
                <w:sz w:val="18"/>
                <w:szCs w:val="18"/>
                <w:b w:val="1"/>
                <w:bCs w:val="1"/>
                <w:color w:val="auto"/>
              </w:rPr>
              <w:t>Amount</w:t>
            </w:r>
          </w:p>
        </w:tc>
      </w:tr>
      <w:tr>
        <w:trPr>
          <w:trHeight w:val="27"/>
        </w:trPr>
        <w:tc>
          <w:tcPr>
            <w:tcW w:w="9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12.2</w:t>
            </w:r>
          </w:p>
        </w:tc>
      </w:tr>
      <w:tr>
        <w:trPr>
          <w:trHeight w:val="27"/>
        </w:trPr>
        <w:tc>
          <w:tcPr>
            <w:tcW w:w="9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9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9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r>
      <w:tr>
        <w:trPr>
          <w:trHeight w:val="20"/>
        </w:trPr>
        <w:tc>
          <w:tcPr>
            <w:tcW w:w="9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Total future principal contractual obligations for operating lease commitments as of December 31, 2018 exceeded our undiscounted lease liability as of the Topic 842 adoption date, primarily because the lease liability excluded short-term lease payments (due to the adoption of the short-term lease exemption) and excluded minimum lease payments relating to an operating lease that had been signed but had not yet commenced.</w:t>
      </w:r>
    </w:p>
    <w:p>
      <w:pPr>
        <w:sectPr>
          <w:pgSz w:w="11900" w:h="16838" w:orient="portrait"/>
          <w:cols w:equalWidth="0" w:num="1">
            <w:col w:w="11400"/>
          </w:cols>
          <w:pgMar w:left="240" w:top="125" w:right="25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125" w:right="25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ind w:left="440" w:hanging="432"/>
        <w:spacing w:after="0"/>
        <w:tabs>
          <w:tab w:leader="none" w:pos="4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future principal contractual obligations as of September 30, 2019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34"/>
              <w:spacing w:after="0"/>
              <w:rPr>
                <w:sz w:val="20"/>
                <w:szCs w:val="20"/>
                <w:color w:val="auto"/>
              </w:rPr>
            </w:pPr>
            <w:r>
              <w:rPr>
                <w:rFonts w:ascii="Arial" w:cs="Arial" w:eastAsia="Arial" w:hAnsi="Arial"/>
                <w:sz w:val="16"/>
                <w:szCs w:val="16"/>
                <w:b w:val="1"/>
                <w:bCs w:val="1"/>
                <w:color w:val="auto"/>
              </w:rPr>
              <w:t>Total</w:t>
            </w:r>
          </w:p>
        </w:tc>
        <w:tc>
          <w:tcPr>
            <w:tcW w:w="380" w:type="dxa"/>
            <w:vAlign w:val="bottom"/>
          </w:tcPr>
          <w:p>
            <w:pPr>
              <w:spacing w:after="0"/>
              <w:rPr>
                <w:sz w:val="18"/>
                <w:szCs w:val="18"/>
                <w:color w:val="auto"/>
              </w:rPr>
            </w:pPr>
          </w:p>
        </w:tc>
        <w:tc>
          <w:tcPr>
            <w:tcW w:w="900" w:type="dxa"/>
            <w:vAlign w:val="bottom"/>
          </w:tcPr>
          <w:p>
            <w:pPr>
              <w:jc w:val="right"/>
              <w:ind w:right="354"/>
              <w:spacing w:after="0"/>
              <w:rPr>
                <w:sz w:val="20"/>
                <w:szCs w:val="20"/>
                <w:color w:val="auto"/>
              </w:rPr>
            </w:pPr>
            <w:r>
              <w:rPr>
                <w:rFonts w:ascii="Arial" w:cs="Arial" w:eastAsia="Arial" w:hAnsi="Arial"/>
                <w:sz w:val="16"/>
                <w:szCs w:val="16"/>
                <w:b w:val="1"/>
                <w:bCs w:val="1"/>
                <w:color w:val="auto"/>
              </w:rPr>
              <w:t>2019</w:t>
            </w:r>
          </w:p>
        </w:tc>
        <w:tc>
          <w:tcPr>
            <w:tcW w:w="360" w:type="dxa"/>
            <w:vAlign w:val="bottom"/>
          </w:tcPr>
          <w:p>
            <w:pPr>
              <w:spacing w:after="0"/>
              <w:rPr>
                <w:sz w:val="18"/>
                <w:szCs w:val="18"/>
                <w:color w:val="auto"/>
              </w:rPr>
            </w:pPr>
          </w:p>
        </w:tc>
        <w:tc>
          <w:tcPr>
            <w:tcW w:w="880" w:type="dxa"/>
            <w:vAlign w:val="bottom"/>
          </w:tcPr>
          <w:p>
            <w:pPr>
              <w:jc w:val="right"/>
              <w:ind w:right="334"/>
              <w:spacing w:after="0"/>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18"/>
                <w:szCs w:val="18"/>
                <w:color w:val="auto"/>
              </w:rPr>
            </w:pPr>
          </w:p>
        </w:tc>
        <w:tc>
          <w:tcPr>
            <w:tcW w:w="1240" w:type="dxa"/>
            <w:vAlign w:val="bottom"/>
          </w:tcPr>
          <w:p>
            <w:pPr>
              <w:jc w:val="right"/>
              <w:ind w:right="694"/>
              <w:spacing w:after="0"/>
              <w:rPr>
                <w:sz w:val="20"/>
                <w:szCs w:val="20"/>
                <w:color w:val="auto"/>
              </w:rPr>
            </w:pPr>
            <w:r>
              <w:rPr>
                <w:rFonts w:ascii="Arial" w:cs="Arial" w:eastAsia="Arial" w:hAnsi="Arial"/>
                <w:sz w:val="16"/>
                <w:szCs w:val="16"/>
                <w:b w:val="1"/>
                <w:bCs w:val="1"/>
                <w:color w:val="auto"/>
              </w:rPr>
              <w:t>2021</w:t>
            </w:r>
          </w:p>
        </w:tc>
        <w:tc>
          <w:tcPr>
            <w:tcW w:w="1240" w:type="dxa"/>
            <w:vAlign w:val="bottom"/>
          </w:tcPr>
          <w:p>
            <w:pPr>
              <w:jc w:val="right"/>
              <w:ind w:right="694"/>
              <w:spacing w:after="0"/>
              <w:rPr>
                <w:sz w:val="20"/>
                <w:szCs w:val="20"/>
                <w:color w:val="auto"/>
              </w:rPr>
            </w:pPr>
            <w:r>
              <w:rPr>
                <w:rFonts w:ascii="Arial" w:cs="Arial" w:eastAsia="Arial" w:hAnsi="Arial"/>
                <w:sz w:val="16"/>
                <w:szCs w:val="16"/>
                <w:b w:val="1"/>
                <w:bCs w:val="1"/>
                <w:color w:val="auto"/>
              </w:rPr>
              <w:t>2022</w:t>
            </w:r>
          </w:p>
        </w:tc>
        <w:tc>
          <w:tcPr>
            <w:tcW w:w="1140" w:type="dxa"/>
            <w:vAlign w:val="bottom"/>
          </w:tcPr>
          <w:p>
            <w:pPr>
              <w:jc w:val="right"/>
              <w:ind w:right="574"/>
              <w:spacing w:after="0"/>
              <w:rPr>
                <w:sz w:val="20"/>
                <w:szCs w:val="20"/>
                <w:color w:val="auto"/>
              </w:rPr>
            </w:pPr>
            <w:r>
              <w:rPr>
                <w:rFonts w:ascii="Arial" w:cs="Arial" w:eastAsia="Arial" w:hAnsi="Arial"/>
                <w:sz w:val="16"/>
                <w:szCs w:val="16"/>
                <w:b w:val="1"/>
                <w:bCs w:val="1"/>
                <w:color w:val="auto"/>
              </w:rPr>
              <w:t>2023</w:t>
            </w:r>
          </w:p>
        </w:tc>
        <w:tc>
          <w:tcPr>
            <w:tcW w:w="980" w:type="dxa"/>
            <w:vAlign w:val="bottom"/>
          </w:tcPr>
          <w:p>
            <w:pPr>
              <w:ind w:left="40"/>
              <w:spacing w:after="0"/>
              <w:rPr>
                <w:sz w:val="20"/>
                <w:szCs w:val="20"/>
                <w:color w:val="auto"/>
              </w:rPr>
            </w:pPr>
            <w:r>
              <w:rPr>
                <w:rFonts w:ascii="Arial" w:cs="Arial" w:eastAsia="Arial" w:hAnsi="Arial"/>
                <w:sz w:val="16"/>
                <w:szCs w:val="16"/>
                <w:b w:val="1"/>
                <w:bCs w:val="1"/>
                <w:color w:val="auto"/>
              </w:rPr>
              <w:t>Thereafter</w:t>
            </w:r>
          </w:p>
        </w:tc>
      </w:tr>
      <w:tr>
        <w:trPr>
          <w:trHeight w:val="33"/>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Inventory purchase commitments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241.4</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144.5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96.9</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   $</w:t>
            </w: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7"/>
          <w:szCs w:val="17"/>
          <w:b w:val="1"/>
          <w:bCs w:val="1"/>
          <w:color w:val="auto"/>
        </w:rPr>
        <w:t>Inventory Purchase Commitments</w:t>
      </w:r>
      <w:r>
        <w:rPr>
          <w:rFonts w:ascii="Arial" w:cs="Arial" w:eastAsia="Arial" w:hAnsi="Arial"/>
          <w:sz w:val="17"/>
          <w:szCs w:val="17"/>
          <w:color w:val="auto"/>
        </w:rPr>
        <w:t>—Our independent contract manufacturers procure components and build our products based on our forecasts.</w:t>
      </w:r>
      <w:r>
        <w:rPr>
          <w:rFonts w:ascii="Arial" w:cs="Arial" w:eastAsia="Arial" w:hAnsi="Arial"/>
          <w:sz w:val="17"/>
          <w:szCs w:val="17"/>
          <w:b w:val="1"/>
          <w:bCs w:val="1"/>
          <w:color w:val="auto"/>
        </w:rPr>
        <w:t xml:space="preserve"> </w:t>
      </w:r>
      <w:r>
        <w:rPr>
          <w:rFonts w:ascii="Arial" w:cs="Arial" w:eastAsia="Arial" w:hAnsi="Arial"/>
          <w:sz w:val="17"/>
          <w:szCs w:val="17"/>
          <w:color w:val="auto"/>
        </w:rPr>
        <w:t>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September 30, 2019, we had $241.4 million of open purchase orders with our independent contract manufacturers that may not be cancelable.</w:t>
      </w:r>
    </w:p>
    <w:p>
      <w:pPr>
        <w:spacing w:after="0" w:line="141" w:lineRule="exact"/>
        <w:rPr>
          <w:sz w:val="20"/>
          <w:szCs w:val="20"/>
          <w:color w:val="auto"/>
        </w:rPr>
      </w:pPr>
    </w:p>
    <w:p>
      <w:pPr>
        <w:ind w:right="40" w:firstLine="648"/>
        <w:spacing w:after="0" w:line="289" w:lineRule="auto"/>
        <w:rPr>
          <w:sz w:val="20"/>
          <w:szCs w:val="20"/>
          <w:color w:val="auto"/>
        </w:rPr>
      </w:pPr>
      <w:r>
        <w:rPr>
          <w:rFonts w:ascii="Arial" w:cs="Arial" w:eastAsia="Arial" w:hAnsi="Arial"/>
          <w:sz w:val="17"/>
          <w:szCs w:val="17"/>
          <w:b w:val="1"/>
          <w:bCs w:val="1"/>
          <w:color w:val="auto"/>
        </w:rPr>
        <w:t>Other Contractual Commitments and Open Purchase Orders</w:t>
      </w:r>
      <w:r>
        <w:rPr>
          <w:rFonts w:ascii="Arial" w:cs="Arial" w:eastAsia="Arial" w:hAnsi="Arial"/>
          <w:sz w:val="17"/>
          <w:szCs w:val="17"/>
          <w:color w:val="auto"/>
        </w:rPr>
        <w:t>—In addition to commitments with contract manufacturers, we have open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orders and contractual obligations in the ordinary course of business for which we have not received goods or services. As of September 30, 2019, we had $12.6 million in other contractual commitments having a remaining term in excess of one year that may not be cancelable.</w:t>
      </w:r>
    </w:p>
    <w:p>
      <w:pPr>
        <w:spacing w:after="0" w:line="15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b w:val="1"/>
          <w:bCs w:val="1"/>
          <w:color w:val="auto"/>
        </w:rPr>
        <w:t>Litigation</w:t>
      </w:r>
      <w:r>
        <w:rPr>
          <w:rFonts w:ascii="Arial" w:cs="Arial" w:eastAsia="Arial" w:hAnsi="Arial"/>
          <w:sz w:val="16"/>
          <w:szCs w:val="16"/>
          <w:color w:val="auto"/>
        </w:rPr>
        <w:t>—We are involved in disputes, litigation, and other legal actions. For lawsuits where we are the defendant, we are in the process of</w:t>
      </w:r>
      <w:r>
        <w:rPr>
          <w:rFonts w:ascii="Arial" w:cs="Arial" w:eastAsia="Arial" w:hAnsi="Arial"/>
          <w:sz w:val="16"/>
          <w:szCs w:val="16"/>
          <w:b w:val="1"/>
          <w:bCs w:val="1"/>
          <w:color w:val="auto"/>
        </w:rPr>
        <w:t xml:space="preserve"> </w:t>
      </w:r>
      <w:r>
        <w:rPr>
          <w:rFonts w:ascii="Arial" w:cs="Arial" w:eastAsia="Arial" w:hAnsi="Arial"/>
          <w:sz w:val="16"/>
          <w:szCs w:val="16"/>
          <w:color w:val="auto"/>
        </w:rPr>
        <w:t>defending these litigation matters, and while there can be no assurances and the outcome of certain of these matters is currently not determinable and not predictable, we currently are unaware of any existing claims or proceedings that we believe are likely to have a material adverse effect on our financial position. There are many uncertainties associated with any litigation and these actions or other third-party claims against us may cause us to incur costly litigation fees, costs and substantial settlement charges, and possibly subject us to damages and other penalties. In addition, the resolution of any intellectual property litigation may require us to make royalty payments, which could adversely affect our gross margins in future periods. If any of those events were to occur, our business, financial condition, results of operations, and cash flows could be adversely affected. Litigation is unpredictable and the actual liability in any such matters may be materially different from our current estimates, which could result in the need to adjust any accrued liability and record additional expenses. We accrue for contingencies when we believe that a loss is probable and that we can reasonably estimate the amount of any such loss.</w:t>
      </w:r>
    </w:p>
    <w:p>
      <w:pPr>
        <w:spacing w:after="0" w:line="160" w:lineRule="exact"/>
        <w:rPr>
          <w:sz w:val="20"/>
          <w:szCs w:val="20"/>
          <w:color w:val="auto"/>
        </w:rPr>
      </w:pPr>
    </w:p>
    <w:p>
      <w:pPr>
        <w:ind w:right="260" w:firstLine="648"/>
        <w:spacing w:after="0" w:line="291" w:lineRule="auto"/>
        <w:rPr>
          <w:sz w:val="20"/>
          <w:szCs w:val="20"/>
          <w:color w:val="auto"/>
        </w:rPr>
      </w:pPr>
      <w:r>
        <w:rPr>
          <w:rFonts w:ascii="Arial" w:cs="Arial" w:eastAsia="Arial" w:hAnsi="Arial"/>
          <w:sz w:val="16"/>
          <w:szCs w:val="16"/>
          <w:b w:val="1"/>
          <w:bCs w:val="1"/>
          <w:color w:val="auto"/>
        </w:rPr>
        <w:t>Indemnification and Other Matters</w:t>
      </w:r>
      <w:r>
        <w:rPr>
          <w:rFonts w:ascii="Arial" w:cs="Arial" w:eastAsia="Arial" w:hAnsi="Arial"/>
          <w:sz w:val="16"/>
          <w:szCs w:val="16"/>
          <w:color w:val="auto"/>
        </w:rPr>
        <w:t>—Under the indemnification provisions of our standard sales contracts, we agree to defend our customers</w:t>
      </w:r>
      <w:r>
        <w:rPr>
          <w:rFonts w:ascii="Arial" w:cs="Arial" w:eastAsia="Arial" w:hAnsi="Arial"/>
          <w:sz w:val="16"/>
          <w:szCs w:val="16"/>
          <w:b w:val="1"/>
          <w:bCs w:val="1"/>
          <w:color w:val="auto"/>
        </w:rPr>
        <w:t xml:space="preserve"> </w:t>
      </w:r>
      <w:r>
        <w:rPr>
          <w:rFonts w:ascii="Arial" w:cs="Arial" w:eastAsia="Arial" w:hAnsi="Arial"/>
          <w:sz w:val="16"/>
          <w:szCs w:val="16"/>
          <w:color w:val="auto"/>
        </w:rPr>
        <w:t>against third-party claims asserting various allegations such as product defects and infringement of certain intellectual property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intellectual property infringement, that could potentially expose us to losses in excess of the amount received under the agreement, and in some instances to potential liability that is not contractually limited. To date, although from time to time there are indemnification claims asserted against us and currently there are pending indemnification claims, there have been no material awards under such indemnification provisions.</w:t>
      </w:r>
    </w:p>
    <w:p>
      <w:pPr>
        <w:spacing w:after="0" w:line="16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Periodically we, like other security companies and companies in other industries, may experience cybersecurity threats, malicious activity directed against our information technology infrastructure and unauthorized attempts to gain access to our and our customers’ sensitive information and systems. For example, as previously disclosed, in the second quarter of 2019, we discovered that an unauthorized party illegally targeted us using sophisticated techniques, such as stealing technical data in order to both impersonate our firewall update servers and possibly attempt other attack methodologies, in an effort to try to gain access to certain of our customers’ systems. We have substantially completed our investigation of this incident and we do not currently believe that it had a material impact on our business, including our customers. We are currently not aware of any claims arising from this matter.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Plans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have stock-based compensation plans pursuant to which we have granted RSUs and stock options. We also previously had an ESPP for eligible employees, which was terminated in February 2019.</w:t>
      </w:r>
    </w:p>
    <w:p>
      <w:pPr>
        <w:spacing w:after="0" w:line="17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On June 21, 2019, our stockholders approved the Amended and Restated Fortinet, Inc. 2009 Equity Incentive Plan (the “Amended Plan”). Among other things, the Amended Plan provided for a net decrease in the number of shares of common stock that were authorized and available for issuance pursuant to future awards granted on or following the effective date of the Amended Plan. On June 28, 2019, we deregistered from various registration statements on Form S-8 an aggregate of 46.2 million shares of common stock that were originally registered for issuance under our 2009 Equity Incentive Plan.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2019, there was a total of 13.6 million shares of common stock available for grant under the Amended Plan.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following table summarizes the activity and related information for RSUs for the periods presented below (in millions, except per share amounts):</w:t>
      </w:r>
    </w:p>
    <w:p>
      <w:pPr>
        <w:spacing w:after="0" w:line="333"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7520" w:type="dxa"/>
            <w:vAlign w:val="bottom"/>
          </w:tcPr>
          <w:p>
            <w:pPr>
              <w:spacing w:after="0"/>
              <w:rPr>
                <w:sz w:val="18"/>
                <w:szCs w:val="18"/>
                <w:color w:val="auto"/>
              </w:rPr>
            </w:pPr>
          </w:p>
        </w:tc>
        <w:tc>
          <w:tcPr>
            <w:tcW w:w="3700" w:type="dxa"/>
            <w:vAlign w:val="bottom"/>
            <w:gridSpan w:val="4"/>
          </w:tcPr>
          <w:p>
            <w:pPr>
              <w:jc w:val="right"/>
              <w:ind w:right="513"/>
              <w:spacing w:after="0"/>
              <w:rPr>
                <w:sz w:val="20"/>
                <w:szCs w:val="20"/>
                <w:color w:val="auto"/>
              </w:rPr>
            </w:pPr>
            <w:r>
              <w:rPr>
                <w:rFonts w:ascii="Arial" w:cs="Arial" w:eastAsia="Arial" w:hAnsi="Arial"/>
                <w:sz w:val="16"/>
                <w:szCs w:val="16"/>
                <w:b w:val="1"/>
                <w:bCs w:val="1"/>
                <w:color w:val="auto"/>
              </w:rPr>
              <w:t>Restricted Stock Units Outstanding</w:t>
            </w:r>
          </w:p>
        </w:tc>
      </w:tr>
      <w:tr>
        <w:trPr>
          <w:trHeight w:val="33"/>
        </w:trPr>
        <w:tc>
          <w:tcPr>
            <w:tcW w:w="75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r>
      <w:tr>
        <w:trPr>
          <w:trHeight w:val="209"/>
        </w:trPr>
        <w:tc>
          <w:tcPr>
            <w:tcW w:w="7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Weighted-Average Grant</w:t>
            </w:r>
          </w:p>
        </w:tc>
      </w:tr>
      <w:tr>
        <w:trPr>
          <w:trHeight w:val="203"/>
        </w:trPr>
        <w:tc>
          <w:tcPr>
            <w:tcW w:w="75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113"/>
              <w:spacing w:after="0"/>
              <w:rPr>
                <w:sz w:val="20"/>
                <w:szCs w:val="20"/>
                <w:color w:val="auto"/>
              </w:rPr>
            </w:pPr>
            <w:r>
              <w:rPr>
                <w:rFonts w:ascii="Arial" w:cs="Arial" w:eastAsia="Arial" w:hAnsi="Arial"/>
                <w:sz w:val="16"/>
                <w:szCs w:val="16"/>
                <w:b w:val="1"/>
                <w:bCs w:val="1"/>
                <w:color w:val="auto"/>
                <w:w w:val="96"/>
              </w:rPr>
              <w:t>Date Fair Value per</w:t>
            </w:r>
          </w:p>
        </w:tc>
      </w:tr>
      <w:tr>
        <w:trPr>
          <w:trHeight w:val="210"/>
        </w:trPr>
        <w:tc>
          <w:tcPr>
            <w:tcW w:w="7520" w:type="dxa"/>
            <w:vAlign w:val="bottom"/>
          </w:tcPr>
          <w:p>
            <w:pPr>
              <w:spacing w:after="0"/>
              <w:rPr>
                <w:sz w:val="18"/>
                <w:szCs w:val="18"/>
                <w:color w:val="auto"/>
              </w:rPr>
            </w:pPr>
          </w:p>
        </w:tc>
        <w:tc>
          <w:tcPr>
            <w:tcW w:w="190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 of Shares</w:t>
            </w:r>
          </w:p>
        </w:tc>
        <w:tc>
          <w:tcPr>
            <w:tcW w:w="180" w:type="dxa"/>
            <w:vAlign w:val="bottom"/>
          </w:tcPr>
          <w:p>
            <w:pPr>
              <w:spacing w:after="0"/>
              <w:rPr>
                <w:sz w:val="18"/>
                <w:szCs w:val="18"/>
                <w:color w:val="auto"/>
              </w:rPr>
            </w:pPr>
          </w:p>
        </w:tc>
        <w:tc>
          <w:tcPr>
            <w:tcW w:w="1620" w:type="dxa"/>
            <w:vAlign w:val="bottom"/>
          </w:tcPr>
          <w:p>
            <w:pPr>
              <w:jc w:val="right"/>
              <w:ind w:right="613"/>
              <w:spacing w:after="0"/>
              <w:rPr>
                <w:sz w:val="20"/>
                <w:szCs w:val="20"/>
                <w:color w:val="auto"/>
              </w:rPr>
            </w:pPr>
            <w:r>
              <w:rPr>
                <w:rFonts w:ascii="Arial" w:cs="Arial" w:eastAsia="Arial" w:hAnsi="Arial"/>
                <w:sz w:val="16"/>
                <w:szCs w:val="16"/>
                <w:b w:val="1"/>
                <w:bCs w:val="1"/>
                <w:color w:val="auto"/>
              </w:rPr>
              <w:t>Share</w:t>
            </w:r>
          </w:p>
        </w:tc>
      </w:tr>
      <w:tr>
        <w:trPr>
          <w:trHeight w:val="33"/>
        </w:trPr>
        <w:tc>
          <w:tcPr>
            <w:tcW w:w="75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2018</w:t>
            </w: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46.07</w:t>
            </w:r>
          </w:p>
        </w:tc>
      </w:tr>
      <w:tr>
        <w:trPr>
          <w:trHeight w:val="243"/>
        </w:trPr>
        <w:tc>
          <w:tcPr>
            <w:tcW w:w="7520" w:type="dxa"/>
            <w:vAlign w:val="bottom"/>
          </w:tcPr>
          <w:p>
            <w:pPr>
              <w:ind w:left="48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83.76</w:t>
            </w:r>
          </w:p>
        </w:tc>
      </w:tr>
      <w:tr>
        <w:trPr>
          <w:trHeight w:val="27"/>
        </w:trPr>
        <w:tc>
          <w:tcPr>
            <w:tcW w:w="7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53.69</w:t>
            </w:r>
          </w:p>
        </w:tc>
      </w:tr>
      <w:tr>
        <w:trPr>
          <w:trHeight w:val="243"/>
        </w:trPr>
        <w:tc>
          <w:tcPr>
            <w:tcW w:w="7520" w:type="dxa"/>
            <w:vAlign w:val="bottom"/>
          </w:tcPr>
          <w:p>
            <w:pPr>
              <w:ind w:left="480"/>
              <w:spacing w:after="0"/>
              <w:rPr>
                <w:sz w:val="20"/>
                <w:szCs w:val="20"/>
                <w:color w:val="auto"/>
              </w:rPr>
            </w:pPr>
            <w:r>
              <w:rPr>
                <w:rFonts w:ascii="Arial" w:cs="Arial" w:eastAsia="Arial" w:hAnsi="Arial"/>
                <w:sz w:val="18"/>
                <w:szCs w:val="18"/>
                <w:color w:val="auto"/>
              </w:rPr>
              <w:t>Vested</w:t>
            </w:r>
          </w:p>
        </w:tc>
        <w:tc>
          <w:tcPr>
            <w:tcW w:w="18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43.13</w:t>
            </w:r>
          </w:p>
        </w:tc>
      </w:tr>
      <w:tr>
        <w:trPr>
          <w:trHeight w:val="27"/>
        </w:trPr>
        <w:tc>
          <w:tcPr>
            <w:tcW w:w="75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Balance—September 30, 2019</w:t>
            </w:r>
          </w:p>
        </w:tc>
        <w:tc>
          <w:tcPr>
            <w:tcW w:w="1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59.36</w:t>
            </w:r>
          </w:p>
        </w:tc>
      </w:tr>
      <w:tr>
        <w:trPr>
          <w:trHeight w:val="20"/>
        </w:trPr>
        <w:tc>
          <w:tcPr>
            <w:tcW w:w="75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80" w:firstLine="648"/>
        <w:spacing w:after="0" w:line="342" w:lineRule="auto"/>
        <w:rPr>
          <w:sz w:val="20"/>
          <w:szCs w:val="20"/>
          <w:color w:val="auto"/>
        </w:rPr>
      </w:pPr>
      <w:r>
        <w:rPr>
          <w:rFonts w:ascii="Arial" w:cs="Arial" w:eastAsia="Arial" w:hAnsi="Arial"/>
          <w:sz w:val="16"/>
          <w:szCs w:val="16"/>
          <w:color w:val="auto"/>
        </w:rPr>
        <w:t>As of September 30, 2019, total compensation expense related to unvested RSUs granted to employees and non-employees under the 2009 Plan, but not yet recognized, was $338.5 million. This expense is expected to be amortized on a straight-line basis over a weighted-average vesting period of 2.7 years.</w:t>
      </w:r>
    </w:p>
    <w:p>
      <w:pPr>
        <w:spacing w:after="0" w:line="12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RSUs settle into shares of common stock upon vesting. Upon the vesting of the RSUs, we net-settle the RSUs and withhold a portion of the shares to satisfy minimum statutory employee withholding tax requirement. Total payment of the employees’ tax obligations to the tax authorities is reflected as a financing activity within the condensed consolidated statements of cash flows.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number and value of the shares withheld for employee taxes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4"/>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4"/>
              <w:spacing w:after="0"/>
              <w:rPr>
                <w:sz w:val="20"/>
                <w:szCs w:val="20"/>
                <w:color w:val="auto"/>
              </w:rPr>
            </w:pPr>
            <w:r>
              <w:rPr>
                <w:rFonts w:ascii="Arial" w:cs="Arial" w:eastAsia="Arial" w:hAnsi="Arial"/>
                <w:sz w:val="16"/>
                <w:szCs w:val="16"/>
                <w:b w:val="1"/>
                <w:bCs w:val="1"/>
                <w:color w:val="auto"/>
                <w:w w:val="93"/>
              </w:rPr>
              <w:t>September 30,</w:t>
            </w: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2018</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withheld for taxes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Amount withheld for taxes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48.0</w:t>
            </w:r>
          </w:p>
        </w:tc>
      </w:tr>
      <w:tr>
        <w:trPr>
          <w:trHeight w:val="918"/>
        </w:trPr>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774"/>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Options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our employee stock options: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tcPr>
          <w:p>
            <w:pPr>
              <w:spacing w:after="0"/>
              <w:rPr>
                <w:sz w:val="18"/>
                <w:szCs w:val="18"/>
                <w:color w:val="auto"/>
              </w:rPr>
            </w:pPr>
          </w:p>
        </w:tc>
        <w:tc>
          <w:tcPr>
            <w:tcW w:w="3300" w:type="dxa"/>
            <w:vAlign w:val="bottom"/>
            <w:gridSpan w:val="4"/>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3180" w:type="dxa"/>
            <w:vAlign w:val="bottom"/>
            <w:gridSpan w:val="3"/>
          </w:tcPr>
          <w:p>
            <w:pPr>
              <w:jc w:val="right"/>
              <w:ind w:right="79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494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9"/>
        </w:trPr>
        <w:tc>
          <w:tcPr>
            <w:tcW w:w="4940" w:type="dxa"/>
            <w:vAlign w:val="bottom"/>
          </w:tcPr>
          <w:p>
            <w:pPr>
              <w:spacing w:after="0"/>
              <w:rPr>
                <w:sz w:val="18"/>
                <w:szCs w:val="18"/>
                <w:color w:val="auto"/>
              </w:rPr>
            </w:pPr>
          </w:p>
        </w:tc>
        <w:tc>
          <w:tcPr>
            <w:tcW w:w="1640" w:type="dxa"/>
            <w:vAlign w:val="bottom"/>
            <w:gridSpan w:val="2"/>
          </w:tcPr>
          <w:p>
            <w:pPr>
              <w:ind w:left="260"/>
              <w:spacing w:after="0"/>
              <w:rPr>
                <w:sz w:val="20"/>
                <w:szCs w:val="20"/>
                <w:color w:val="auto"/>
              </w:rPr>
            </w:pPr>
            <w:r>
              <w:rPr>
                <w:rFonts w:ascii="Arial" w:cs="Arial" w:eastAsia="Arial" w:hAnsi="Arial"/>
                <w:sz w:val="16"/>
                <w:szCs w:val="16"/>
                <w:b w:val="1"/>
                <w:bCs w:val="1"/>
                <w:color w:val="auto"/>
              </w:rPr>
              <w:t>September 30,</w:t>
            </w:r>
          </w:p>
        </w:tc>
        <w:tc>
          <w:tcPr>
            <w:tcW w:w="1660" w:type="dxa"/>
            <w:vAlign w:val="bottom"/>
            <w:gridSpan w:val="2"/>
          </w:tcPr>
          <w:p>
            <w:pPr>
              <w:ind w:left="260"/>
              <w:spacing w:after="0"/>
              <w:rPr>
                <w:sz w:val="20"/>
                <w:szCs w:val="20"/>
                <w:color w:val="auto"/>
              </w:rPr>
            </w:pPr>
            <w:r>
              <w:rPr>
                <w:rFonts w:ascii="Arial" w:cs="Arial" w:eastAsia="Arial" w:hAnsi="Arial"/>
                <w:sz w:val="16"/>
                <w:szCs w:val="16"/>
                <w:b w:val="1"/>
                <w:bCs w:val="1"/>
                <w:color w:val="auto"/>
              </w:rPr>
              <w:t>September 30,</w:t>
            </w:r>
          </w:p>
        </w:tc>
        <w:tc>
          <w:tcPr>
            <w:tcW w:w="164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September 30,</w:t>
            </w:r>
          </w:p>
        </w:tc>
        <w:tc>
          <w:tcPr>
            <w:tcW w:w="1540" w:type="dxa"/>
            <w:vAlign w:val="bottom"/>
          </w:tcPr>
          <w:p>
            <w:pPr>
              <w:jc w:val="right"/>
              <w:ind w:right="213"/>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4940" w:type="dxa"/>
            <w:vAlign w:val="bottom"/>
          </w:tcPr>
          <w:p>
            <w:pPr>
              <w:spacing w:after="0"/>
              <w:rPr>
                <w:sz w:val="18"/>
                <w:szCs w:val="18"/>
                <w:color w:val="auto"/>
              </w:rPr>
            </w:pPr>
          </w:p>
        </w:tc>
        <w:tc>
          <w:tcPr>
            <w:tcW w:w="1540" w:type="dxa"/>
            <w:vAlign w:val="bottom"/>
          </w:tcPr>
          <w:p>
            <w:pPr>
              <w:jc w:val="right"/>
              <w:ind w:right="53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540" w:type="dxa"/>
            <w:vAlign w:val="bottom"/>
          </w:tcPr>
          <w:p>
            <w:pPr>
              <w:jc w:val="right"/>
              <w:ind w:right="51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540" w:type="dxa"/>
            <w:vAlign w:val="bottom"/>
          </w:tcPr>
          <w:p>
            <w:pPr>
              <w:jc w:val="right"/>
              <w:ind w:right="53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540" w:type="dxa"/>
            <w:vAlign w:val="bottom"/>
          </w:tcPr>
          <w:p>
            <w:pPr>
              <w:jc w:val="right"/>
              <w:ind w:right="513"/>
              <w:spacing w:after="0"/>
              <w:rPr>
                <w:sz w:val="20"/>
                <w:szCs w:val="20"/>
                <w:color w:val="auto"/>
              </w:rPr>
            </w:pPr>
            <w:r>
              <w:rPr>
                <w:rFonts w:ascii="Arial" w:cs="Arial" w:eastAsia="Arial" w:hAnsi="Arial"/>
                <w:sz w:val="16"/>
                <w:szCs w:val="16"/>
                <w:b w:val="1"/>
                <w:bCs w:val="1"/>
                <w:color w:val="auto"/>
              </w:rPr>
              <w:t>2018</w:t>
            </w:r>
          </w:p>
        </w:tc>
      </w:tr>
      <w:tr>
        <w:trPr>
          <w:trHeight w:val="33"/>
        </w:trPr>
        <w:tc>
          <w:tcPr>
            <w:tcW w:w="49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5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Volatility</w:t>
            </w:r>
          </w:p>
        </w:tc>
        <w:tc>
          <w:tcPr>
            <w:tcW w:w="154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7"/>
        </w:trPr>
        <w:tc>
          <w:tcPr>
            <w:tcW w:w="4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Dividend rate</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4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millions, except exercise prices and contractual life):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380"/>
              <w:spacing w:after="0"/>
              <w:rPr>
                <w:sz w:val="20"/>
                <w:szCs w:val="20"/>
                <w:color w:val="auto"/>
              </w:rPr>
            </w:pPr>
            <w:r>
              <w:rPr>
                <w:rFonts w:ascii="Arial" w:cs="Arial" w:eastAsia="Arial" w:hAnsi="Arial"/>
                <w:sz w:val="16"/>
                <w:szCs w:val="16"/>
                <w:b w:val="1"/>
                <w:bCs w:val="1"/>
                <w:color w:val="auto"/>
              </w:rPr>
              <w:t>Options Outstanding</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6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80" w:type="dxa"/>
            <w:vAlign w:val="bottom"/>
          </w:tcPr>
          <w:p>
            <w:pPr>
              <w:spacing w:after="0"/>
              <w:rPr>
                <w:sz w:val="17"/>
                <w:szCs w:val="17"/>
                <w:color w:val="auto"/>
              </w:rPr>
            </w:pPr>
          </w:p>
        </w:tc>
        <w:tc>
          <w:tcPr>
            <w:tcW w:w="960" w:type="dxa"/>
            <w:vAlign w:val="bottom"/>
          </w:tcPr>
          <w:p>
            <w:pPr>
              <w:jc w:val="center"/>
              <w:ind w:right="95"/>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628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Exercise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18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628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of Shares</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Life (Years)</w:t>
            </w:r>
          </w:p>
        </w:tc>
        <w:tc>
          <w:tcPr>
            <w:tcW w:w="180" w:type="dxa"/>
            <w:vAlign w:val="bottom"/>
          </w:tcPr>
          <w:p>
            <w:pPr>
              <w:spacing w:after="0"/>
              <w:rPr>
                <w:sz w:val="18"/>
                <w:szCs w:val="18"/>
                <w:color w:val="auto"/>
              </w:rPr>
            </w:pPr>
          </w:p>
        </w:tc>
        <w:tc>
          <w:tcPr>
            <w:tcW w:w="960" w:type="dxa"/>
            <w:vAlign w:val="bottom"/>
          </w:tcPr>
          <w:p>
            <w:pPr>
              <w:jc w:val="center"/>
              <w:ind w:right="95"/>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2018</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35.53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84.19</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62.68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Exercised</w:t>
            </w: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29.23</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Balance—September 30, 2019</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48.46</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91"/>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vested and expected to vest—September 30, 2019</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48.46</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86.5</w:t>
            </w:r>
          </w:p>
        </w:tc>
      </w:tr>
      <w:tr>
        <w:trPr>
          <w:trHeight w:val="251"/>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exercisable—September 30, 2019</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33.64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62.6</w:t>
            </w:r>
          </w:p>
        </w:tc>
      </w:tr>
      <w:tr>
        <w:trPr>
          <w:trHeight w:val="20"/>
        </w:trPr>
        <w:tc>
          <w:tcPr>
            <w:tcW w:w="6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aggregate intrinsic value represents the difference between the exercise price of stock options and the quoted market price of our common stock on September 30, 2019 for all in-the-money stock options. As of September 30, 2019, total compensation expense related to unvested stock options granted to employees but not yet recognized was $26.0 million. This expense is expected to be amortized on a straight-line basis over a weighted-average period of 2.9 years.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(in millions, except per share amounts):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4"/>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4"/>
              <w:spacing w:after="0"/>
              <w:rPr>
                <w:sz w:val="20"/>
                <w:szCs w:val="20"/>
                <w:color w:val="auto"/>
              </w:rPr>
            </w:pPr>
            <w:r>
              <w:rPr>
                <w:rFonts w:ascii="Arial" w:cs="Arial" w:eastAsia="Arial" w:hAnsi="Arial"/>
                <w:sz w:val="16"/>
                <w:szCs w:val="16"/>
                <w:b w:val="1"/>
                <w:bCs w:val="1"/>
                <w:color w:val="auto"/>
                <w:w w:val="93"/>
              </w:rPr>
              <w:t>September 30,</w:t>
            </w: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2018</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 granted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Intrinsic value of options exercised</w:t>
            </w:r>
          </w:p>
        </w:tc>
        <w:tc>
          <w:tcPr>
            <w:tcW w:w="1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53.6</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options vested</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w:t>
            </w:r>
          </w:p>
        </w:tc>
      </w:tr>
      <w:tr>
        <w:trPr>
          <w:trHeight w:val="891"/>
        </w:trPr>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774"/>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is included in costs and expenses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2"/>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2"/>
              <w:spacing w:after="0"/>
              <w:rPr>
                <w:sz w:val="20"/>
                <w:szCs w:val="20"/>
                <w:color w:val="auto"/>
              </w:rPr>
            </w:pPr>
            <w:r>
              <w:rPr>
                <w:rFonts w:ascii="Arial" w:cs="Arial" w:eastAsia="Arial" w:hAnsi="Arial"/>
                <w:sz w:val="16"/>
                <w:szCs w:val="16"/>
                <w:b w:val="1"/>
                <w:bCs w:val="1"/>
                <w:color w:val="auto"/>
                <w:w w:val="93"/>
              </w:rPr>
              <w:t>September 30,</w:t>
            </w: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service revenue</w:t>
            </w:r>
          </w:p>
        </w:tc>
        <w:tc>
          <w:tcPr>
            <w:tcW w:w="1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8.0</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70.5</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120.3</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stock-based compensation expense by award type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3"/>
              <w:spacing w:after="0"/>
              <w:rPr>
                <w:sz w:val="20"/>
                <w:szCs w:val="20"/>
                <w:color w:val="auto"/>
              </w:rPr>
            </w:pPr>
            <w:r>
              <w:rPr>
                <w:rFonts w:ascii="Arial" w:cs="Arial" w:eastAsia="Arial" w:hAnsi="Arial"/>
                <w:sz w:val="16"/>
                <w:szCs w:val="16"/>
                <w:b w:val="1"/>
                <w:bCs w:val="1"/>
                <w:color w:val="auto"/>
                <w:w w:val="93"/>
              </w:rPr>
              <w:t>September 30,</w:t>
            </w: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2018</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1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6.7</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120.3</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Total income tax benefit associated with stock-based compensation that is recognized in the condensed consolidated statements of income is as follows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6"/>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8"/>
                <w:szCs w:val="18"/>
                <w:color w:val="auto"/>
              </w:rPr>
            </w:pPr>
          </w:p>
        </w:tc>
        <w:tc>
          <w:tcPr>
            <w:tcW w:w="1300" w:type="dxa"/>
            <w:vAlign w:val="bottom"/>
          </w:tcPr>
          <w:p>
            <w:pPr>
              <w:jc w:val="center"/>
              <w:ind w:right="116"/>
              <w:spacing w:after="0"/>
              <w:rPr>
                <w:sz w:val="20"/>
                <w:szCs w:val="20"/>
                <w:color w:val="auto"/>
              </w:rPr>
            </w:pPr>
            <w:r>
              <w:rPr>
                <w:rFonts w:ascii="Arial" w:cs="Arial" w:eastAsia="Arial" w:hAnsi="Arial"/>
                <w:sz w:val="16"/>
                <w:szCs w:val="16"/>
                <w:b w:val="1"/>
                <w:bCs w:val="1"/>
                <w:color w:val="auto"/>
                <w:w w:val="89"/>
              </w:rPr>
              <w:t>September 30,</w:t>
            </w: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7"/>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6"/>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7"/>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6"/>
              <w:spacing w:after="0"/>
              <w:rPr>
                <w:sz w:val="20"/>
                <w:szCs w:val="20"/>
                <w:color w:val="auto"/>
              </w:rPr>
            </w:pPr>
            <w:r>
              <w:rPr>
                <w:rFonts w:ascii="Arial" w:cs="Arial" w:eastAsia="Arial" w:hAnsi="Arial"/>
                <w:sz w:val="16"/>
                <w:szCs w:val="16"/>
                <w:b w:val="1"/>
                <w:bCs w:val="1"/>
                <w:color w:val="auto"/>
              </w:rPr>
              <w:t>2018</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benefit associated with stock-based compensation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19.0</w:t>
            </w:r>
          </w:p>
        </w:tc>
      </w:tr>
      <w:tr>
        <w:trPr>
          <w:trHeight w:val="27"/>
        </w:trPr>
        <w:tc>
          <w:tcPr>
            <w:tcW w:w="5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Under the Share Repurchase Program originally approved by our board of directors in January 2016 (the “Repurchase Program”), the repurchase of up to $1.5 billion of our outstanding common stock is authorized through December 31, 2019. Share repurchases may be made by us from time to time in privately negotiated transactions or in open market transactions. The Repurchase Program does not require us to purchase a minimum number of shares, and may be suspended, modified or discontinued at any time without prior notice.</w:t>
      </w:r>
    </w:p>
    <w:p>
      <w:pPr>
        <w:spacing w:after="0" w:line="18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During the three and nine months ended September 30, 2019, we repurchased 0.3 million and 1.6 million shares of common stock, respectively, under the Repurchase Program in open market transactions at an average price of $78.67 per share and $73.94 per share, respectively, for an aggregate purchase price of $26.5 million and $117.4 million, respectively. As of September 30, 2019, $616.3 million remained available for future share repurchases under the Repurchase Program.</w:t>
      </w:r>
    </w:p>
    <w:p>
      <w:pPr>
        <w:spacing w:after="0" w:line="183"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80" w:firstLine="648"/>
        <w:spacing w:after="0" w:line="297" w:lineRule="auto"/>
        <w:rPr>
          <w:sz w:val="20"/>
          <w:szCs w:val="20"/>
          <w:color w:val="auto"/>
        </w:rPr>
      </w:pPr>
      <w:r>
        <w:rPr>
          <w:rFonts w:ascii="Arial" w:cs="Arial" w:eastAsia="Arial" w:hAnsi="Arial"/>
          <w:sz w:val="16"/>
          <w:szCs w:val="16"/>
          <w:color w:val="auto"/>
        </w:rPr>
        <w:t>Our effective tax rate was 24% for the three months ended September 30, 2019, compared to an effective tax rate of 17% for the same period last year. Our effective tax rate was 16% for the nine months ended September 30, 2019, compared to an effective tax rate of 6% for the same period last year. The effective tax rates for the periods presented are primarily comprised of U.S. federal and state taxes, withholding taxes, foreign taxes and excess tax benefits from stock-based compensation expense. The tax rates for the three months ended September 30, 2019 and September 30, 2018 were impacted by U.S. federal and state taxes, withholding taxes and foreign taxes of $29.6 million and $17.7 million, respectively, which</w:t>
      </w:r>
    </w:p>
    <w:p>
      <w:pPr>
        <w:sectPr>
          <w:pgSz w:w="11900" w:h="16838" w:orient="portrait"/>
          <w:cols w:equalWidth="0" w:num="1">
            <w:col w:w="11420"/>
          </w:cols>
          <w:pgMar w:left="240" w:top="125"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were offset by excess tax benefits from stock-based compensation expense of $6.9 million and $5.8 million, respectively. The tax rate for the three months ended September 30, 2019 was impacted by a net increase in tax expense of $2.9 million due to the settlement of foreign tax audits.</w:t>
      </w:r>
    </w:p>
    <w:p>
      <w:pPr>
        <w:spacing w:after="0" w:line="14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The tax rates for the nine months ended September 30, 2019 and September 30, 2018 were impacted by U.S. federal and state taxes, withholding taxes and foreign taxes of $71.6 million and $43.4 million, respectively, which were offset by excess tax benefits from stock-based compensation expense of $34.6 million and $16.2 million, respectively. The provision for income taxes for the nine months ended September 30, 2019 included an increase in tax expense of $10.3 million for an unrecognized tax benefit related to the Ninth Circuit’s opinion in </w:t>
      </w:r>
      <w:r>
        <w:rPr>
          <w:rFonts w:ascii="Arial" w:cs="Arial" w:eastAsia="Arial" w:hAnsi="Arial"/>
          <w:sz w:val="16"/>
          <w:szCs w:val="16"/>
          <w:i w:val="1"/>
          <w:iCs w:val="1"/>
          <w:color w:val="auto"/>
        </w:rPr>
        <w:t>Altera Corporation and Subsidiaries vs. Commissioner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Internal Revenue </w:t>
      </w:r>
      <w:r>
        <w:rPr>
          <w:rFonts w:ascii="Arial" w:cs="Arial" w:eastAsia="Arial" w:hAnsi="Arial"/>
          <w:sz w:val="16"/>
          <w:szCs w:val="16"/>
          <w:color w:val="auto"/>
        </w:rPr>
        <w:t>(“Altera”) described below, regarding stock-based compensation expense in cost sharing arrangements. The provision for income taxes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nine months ended September 30, 2019 included a net increase in tax expense of $2.9 million due to the settlement of foreign tax audits. The net increase was offset due to the release of $10.0 million of reserves related to uncertain tax positions and interest due to the expiration of the statute of limitations. The tax rate for the nine months ended September 30, 2018 was also impacted by release of a reserve on uncertain tax position including interest of $18.0 million.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September 30, 2019 and December 31, 2018, unrecognized tax benefits were $67.7 million and $63.5 million, respectively. If recognized,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$62.7 million of the unrecognized tax benefits would favorably affect our effective tax rate. It is our policy to include accrued interest and penalties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uncertain tax benefits in income tax expense. As of September 30, 2019 and December 31, 2018, accrued interest and penalties were $13.8 million and $11.6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respectively. It is reasonably possible that our gross unrecognized tax benefits will decrease by up to $7.1 million in the next 12 months, due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lapse of the statute of limitations. This decrease, if recognized, would positively impact our effective tax rate, and would be recognized as additional tax</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benefits.</w:t>
      </w:r>
    </w:p>
    <w:p>
      <w:pPr>
        <w:spacing w:after="0" w:line="211"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We file income tax returns in the U.S. federal jurisdiction and in various U.S. state and foreign jurisdictions. Generally, we are no longer subject to U.S. state and foreign income tax examinations by tax authorities for tax years prior to 2010. We are no longer subject to examination by U.S federal income tax authorities for tax years prior to 2015. We currently have ongoing tax audits in the United Kingdom, Italy, Canada and several other foreign jurisdictions. The focus of these audits is the inter-company profit allocation.</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June 7, 2019, the Ninth Circuit overturned the U.S. Tax Court’s decision on Altera and ruled in favor of the Commissioner, validating the regulations requiring stock-based compensation to be included in a cost sharing arrangement. Due to the uncertainty surrounding the status of the current regulations and questions related to the scope of potential benefits or obligations, we incurred an unrecognized tax benefit of $10.3 million related to the Ninth Circuit’s Altera decision regarding stock-based compensation in cost sharing arrangements. We continue to monitor developments in this case and any impact it could have on our tax provision.</w:t>
      </w:r>
    </w:p>
    <w:p>
      <w:pPr>
        <w:spacing w:after="0" w:line="18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PLANS</w:t>
      </w:r>
    </w:p>
    <w:p>
      <w:pPr>
        <w:spacing w:after="0" w:line="229"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Our tax-deferred savings plan under our 401(k) Plan permits participating U.S. employees to contribute a portion of their pre-tax or after-tax earnings. In Canada, we have a Group Registered Retirement Savings Plan Program (the “RRSP”), which permits participants to make tax deductible contributions. Our board of directors approved 50% matching contributions on employee contributions up to 4% of each employee’s eligible earnings. Our matching contributions to our 401(k) Plan and the RRSP for the three months ended September 30, 2019 and September 30, 2018 were $1.8 million and $1.4 million, respectively. Our matching contributions to our 401(k) Plan and the RRSP for the nine months ended September 30, 2019 and September 30, 2018 were $5.2 million and $4.4 million, respectively.</w:t>
      </w:r>
    </w:p>
    <w:p>
      <w:pPr>
        <w:spacing w:after="0" w:line="18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125" w:right="2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Revenue by geographic region is based on the billing address of our customers. The following tables set forth revenue and property and equipment— net by geographic region (in millions):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2"/>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2"/>
              <w:spacing w:after="0"/>
              <w:rPr>
                <w:sz w:val="20"/>
                <w:szCs w:val="20"/>
                <w:color w:val="auto"/>
              </w:rPr>
            </w:pPr>
            <w:r>
              <w:rPr>
                <w:rFonts w:ascii="Arial" w:cs="Arial" w:eastAsia="Arial" w:hAnsi="Arial"/>
                <w:sz w:val="16"/>
                <w:szCs w:val="16"/>
                <w:b w:val="1"/>
                <w:bCs w:val="1"/>
                <w:color w:val="auto"/>
                <w:w w:val="93"/>
              </w:rPr>
              <w:t>September 30,</w:t>
            </w:r>
          </w:p>
        </w:tc>
      </w:tr>
      <w:tr>
        <w:trPr>
          <w:trHeight w:val="176"/>
        </w:trPr>
        <w:tc>
          <w:tcPr>
            <w:tcW w:w="516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Revenue</w:t>
            </w:r>
          </w:p>
        </w:tc>
        <w:tc>
          <w:tcPr>
            <w:tcW w:w="180" w:type="dxa"/>
            <w:vAlign w:val="bottom"/>
          </w:tcPr>
          <w:p>
            <w:pPr>
              <w:spacing w:after="0"/>
              <w:rPr>
                <w:sz w:val="15"/>
                <w:szCs w:val="15"/>
                <w:color w:val="auto"/>
              </w:rPr>
            </w:pPr>
          </w:p>
        </w:tc>
        <w:tc>
          <w:tcPr>
            <w:tcW w:w="1320" w:type="dxa"/>
            <w:vAlign w:val="bottom"/>
          </w:tcPr>
          <w:p>
            <w:pPr>
              <w:jc w:val="right"/>
              <w:ind w:right="493"/>
              <w:spacing w:after="0" w:line="176"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ind w:right="492"/>
              <w:spacing w:after="0" w:line="176" w:lineRule="exact"/>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ind w:right="493"/>
              <w:spacing w:after="0" w:line="176"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ind w:right="492"/>
              <w:spacing w:after="0" w:line="176" w:lineRule="exact"/>
              <w:rPr>
                <w:sz w:val="20"/>
                <w:szCs w:val="20"/>
                <w:color w:val="auto"/>
              </w:rPr>
            </w:pPr>
            <w:r>
              <w:rPr>
                <w:rFonts w:ascii="Arial" w:cs="Arial" w:eastAsia="Arial" w:hAnsi="Arial"/>
                <w:sz w:val="16"/>
                <w:szCs w:val="16"/>
                <w:b w:val="1"/>
                <w:bCs w:val="1"/>
                <w:color w:val="auto"/>
              </w:rPr>
              <w:t>2018</w:t>
            </w:r>
          </w:p>
        </w:tc>
      </w:tr>
      <w:tr>
        <w:trPr>
          <w:trHeight w:val="48"/>
        </w:trPr>
        <w:tc>
          <w:tcPr>
            <w:tcW w:w="40" w:type="dxa"/>
            <w:vAlign w:val="bottom"/>
            <w:tcBorders>
              <w:bottom w:val="single" w:sz="8" w:color="CCEEFF"/>
            </w:tcBorders>
          </w:tcPr>
          <w:p>
            <w:pPr>
              <w:spacing w:after="0"/>
              <w:rPr>
                <w:sz w:val="4"/>
                <w:szCs w:val="4"/>
                <w:color w:val="auto"/>
              </w:rPr>
            </w:pPr>
          </w:p>
        </w:tc>
        <w:tc>
          <w:tcPr>
            <w:tcW w:w="580" w:type="dxa"/>
            <w:vAlign w:val="bottom"/>
            <w:tcBorders>
              <w:top w:val="single" w:sz="8" w:color="auto"/>
              <w:bottom w:val="single" w:sz="8" w:color="CCEEFF"/>
            </w:tcBorders>
          </w:tcPr>
          <w:p>
            <w:pPr>
              <w:spacing w:after="0"/>
              <w:rPr>
                <w:sz w:val="4"/>
                <w:szCs w:val="4"/>
                <w:color w:val="auto"/>
              </w:rPr>
            </w:pPr>
          </w:p>
        </w:tc>
        <w:tc>
          <w:tcPr>
            <w:tcW w:w="45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182.1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505.9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425.3</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4"/>
        </w:trPr>
        <w:tc>
          <w:tcPr>
            <w:tcW w:w="40" w:type="dxa"/>
            <w:vAlign w:val="bottom"/>
            <w:shd w:val="clear" w:color="auto" w:fill="CCEEFF"/>
          </w:tcPr>
          <w:p>
            <w:pPr>
              <w:spacing w:after="0"/>
              <w:rPr>
                <w:sz w:val="22"/>
                <w:szCs w:val="22"/>
                <w:color w:val="auto"/>
              </w:rPr>
            </w:pPr>
          </w:p>
        </w:tc>
        <w:tc>
          <w:tcPr>
            <w:tcW w:w="51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xml:space="preserve">Other Americas </w:t>
            </w:r>
            <w:r>
              <w:rPr>
                <w:rFonts w:ascii="Arial" w:cs="Arial" w:eastAsia="Arial" w:hAnsi="Arial"/>
                <w:sz w:val="18"/>
                <w:szCs w:val="18"/>
                <w:color w:val="auto"/>
                <w:vertAlign w:val="superscript"/>
              </w:rPr>
              <w:t>(1)</w:t>
            </w: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58.6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160.8</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133.8</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color w:val="auto"/>
              </w:rPr>
              <w:t>Total Americas</w:t>
            </w:r>
          </w:p>
        </w:tc>
        <w:tc>
          <w:tcPr>
            <w:tcW w:w="1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240.7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666.7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559.1</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 Middle East and Africa (“EMEA”)</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474.3</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Asia Pacific (“APAC”)</w:t>
            </w:r>
          </w:p>
        </w:tc>
        <w:tc>
          <w:tcPr>
            <w:tcW w:w="1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305.2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260.8</w:t>
            </w: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547.5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1,541.8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1,294.2</w:t>
            </w:r>
          </w:p>
        </w:tc>
      </w:tr>
    </w:tbl>
    <w:p>
      <w:pPr>
        <w:spacing w:after="0" w:line="8" w:lineRule="exact"/>
        <w:rPr>
          <w:sz w:val="20"/>
          <w:szCs w:val="20"/>
          <w:color w:val="auto"/>
        </w:rPr>
      </w:pPr>
    </w:p>
    <w:p>
      <w:pPr>
        <w:ind w:left="180" w:hanging="145"/>
        <w:spacing w:after="0"/>
        <w:tabs>
          <w:tab w:leader="none" w:pos="180" w:val="left"/>
        </w:tabs>
        <w:numPr>
          <w:ilvl w:val="0"/>
          <w:numId w:val="21"/>
        </w:numPr>
        <w:rPr>
          <w:rFonts w:ascii="Arial" w:cs="Arial" w:eastAsia="Arial" w:hAnsi="Arial"/>
          <w:sz w:val="9"/>
          <w:szCs w:val="9"/>
          <w:color w:val="auto"/>
        </w:rPr>
      </w:pPr>
      <w:r>
        <w:rPr>
          <w:rFonts w:ascii="Arial" w:cs="Arial" w:eastAsia="Arial" w:hAnsi="Arial"/>
          <w:sz w:val="14"/>
          <w:szCs w:val="14"/>
          <w:color w:val="auto"/>
        </w:rPr>
        <w:t>In 2019, Canada and Latin America revenue were combined and presented as Other Americas. Prior periods have been reclassified to conform with current period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-98425</wp:posOffset>
            </wp:positionV>
            <wp:extent cx="3978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8"/>
                <w:szCs w:val="18"/>
                <w:color w:val="auto"/>
              </w:rPr>
              <w:t>—</w:t>
            </w:r>
            <w:r>
              <w:rPr>
                <w:rFonts w:ascii="Arial" w:cs="Arial" w:eastAsia="Arial" w:hAnsi="Arial"/>
                <w:sz w:val="16"/>
                <w:szCs w:val="16"/>
                <w:b w:val="1"/>
                <w:bCs w:val="1"/>
                <w:color w:val="auto"/>
              </w:rPr>
              <w:t>net</w:t>
            </w:r>
          </w:p>
        </w:tc>
        <w:tc>
          <w:tcPr>
            <w:tcW w:w="200" w:type="dxa"/>
            <w:vAlign w:val="bottom"/>
          </w:tcPr>
          <w:p>
            <w:pPr>
              <w:spacing w:after="0"/>
              <w:rPr>
                <w:sz w:val="17"/>
                <w:szCs w:val="17"/>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7"/>
                <w:szCs w:val="17"/>
                <w:color w:val="auto"/>
              </w:rPr>
            </w:pPr>
          </w:p>
        </w:tc>
        <w:tc>
          <w:tcPr>
            <w:tcW w:w="138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176"/>
        </w:trPr>
        <w:tc>
          <w:tcPr>
            <w:tcW w:w="81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552"/>
              <w:spacing w:after="0" w:line="176"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ind w:right="552"/>
              <w:spacing w:after="0" w:line="176" w:lineRule="exact"/>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2120" w:type="dxa"/>
            <w:vAlign w:val="bottom"/>
            <w:tcBorders>
              <w:top w:val="single" w:sz="8" w:color="auto"/>
              <w:bottom w:val="single" w:sz="8" w:color="CCEEFF"/>
            </w:tcBorders>
          </w:tcPr>
          <w:p>
            <w:pPr>
              <w:spacing w:after="0"/>
              <w:rPr>
                <w:sz w:val="4"/>
                <w:szCs w:val="4"/>
                <w:color w:val="auto"/>
              </w:rPr>
            </w:pPr>
          </w:p>
        </w:tc>
        <w:tc>
          <w:tcPr>
            <w:tcW w:w="59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United States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Latin America</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Americas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62"/>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18"/>
                <w:szCs w:val="18"/>
                <w:color w:val="auto"/>
                <w:vertAlign w:val="superscript"/>
              </w:rPr>
              <w:t>(1)</w:t>
            </w:r>
          </w:p>
        </w:tc>
        <w:tc>
          <w:tcPr>
            <w:tcW w:w="200" w:type="dxa"/>
            <w:vAlign w:val="bottom"/>
          </w:tcPr>
          <w:p>
            <w:pPr>
              <w:spacing w:after="0"/>
              <w:rPr>
                <w:sz w:val="22"/>
                <w:szCs w:val="22"/>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8"/>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APAC</w:t>
            </w:r>
          </w:p>
        </w:tc>
        <w:tc>
          <w:tcPr>
            <w:tcW w:w="2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gridSpan w:val="2"/>
          </w:tcPr>
          <w:p>
            <w:pPr>
              <w:ind w:left="460"/>
              <w:spacing w:after="0"/>
              <w:rPr>
                <w:sz w:val="20"/>
                <w:szCs w:val="20"/>
                <w:color w:val="auto"/>
              </w:rPr>
            </w:pPr>
            <w:r>
              <w:rPr>
                <w:rFonts w:ascii="Arial" w:cs="Arial" w:eastAsia="Arial" w:hAnsi="Arial"/>
                <w:sz w:val="18"/>
                <w:szCs w:val="18"/>
                <w:color w:val="auto"/>
              </w:rPr>
              <w:t>Total property and equipment—net</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305.5</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8890</wp:posOffset>
            </wp:positionV>
            <wp:extent cx="2101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5" w:lineRule="exact"/>
        <w:rPr>
          <w:sz w:val="20"/>
          <w:szCs w:val="20"/>
          <w:color w:val="auto"/>
        </w:rPr>
      </w:pPr>
    </w:p>
    <w:p>
      <w:pPr>
        <w:ind w:left="180" w:hanging="145"/>
        <w:spacing w:after="0"/>
        <w:tabs>
          <w:tab w:leader="none" w:pos="180" w:val="left"/>
        </w:tabs>
        <w:numPr>
          <w:ilvl w:val="0"/>
          <w:numId w:val="22"/>
        </w:numPr>
        <w:rPr>
          <w:rFonts w:ascii="Arial" w:cs="Arial" w:eastAsia="Arial" w:hAnsi="Arial"/>
          <w:sz w:val="9"/>
          <w:szCs w:val="9"/>
          <w:color w:val="auto"/>
        </w:rPr>
      </w:pPr>
      <w:r>
        <w:rPr>
          <w:rFonts w:ascii="Arial" w:cs="Arial" w:eastAsia="Arial" w:hAnsi="Arial"/>
          <w:sz w:val="14"/>
          <w:szCs w:val="14"/>
          <w:color w:val="auto"/>
        </w:rPr>
        <w:t>In 2019, France and Other EMEA property and equipment were combined and presented as EMEA. Prior periods have been reclassified to conform with current period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-98425</wp:posOffset>
            </wp:positionV>
            <wp:extent cx="2101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distributors accounted for 10% or more of our revenue: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tcPr>
          <w:p>
            <w:pPr>
              <w:spacing w:after="0"/>
              <w:rPr>
                <w:sz w:val="18"/>
                <w:szCs w:val="18"/>
                <w:color w:val="auto"/>
              </w:rPr>
            </w:pPr>
          </w:p>
        </w:tc>
        <w:tc>
          <w:tcPr>
            <w:tcW w:w="3300" w:type="dxa"/>
            <w:vAlign w:val="bottom"/>
            <w:gridSpan w:val="4"/>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3180" w:type="dxa"/>
            <w:vAlign w:val="bottom"/>
            <w:gridSpan w:val="3"/>
          </w:tcPr>
          <w:p>
            <w:pPr>
              <w:jc w:val="right"/>
              <w:ind w:right="794"/>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494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9"/>
        </w:trPr>
        <w:tc>
          <w:tcPr>
            <w:tcW w:w="4940" w:type="dxa"/>
            <w:vAlign w:val="bottom"/>
          </w:tcPr>
          <w:p>
            <w:pPr>
              <w:spacing w:after="0"/>
              <w:rPr>
                <w:sz w:val="18"/>
                <w:szCs w:val="18"/>
                <w:color w:val="auto"/>
              </w:rPr>
            </w:pPr>
          </w:p>
        </w:tc>
        <w:tc>
          <w:tcPr>
            <w:tcW w:w="1640" w:type="dxa"/>
            <w:vAlign w:val="bottom"/>
            <w:gridSpan w:val="2"/>
          </w:tcPr>
          <w:p>
            <w:pPr>
              <w:ind w:left="260"/>
              <w:spacing w:after="0"/>
              <w:rPr>
                <w:sz w:val="20"/>
                <w:szCs w:val="20"/>
                <w:color w:val="auto"/>
              </w:rPr>
            </w:pPr>
            <w:r>
              <w:rPr>
                <w:rFonts w:ascii="Arial" w:cs="Arial" w:eastAsia="Arial" w:hAnsi="Arial"/>
                <w:sz w:val="16"/>
                <w:szCs w:val="16"/>
                <w:b w:val="1"/>
                <w:bCs w:val="1"/>
                <w:color w:val="auto"/>
              </w:rPr>
              <w:t>September 30,</w:t>
            </w:r>
          </w:p>
        </w:tc>
        <w:tc>
          <w:tcPr>
            <w:tcW w:w="1660" w:type="dxa"/>
            <w:vAlign w:val="bottom"/>
            <w:gridSpan w:val="2"/>
          </w:tcPr>
          <w:p>
            <w:pPr>
              <w:ind w:left="260"/>
              <w:spacing w:after="0"/>
              <w:rPr>
                <w:sz w:val="20"/>
                <w:szCs w:val="20"/>
                <w:color w:val="auto"/>
              </w:rPr>
            </w:pPr>
            <w:r>
              <w:rPr>
                <w:rFonts w:ascii="Arial" w:cs="Arial" w:eastAsia="Arial" w:hAnsi="Arial"/>
                <w:sz w:val="16"/>
                <w:szCs w:val="16"/>
                <w:b w:val="1"/>
                <w:bCs w:val="1"/>
                <w:color w:val="auto"/>
              </w:rPr>
              <w:t>September 30,</w:t>
            </w:r>
          </w:p>
        </w:tc>
        <w:tc>
          <w:tcPr>
            <w:tcW w:w="164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September 30,</w:t>
            </w:r>
          </w:p>
        </w:tc>
        <w:tc>
          <w:tcPr>
            <w:tcW w:w="1540" w:type="dxa"/>
            <w:vAlign w:val="bottom"/>
          </w:tcPr>
          <w:p>
            <w:pPr>
              <w:jc w:val="right"/>
              <w:ind w:right="214"/>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4940" w:type="dxa"/>
            <w:vAlign w:val="bottom"/>
          </w:tcPr>
          <w:p>
            <w:pPr>
              <w:spacing w:after="0"/>
              <w:rPr>
                <w:sz w:val="18"/>
                <w:szCs w:val="18"/>
                <w:color w:val="auto"/>
              </w:rPr>
            </w:pPr>
          </w:p>
        </w:tc>
        <w:tc>
          <w:tcPr>
            <w:tcW w:w="1540" w:type="dxa"/>
            <w:vAlign w:val="bottom"/>
          </w:tcPr>
          <w:p>
            <w:pPr>
              <w:jc w:val="right"/>
              <w:ind w:right="53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540" w:type="dxa"/>
            <w:vAlign w:val="bottom"/>
          </w:tcPr>
          <w:p>
            <w:pPr>
              <w:jc w:val="right"/>
              <w:ind w:right="51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540" w:type="dxa"/>
            <w:vAlign w:val="bottom"/>
          </w:tcPr>
          <w:p>
            <w:pPr>
              <w:jc w:val="right"/>
              <w:ind w:right="53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540" w:type="dxa"/>
            <w:vAlign w:val="bottom"/>
          </w:tcPr>
          <w:p>
            <w:pPr>
              <w:jc w:val="right"/>
              <w:ind w:right="514"/>
              <w:spacing w:after="0"/>
              <w:rPr>
                <w:sz w:val="20"/>
                <w:szCs w:val="20"/>
                <w:color w:val="auto"/>
              </w:rPr>
            </w:pPr>
            <w:r>
              <w:rPr>
                <w:rFonts w:ascii="Arial" w:cs="Arial" w:eastAsia="Arial" w:hAnsi="Arial"/>
                <w:sz w:val="16"/>
                <w:szCs w:val="16"/>
                <w:b w:val="1"/>
                <w:bCs w:val="1"/>
                <w:color w:val="auto"/>
              </w:rPr>
              <w:t>2018</w:t>
            </w:r>
          </w:p>
        </w:tc>
      </w:tr>
      <w:tr>
        <w:trPr>
          <w:trHeight w:val="33"/>
        </w:trPr>
        <w:tc>
          <w:tcPr>
            <w:tcW w:w="49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Exclusive Networks Group</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Ingram Micro</w:t>
            </w:r>
          </w:p>
        </w:tc>
        <w:tc>
          <w:tcPr>
            <w:tcW w:w="15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distributors accounted for 10% or more of net accounts receivable: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460" w:type="dxa"/>
            <w:vAlign w:val="bottom"/>
          </w:tcPr>
          <w:p>
            <w:pPr>
              <w:jc w:val="center"/>
              <w:ind w:left="279"/>
              <w:spacing w:after="0"/>
              <w:rPr>
                <w:sz w:val="20"/>
                <w:szCs w:val="20"/>
                <w:color w:val="auto"/>
              </w:rPr>
            </w:pPr>
            <w:r>
              <w:rPr>
                <w:rFonts w:ascii="Arial" w:cs="Arial" w:eastAsia="Arial" w:hAnsi="Arial"/>
                <w:sz w:val="16"/>
                <w:szCs w:val="16"/>
                <w:b w:val="1"/>
                <w:bCs w:val="1"/>
                <w:color w:val="auto"/>
                <w:w w:val="89"/>
              </w:rPr>
              <w:t>September 30,</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jc w:val="right"/>
              <w:ind w:right="41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900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694"/>
              <w:spacing w:after="0"/>
              <w:rPr>
                <w:sz w:val="20"/>
                <w:szCs w:val="20"/>
                <w:color w:val="auto"/>
              </w:rPr>
            </w:pPr>
            <w:r>
              <w:rPr>
                <w:rFonts w:ascii="Arial" w:cs="Arial" w:eastAsia="Arial" w:hAnsi="Arial"/>
                <w:sz w:val="16"/>
                <w:szCs w:val="16"/>
                <w:b w:val="1"/>
                <w:bCs w:val="1"/>
                <w:color w:val="auto"/>
              </w:rPr>
              <w:t>2018</w:t>
            </w:r>
          </w:p>
        </w:tc>
      </w:tr>
      <w:tr>
        <w:trPr>
          <w:trHeight w:val="33"/>
        </w:trPr>
        <w:tc>
          <w:tcPr>
            <w:tcW w:w="75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Exclusive Networks Group</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Ingram Micro</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11%</w:t>
            </w:r>
          </w:p>
        </w:tc>
        <w:tc>
          <w:tcPr>
            <w:tcW w:w="100" w:type="dxa"/>
            <w:vAlign w:val="bottom"/>
          </w:tcPr>
          <w:p>
            <w:pPr>
              <w:spacing w:after="0"/>
              <w:rPr>
                <w:sz w:val="21"/>
                <w:szCs w:val="21"/>
                <w:color w:val="auto"/>
              </w:rPr>
            </w:pPr>
          </w:p>
        </w:tc>
        <w:tc>
          <w:tcPr>
            <w:tcW w:w="190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18"/>
        </w:trPr>
        <w:tc>
          <w:tcPr>
            <w:tcW w:w="9000" w:type="dxa"/>
            <w:vAlign w:val="bottom"/>
            <w:gridSpan w:val="2"/>
          </w:tcPr>
          <w:p>
            <w:pPr>
              <w:ind w:left="40"/>
              <w:spacing w:after="0"/>
              <w:rPr>
                <w:sz w:val="20"/>
                <w:szCs w:val="20"/>
                <w:color w:val="auto"/>
              </w:rPr>
            </w:pPr>
            <w:r>
              <w:rPr>
                <w:rFonts w:ascii="Arial" w:cs="Arial" w:eastAsia="Arial" w:hAnsi="Arial"/>
                <w:sz w:val="14"/>
                <w:szCs w:val="14"/>
                <w:color w:val="auto"/>
              </w:rPr>
              <w:t>* Represents less than 10%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ind w:left="440" w:hanging="432"/>
        <w:spacing w:after="0"/>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accumulated balances of other comprehensive income (loss) (in millions):</w:t>
      </w: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Tax provision</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(benefit) related to</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Unrealized Gains</w:t>
            </w:r>
          </w:p>
        </w:tc>
        <w:tc>
          <w:tcPr>
            <w:tcW w:w="15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unrealized gains or</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(Losses) on</w:t>
            </w:r>
          </w:p>
        </w:tc>
        <w:tc>
          <w:tcPr>
            <w:tcW w:w="18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1"/>
              </w:rPr>
              <w:t>losses on</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6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Investments</w:t>
            </w: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investments</w:t>
            </w:r>
          </w:p>
        </w:tc>
        <w:tc>
          <w:tcPr>
            <w:tcW w:w="36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33"/>
        </w:trPr>
        <w:tc>
          <w:tcPr>
            <w:tcW w:w="6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6600" w:type="dxa"/>
            <w:vAlign w:val="bottom"/>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
        </w:trPr>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6600" w:type="dxa"/>
            <w:vAlign w:val="bottom"/>
          </w:tcPr>
          <w:p>
            <w:pPr>
              <w:ind w:left="20"/>
              <w:spacing w:after="0"/>
              <w:rPr>
                <w:sz w:val="20"/>
                <w:szCs w:val="20"/>
                <w:color w:val="auto"/>
              </w:rPr>
            </w:pPr>
            <w:r>
              <w:rPr>
                <w:rFonts w:ascii="Arial" w:cs="Arial" w:eastAsia="Arial" w:hAnsi="Arial"/>
                <w:sz w:val="18"/>
                <w:szCs w:val="18"/>
                <w:color w:val="auto"/>
              </w:rPr>
              <w:t>Net current-period other comprehensive income</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6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Balance—September 30,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0"/>
        </w:trPr>
        <w:tc>
          <w:tcPr>
            <w:tcW w:w="6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adopted ASU 2018-02 on January 1, 2019, and elected to reclassify the income tax effects of the 2017 Tax Act to retained earnings at the beginning of the period. Other amounts reclassified from accumulated other comprehensive loss for unrealized losses on investments and tax provision related to unrealized gains or losses on investments are recorded in other income (expense)—net and in provision for (benefit from) income taxes, respectively.</w:t>
      </w:r>
    </w:p>
    <w:p>
      <w:pPr>
        <w:spacing w:after="0" w:line="143"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On October 28, 2019, we acquired enSilo Ltd. (“enSilo”), a privately held company that provides endpoint detection and response products and services. We acquired enSilo for approximately $20.0 million in initial consideration, subject to certain adjustments.</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are currently in the process of evaluating the business combination accounting, including the consideration transferred and the initial purchase price allocation.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w:t>
      </w:r>
    </w:p>
    <w:p>
      <w:pPr>
        <w:spacing w:after="0" w:line="229"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Subsequent to September 30, 2019 through the filing of this Quarterly Report on Form 10-Q, we repurchased 0.3 million shares of our common stock, for an aggregate purchase price of $23.5 million at an average price of $77.39 per share, under the Repurchase Program.</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27A of the Securities Act of 1933, as amended, and Section 21E of the Securities and Exchange Act of 1934, as amended (the “Exchange Act”). These statements include, among other things, statements concerning our expectations regarding:</w:t>
      </w:r>
    </w:p>
    <w:p>
      <w:pPr>
        <w:spacing w:after="0" w:line="181"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growth and market share gains;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 and services;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the impact of macro-economic and geopolitical factors on our sales;</w:t>
      </w:r>
    </w:p>
    <w:p>
      <w:pPr>
        <w:spacing w:after="0" w:line="225"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the proportion of our revenue that consists of our product and service revenue, and the mix of billings between products and services, and the duration of service contracts;</w:t>
      </w:r>
    </w:p>
    <w:p>
      <w:pPr>
        <w:spacing w:after="0" w:line="170"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our product innovation strategy;</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government regulation, tariffs and other related policies;</w:t>
      </w:r>
    </w:p>
    <w:p>
      <w:pPr>
        <w:spacing w:after="0" w:line="225" w:lineRule="exact"/>
        <w:rPr>
          <w:rFonts w:ascii="Arial" w:cs="Arial" w:eastAsia="Arial" w:hAnsi="Arial"/>
          <w:sz w:val="18"/>
          <w:szCs w:val="18"/>
          <w:i w:val="1"/>
          <w:iCs w:val="1"/>
          <w:color w:val="auto"/>
        </w:rPr>
      </w:pPr>
    </w:p>
    <w:p>
      <w:pPr>
        <w:ind w:left="1300" w:right="300" w:hanging="644"/>
        <w:spacing w:after="0" w:line="277" w:lineRule="auto"/>
        <w:tabs>
          <w:tab w:leader="none" w:pos="13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drivers of long-term growth and operating leverage, such as increased sales productivity, functionality and value in our standalone and bundled subscription service offerings;</w:t>
      </w:r>
    </w:p>
    <w:p>
      <w:pPr>
        <w:spacing w:after="0" w:line="170" w:lineRule="exact"/>
        <w:rPr>
          <w:rFonts w:ascii="Arial" w:cs="Arial" w:eastAsia="Arial" w:hAnsi="Arial"/>
          <w:sz w:val="18"/>
          <w:szCs w:val="18"/>
          <w:i w:val="1"/>
          <w:iCs w:val="1"/>
          <w:color w:val="auto"/>
        </w:rPr>
      </w:pPr>
    </w:p>
    <w:p>
      <w:pPr>
        <w:ind w:left="1300" w:right="20" w:hanging="644"/>
        <w:spacing w:after="0" w:line="259" w:lineRule="auto"/>
        <w:tabs>
          <w:tab w:leader="none" w:pos="13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growing our sales to businesses, service providers and government organizations, our ability to execute these sales and of the complexity of selling to all segments (including the increased competition and unpredictability of timing associated with sales to larger enterprises), the impact of sales to these organizations on our long-term growth, expansion and operating results, and the effectiveness of our internal sales organization;</w:t>
      </w:r>
    </w:p>
    <w:p>
      <w:pPr>
        <w:spacing w:after="0" w:line="186"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hire properly qualified and effective sales, support and engineering employees;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trends in revenue, cost of revenue and gross margin;</w:t>
      </w:r>
    </w:p>
    <w:p>
      <w:pPr>
        <w:spacing w:after="0" w:line="225" w:lineRule="exact"/>
        <w:rPr>
          <w:rFonts w:ascii="Arial" w:cs="Arial" w:eastAsia="Arial" w:hAnsi="Arial"/>
          <w:sz w:val="18"/>
          <w:szCs w:val="18"/>
          <w:i w:val="1"/>
          <w:iCs w:val="1"/>
          <w:color w:val="auto"/>
        </w:rPr>
      </w:pPr>
    </w:p>
    <w:p>
      <w:pPr>
        <w:ind w:left="1300" w:right="22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sales and marketing expense, research and development expense, general and administrative expense, and expectations regarding these expenses;</w:t>
      </w:r>
    </w:p>
    <w:p>
      <w:pPr>
        <w:spacing w:after="0" w:line="170" w:lineRule="exact"/>
        <w:rPr>
          <w:rFonts w:ascii="Arial" w:cs="Arial" w:eastAsia="Arial" w:hAnsi="Arial"/>
          <w:sz w:val="18"/>
          <w:szCs w:val="18"/>
          <w:color w:val="auto"/>
        </w:rPr>
      </w:pPr>
    </w:p>
    <w:p>
      <w:pPr>
        <w:ind w:left="1300" w:right="68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risks and expectations related to acquisitions or sales of assets, including integration issues related to product plans and products, including the acquired technology;</w:t>
      </w:r>
    </w:p>
    <w:p>
      <w:pPr>
        <w:spacing w:after="0" w:line="170"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investments in research and development, and expectations that our research and development expense will increase in absolute dollars during the remainder of 2019;</w:t>
      </w:r>
    </w:p>
    <w:p>
      <w:pPr>
        <w:spacing w:after="0" w:line="170" w:lineRule="exact"/>
        <w:rPr>
          <w:rFonts w:ascii="Arial" w:cs="Arial" w:eastAsia="Arial" w:hAnsi="Arial"/>
          <w:sz w:val="18"/>
          <w:szCs w:val="18"/>
          <w:i w:val="1"/>
          <w:iCs w:val="1"/>
          <w:color w:val="auto"/>
        </w:rPr>
      </w:pPr>
    </w:p>
    <w:p>
      <w:pPr>
        <w:ind w:left="1300" w:right="380" w:hanging="644"/>
        <w:spacing w:after="0" w:line="277" w:lineRule="auto"/>
        <w:tabs>
          <w:tab w:leader="none" w:pos="13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investments in our sales resources and infrastructure and marketing strategy, and expectations that our sales and marketing expense will increase in absolute dollars during the remainder of 2019;</w:t>
      </w:r>
    </w:p>
    <w:p>
      <w:pPr>
        <w:spacing w:after="0" w:line="170"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that our general and administrative expense will increase in absolute dollars during the remainder of 2019;</w:t>
      </w:r>
    </w:p>
    <w:p>
      <w:pPr>
        <w:spacing w:after="0" w:line="225" w:lineRule="exact"/>
        <w:rPr>
          <w:rFonts w:ascii="Arial" w:cs="Arial" w:eastAsia="Arial" w:hAnsi="Arial"/>
          <w:sz w:val="18"/>
          <w:szCs w:val="18"/>
          <w:i w:val="1"/>
          <w:iCs w:val="1"/>
          <w:color w:val="auto"/>
        </w:rPr>
      </w:pPr>
    </w:p>
    <w:p>
      <w:pPr>
        <w:ind w:left="1300" w:right="140" w:hanging="644"/>
        <w:spacing w:after="0" w:line="277" w:lineRule="auto"/>
        <w:tabs>
          <w:tab w:leader="none" w:pos="13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that proceeds from the exercise of stock options in future years will be impacted by the increased mix of restricted stock units versus stock options granted;</w:t>
      </w:r>
    </w:p>
    <w:p>
      <w:pPr>
        <w:spacing w:after="0" w:line="170"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estimates of a range of 2019 spending on our new headquarters project;</w:t>
      </w:r>
    </w:p>
    <w:p>
      <w:pPr>
        <w:spacing w:after="0" w:line="225" w:lineRule="exact"/>
        <w:rPr>
          <w:rFonts w:ascii="Arial" w:cs="Arial" w:eastAsia="Arial" w:hAnsi="Arial"/>
          <w:sz w:val="18"/>
          <w:szCs w:val="18"/>
          <w:i w:val="1"/>
          <w:iCs w:val="1"/>
          <w:color w:val="auto"/>
        </w:rPr>
      </w:pPr>
    </w:p>
    <w:p>
      <w:pPr>
        <w:ind w:left="1300" w:right="140" w:hanging="644"/>
        <w:spacing w:after="0" w:line="342" w:lineRule="auto"/>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expectations regarding uncertain tax benefits and our effective domestic and global tax rates, and the impact of the Tax Cuts and Jobs Act </w:t>
      </w:r>
      <w:r>
        <w:rPr>
          <w:rFonts w:ascii="Arial" w:cs="Arial" w:eastAsia="Arial" w:hAnsi="Arial"/>
          <w:sz w:val="16"/>
          <w:szCs w:val="16"/>
          <w:color w:val="auto"/>
        </w:rPr>
        <w:t>(the “</w:t>
      </w:r>
      <w:r>
        <w:rPr>
          <w:rFonts w:ascii="Arial" w:cs="Arial" w:eastAsia="Arial" w:hAnsi="Arial"/>
          <w:sz w:val="16"/>
          <w:szCs w:val="16"/>
          <w:i w:val="1"/>
          <w:iCs w:val="1"/>
          <w:color w:val="auto"/>
        </w:rPr>
        <w:t>2017 Tax Act</w:t>
      </w:r>
      <w:r>
        <w:rPr>
          <w:rFonts w:ascii="Arial" w:cs="Arial" w:eastAsia="Arial" w:hAnsi="Arial"/>
          <w:sz w:val="16"/>
          <w:szCs w:val="16"/>
          <w:color w:val="auto"/>
        </w:rPr>
        <w:t xml:space="preserve">”) </w:t>
      </w:r>
      <w:r>
        <w:rPr>
          <w:rFonts w:ascii="Arial" w:cs="Arial" w:eastAsia="Arial" w:hAnsi="Arial"/>
          <w:sz w:val="16"/>
          <w:szCs w:val="16"/>
          <w:i w:val="1"/>
          <w:iCs w:val="1"/>
          <w:color w:val="auto"/>
        </w:rPr>
        <w:t>and the Ninth Circuit’s Altera decision regarding stock-based compensation in cost sharing arrangements;</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1" w:right="27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spending related to real estate and other capital expenditures and to the impact on free cash flows;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markets;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statements regarding expected outcomes and liabilities in litigation;</w:t>
      </w:r>
    </w:p>
    <w:p>
      <w:pPr>
        <w:spacing w:after="0" w:line="225" w:lineRule="exact"/>
        <w:rPr>
          <w:rFonts w:ascii="Arial" w:cs="Arial" w:eastAsia="Arial" w:hAnsi="Arial"/>
          <w:sz w:val="18"/>
          <w:szCs w:val="18"/>
          <w:i w:val="1"/>
          <w:iCs w:val="1"/>
          <w:color w:val="auto"/>
        </w:rPr>
      </w:pPr>
    </w:p>
    <w:p>
      <w:pPr>
        <w:ind w:left="1300" w:right="44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our intentions regarding share repurchases and the sufficiency of our existing cash, cash equivalents and investments to meet our cash needs for at least the next 12 months;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other statements regarding our future operations, financial condition and prospects and business strategies; and</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adoption and impact of new accounting standards.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those discussed in other documents we file with the Securities and Exchange Commission (the “SEC”). We undertake no obligation, and specifically disclaim any obligation, to revise or publicly release the results of any revision to these and any other forward-looking statements. Given these risks and uncertainties, readers are cautioned not to place undue reliance on such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Fortinet is a global leader in cybersecurity solutions provided to a wide variety of organizations, such as enterprises, communication service providers, government organizations and small businesses. Our cybersecurity solutions are designed to provide broad visibility and segmentation of the digital attack surface through our integrated Security Fabric platform, which features automated protection, detection and responses.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focus areas of our business consist of:</w:t>
      </w:r>
    </w:p>
    <w:p>
      <w:pPr>
        <w:spacing w:after="0" w:line="225" w:lineRule="exact"/>
        <w:rPr>
          <w:sz w:val="20"/>
          <w:szCs w:val="20"/>
          <w:color w:val="auto"/>
        </w:rPr>
      </w:pPr>
    </w:p>
    <w:p>
      <w:pPr>
        <w:ind w:left="660" w:right="220" w:hanging="328"/>
        <w:spacing w:after="0" w:line="293" w:lineRule="auto"/>
        <w:tabs>
          <w:tab w:leader="none" w:pos="660" w:val="left"/>
        </w:tabs>
        <w:numPr>
          <w:ilvl w:val="0"/>
          <w:numId w:val="2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Network Security</w:t>
      </w:r>
      <w:r>
        <w:rPr>
          <w:rFonts w:ascii="Arial" w:cs="Arial" w:eastAsia="Arial" w:hAnsi="Arial"/>
          <w:sz w:val="16"/>
          <w:szCs w:val="16"/>
          <w:color w:val="auto"/>
        </w:rPr>
        <w:t>—We derive a majority of product sales from our FortiGate network security appliances. Our FortiGate network security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appliances include a broad set of built-in security and networking features and functionalities, including firewall, next generation firewall, secure web gateway, software-defined wide-area network (“SD-WAN”), intrusion prevention, secure sockets layer data leak prevention, virtual private network, switch and wireless controller and wide area network edge. Our network security appliances are managed by our FortiOS network operating system, which provides the foundation for FortiGate security functions. We enhance the performance of our network security appliances from branch to data center by designing and implementing Security Processing Unit (“SPU”) technology within our appliances.</w:t>
      </w:r>
    </w:p>
    <w:p>
      <w:pPr>
        <w:spacing w:after="0" w:line="164" w:lineRule="exact"/>
        <w:rPr>
          <w:rFonts w:ascii="Arial" w:cs="Arial" w:eastAsia="Arial" w:hAnsi="Arial"/>
          <w:sz w:val="16"/>
          <w:szCs w:val="16"/>
          <w:b w:val="1"/>
          <w:bCs w:val="1"/>
          <w:i w:val="1"/>
          <w:iCs w:val="1"/>
          <w:color w:val="auto"/>
        </w:rPr>
      </w:pPr>
    </w:p>
    <w:p>
      <w:pPr>
        <w:ind w:left="660" w:right="2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Infrastructure Security</w:t>
      </w:r>
      <w:r>
        <w:rPr>
          <w:rFonts w:ascii="Arial" w:cs="Arial" w:eastAsia="Arial" w:hAnsi="Arial"/>
          <w:sz w:val="18"/>
          <w:szCs w:val="18"/>
          <w:color w:val="auto"/>
        </w:rPr>
        <w:t>—The Fortinet Security Fabric platform extends beyond the network to cover other attack vectors. Other infrastructure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covered include Secure Access (WiFi and switch) and software or hardware versions of Endpoint and Application Security, including email and web security.</w:t>
      </w:r>
    </w:p>
    <w:p>
      <w:pPr>
        <w:spacing w:after="0" w:line="181" w:lineRule="exact"/>
        <w:rPr>
          <w:rFonts w:ascii="Arial" w:cs="Arial" w:eastAsia="Arial" w:hAnsi="Arial"/>
          <w:sz w:val="18"/>
          <w:szCs w:val="18"/>
          <w:color w:val="auto"/>
        </w:rPr>
      </w:pPr>
    </w:p>
    <w:p>
      <w:pPr>
        <w:ind w:left="660" w:right="60" w:hanging="328"/>
        <w:spacing w:after="0" w:line="297"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Cloud Security</w:t>
      </w:r>
      <w:r>
        <w:rPr>
          <w:rFonts w:ascii="Arial" w:cs="Arial" w:eastAsia="Arial" w:hAnsi="Arial"/>
          <w:sz w:val="16"/>
          <w:szCs w:val="16"/>
          <w:color w:val="auto"/>
        </w:rPr>
        <w:t>—We help customers connect securely to and across their hybrid, public and private cloud environments by offering security through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virtual firewall and other software products in public and private cloud environments. Our cloud security solutions, including virtual appliances and hosted solutions, extend the core capabilities of the Fortinet Security Fabric platform to provide businesses with the same level of cybersecurity and threat intelligence in and across cloud environments that they receive on their physical networks. Fortinet cloud security offerings are available across all major cloud providers, including Amazon Web Services, Microsoft Azure, Google Cloud, IBM Cloud, Oracle Cloud and Alibaba Cloud.</w:t>
      </w:r>
    </w:p>
    <w:p>
      <w:pPr>
        <w:spacing w:after="0" w:line="158" w:lineRule="exact"/>
        <w:rPr>
          <w:rFonts w:ascii="Arial" w:cs="Arial" w:eastAsia="Arial" w:hAnsi="Arial"/>
          <w:sz w:val="16"/>
          <w:szCs w:val="16"/>
          <w:color w:val="auto"/>
        </w:rPr>
      </w:pPr>
    </w:p>
    <w:p>
      <w:pPr>
        <w:ind w:left="66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Internet of Things and Operational Technology</w:t>
      </w:r>
      <w:r>
        <w:rPr>
          <w:rFonts w:ascii="Arial" w:cs="Arial" w:eastAsia="Arial" w:hAnsi="Arial"/>
          <w:sz w:val="18"/>
          <w:szCs w:val="18"/>
          <w:color w:val="auto"/>
        </w:rPr>
        <w:t>—The proliferation of Internet of Things (“IoT”) and the digitization of Operational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 devices has generated new opportunities for us to grow our business. We offer network access control solutions that provide visibility, control and automated event responses in order to secure IoT devices.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right="420" w:hanging="328"/>
        <w:spacing w:after="0" w:line="286"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b w:val="1"/>
          <w:bCs w:val="1"/>
          <w:i w:val="1"/>
          <w:iCs w:val="1"/>
          <w:color w:val="auto"/>
        </w:rPr>
        <w:t>Security Subscription and Support Services</w:t>
      </w:r>
      <w:r>
        <w:rPr>
          <w:rFonts w:ascii="Arial" w:cs="Arial" w:eastAsia="Arial" w:hAnsi="Arial"/>
          <w:sz w:val="17"/>
          <w:szCs w:val="17"/>
          <w:color w:val="auto"/>
        </w:rPr>
        <w:t>—Our customers, channel partners and end users may also purchase FortiGuard and other security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subscription services to receive threat intelligence updates; FortiCare technical support services across all of our products; Technical Account Managers, Resident Engineers and professional service consultants for implementations or training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25" w:lineRule="exact"/>
        <w:rPr>
          <w:sz w:val="20"/>
          <w:szCs w:val="20"/>
          <w:color w:val="auto"/>
        </w:rPr>
      </w:pPr>
    </w:p>
    <w:p>
      <w:pPr>
        <w:ind w:left="660" w:right="120" w:hanging="328"/>
        <w:spacing w:after="0" w:line="297"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recorded total revenue of $547.5 million and $1.54 billion during the three and nine months ended September 30, 2019, an increase of 21% and 19%, respectively, compared to $453.9 million and $1.29 billion in the same periods last year. Product revenue was $197.1 million and $549.7 million during the three and nine months ended September 30, 2019, an increase of 20% and 16%, respectively, compared to $164.5 million and $473.6 million in the same periods last year. Service revenue was $350.4 million and $992.1 million during the three and nine months ended September 30, 2019, an increase of 21% in both periods compared to $289.4 million and $820.6 million in the same periods last year.</w:t>
      </w:r>
    </w:p>
    <w:p>
      <w:pPr>
        <w:spacing w:after="0" w:line="158" w:lineRule="exact"/>
        <w:rPr>
          <w:rFonts w:ascii="Arial" w:cs="Arial" w:eastAsia="Arial" w:hAnsi="Arial"/>
          <w:sz w:val="16"/>
          <w:szCs w:val="16"/>
          <w:color w:val="auto"/>
        </w:rPr>
      </w:pPr>
    </w:p>
    <w:p>
      <w:pPr>
        <w:ind w:left="660" w:right="2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generated operating income of $100.0 million and $225.8 million during the three and nine months ended September 30, 2019, an increase of 59% and 55%, respectively, compared to $62.8 million and $145.9 million in the same periods last year.</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Cash, cash equivalents and investments were $2.14 billion as of September 30, 2019, an increase of $427.9 million, or 25%, from December 31, 2018.</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Deferred revenue was $1.95 billion as of September 30, 2019, an increase of $258.8 million, or 15%, from December 31, 2018.</w:t>
      </w:r>
    </w:p>
    <w:p>
      <w:pPr>
        <w:spacing w:after="0" w:line="225"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$617.6 million during the nine months ended September 30, 2019, an increase of $158.9 million, or 35%, compared to the same period last year.</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During the nine months ended September 30, 2019, we repurchased 1.6 million shares of common stock under our Share Repurchase Program (the “Repurchase Program”), for an aggregate purchase price of $117.4 million.</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During the three and nine months ended September 30, 2019, our revenue growth was driven by both product and service revenue. On a geographic basis, revenue continues to be diversified globally, which remains a key strength of our business. Product revenue grew 20% and 16% during the three and nine months ended September 30, 2019, respectively, compared to the same periods last year. We experienced revenue growth across several of our hardware and software products, including SD-WAN solutions. Service revenue growth of 21% during the three and nine months ended September 30, 2019 compared to the same periods last year was driven by the strength of our FortiGuard and other security subscription revenue, which grew 23% and 24% in both periods, respectively, compared to the same periods last year. During the three and nine months ended September 30, 2019, FortiCare technical support and other service revenue grew 19% and 18%, respectively, compared to the same periods last year.</w:t>
      </w:r>
    </w:p>
    <w:p>
      <w:pPr>
        <w:spacing w:after="0" w:line="17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During the second quarter of 2019, we reclassified the 100 series of our FortiGate product from an entry-level product to a mid-range product. Prior periods have been reclassified to conform with current period presentation. Including this reclassification, we saw a mix shift to entry-level and mid-range products during the three and nine months ended September 30, 2019.</w:t>
      </w:r>
    </w:p>
    <w:p>
      <w:pPr>
        <w:spacing w:after="0" w:line="18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During the three and nine months ended September 30, 2019, operating expenses as a percentage of revenue decreased by three percentage points and two percentage points, respectively, compared to the same periods last year. The deferral of sales commissions for service contracts had a minimal impact to the changes in operating expenses as a percentage of revenue compared to the same periods last year. Headcount increased by 5% and 13% to 6,590 employees and contractors as of September 30, 2019, from 6,293 as of June 30, 2019 and from 5,845 as of December 31, 2018, respectively.</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1" w:right="27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sales strategy is based on a two-tier distribution model. We sell to distributors that sell to networking security and enterprise-focused resellers and service providers, who in turn sell to our end-customers. In certain cases, we sell directly to large service providers and major systems integrators. We also offer our products across major cloud providers, and have recognized on-demand revenue from Amazon Web Services, Microsoft Azure, IBM Cloud, Google Cloud and Oracle Cloud. We have also recognized revenue from customers who deploy our products in a bring your own license (“BYOL”) arrangement at a cloud provider such as Amazon Web Services, Microsoft Azure, Google Cloud, Oracle Cloud and Alibaba Cloud. In a BYOL arrangement, a customer purchases a software license from us through our channel partners and deploys the software in a cloud provider’s environment. Similarly, customers may purchase such a license from us and deploy in their private cloud.</w:t>
      </w:r>
    </w:p>
    <w:p>
      <w:pPr>
        <w:spacing w:after="0" w:line="178"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Typically, our customers purchase our hardware products and software licenses, as well as our FortiGuard security subscription and FortiCare technical support services. We generally invoice at the time of our sale for the total price of the products and security and technical support services. The invoice is typically payable within 30 to 45 days. We also invoice certain services on a monthly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25"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We monitor a number of key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net cash provided by operating activities, and free cash flow (non-GAAP). We discuss revenue below under “Results of Operations,” and we discuss net cash provided by operating activities below under “—Liquidity and Capital Resources.” Deferred revenue, billings (non-GAAP), and free cash flow (non-GAAP) are discussed immediately below the following table:</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3"/>
          </w:tcPr>
          <w:p>
            <w:pPr>
              <w:jc w:val="right"/>
              <w:ind w:right="350"/>
              <w:spacing w:after="0"/>
              <w:rPr>
                <w:sz w:val="20"/>
                <w:szCs w:val="20"/>
                <w:color w:val="auto"/>
              </w:rPr>
            </w:pPr>
            <w:r>
              <w:rPr>
                <w:rFonts w:ascii="Arial" w:cs="Arial" w:eastAsia="Arial" w:hAnsi="Arial"/>
                <w:sz w:val="16"/>
                <w:szCs w:val="16"/>
                <w:b w:val="1"/>
                <w:bCs w:val="1"/>
                <w:color w:val="auto"/>
              </w:rPr>
              <w:t>Three Months Ended Or As Of</w:t>
            </w:r>
          </w:p>
        </w:tc>
      </w:tr>
      <w:tr>
        <w:trPr>
          <w:trHeight w:val="33"/>
        </w:trPr>
        <w:tc>
          <w:tcPr>
            <w:tcW w:w="834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1540" w:type="dxa"/>
            <w:vAlign w:val="bottom"/>
            <w:gridSpan w:val="2"/>
          </w:tcPr>
          <w:p>
            <w:pPr>
              <w:jc w:val="right"/>
              <w:ind w:right="31"/>
              <w:spacing w:after="0"/>
              <w:rPr>
                <w:sz w:val="20"/>
                <w:szCs w:val="20"/>
                <w:color w:val="auto"/>
              </w:rPr>
            </w:pPr>
            <w:r>
              <w:rPr>
                <w:rFonts w:ascii="Arial" w:cs="Arial" w:eastAsia="Arial" w:hAnsi="Arial"/>
                <w:sz w:val="16"/>
                <w:szCs w:val="16"/>
                <w:b w:val="1"/>
                <w:bCs w:val="1"/>
                <w:color w:val="auto"/>
                <w:w w:val="93"/>
              </w:rPr>
              <w:t>September 30, 2019</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September 30, 2018</w:t>
            </w:r>
          </w:p>
        </w:tc>
      </w:tr>
      <w:tr>
        <w:trPr>
          <w:trHeight w:val="33"/>
        </w:trPr>
        <w:tc>
          <w:tcPr>
            <w:tcW w:w="8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gridSpan w:val="2"/>
          </w:tcPr>
          <w:p>
            <w:pPr>
              <w:jc w:val="right"/>
              <w:ind w:right="111"/>
              <w:spacing w:after="0"/>
              <w:rPr>
                <w:sz w:val="20"/>
                <w:szCs w:val="20"/>
                <w:color w:val="auto"/>
              </w:rPr>
            </w:pPr>
            <w:r>
              <w:rPr>
                <w:rFonts w:ascii="Arial" w:cs="Arial" w:eastAsia="Arial" w:hAnsi="Arial"/>
                <w:sz w:val="18"/>
                <w:szCs w:val="18"/>
                <w:b w:val="1"/>
                <w:bCs w:val="1"/>
                <w:color w:val="auto"/>
              </w:rPr>
              <w:t>(in millions)</w:t>
            </w:r>
          </w:p>
        </w:tc>
        <w:tc>
          <w:tcPr>
            <w:tcW w:w="86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547.5</w:t>
            </w:r>
          </w:p>
        </w:tc>
        <w:tc>
          <w:tcPr>
            <w:tcW w:w="68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1,945.6</w:t>
            </w:r>
          </w:p>
        </w:tc>
        <w:tc>
          <w:tcPr>
            <w:tcW w:w="68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1,544.4</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Billings (non-GAAP)</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626.6</w:t>
            </w:r>
          </w:p>
        </w:tc>
        <w:tc>
          <w:tcPr>
            <w:tcW w:w="68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221.2</w:t>
            </w:r>
          </w:p>
        </w:tc>
        <w:tc>
          <w:tcPr>
            <w:tcW w:w="68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176.7</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Free cash flow (non-GAAP)</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203.7</w:t>
            </w:r>
          </w:p>
        </w:tc>
        <w:tc>
          <w:tcPr>
            <w:tcW w:w="6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158.5</w:t>
            </w:r>
          </w:p>
        </w:tc>
      </w:tr>
      <w:tr>
        <w:trPr>
          <w:trHeight w:val="27"/>
        </w:trPr>
        <w:tc>
          <w:tcPr>
            <w:tcW w:w="8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Our deferred revenue consists of amounts that have been invoiced but that have not yet been recognized as revenue. The majority</w:t>
      </w:r>
      <w:r>
        <w:rPr>
          <w:rFonts w:ascii="Arial" w:cs="Arial" w:eastAsia="Arial" w:hAnsi="Arial"/>
          <w:sz w:val="18"/>
          <w:szCs w:val="18"/>
          <w:i w:val="1"/>
          <w:iCs w:val="1"/>
          <w:color w:val="auto"/>
        </w:rPr>
        <w:t xml:space="preserve"> </w:t>
      </w:r>
      <w:r>
        <w:rPr>
          <w:rFonts w:ascii="Arial" w:cs="Arial" w:eastAsia="Arial" w:hAnsi="Arial"/>
          <w:sz w:val="18"/>
          <w:szCs w:val="18"/>
          <w:color w:val="auto"/>
        </w:rPr>
        <w:t>of our deferred revenue balance consists of the unrecognized portion of service revenue from FortiGuard security subscription and FortiCare technical support service contracts, which is recognized as revenue ratably over the contractual service period. We monitor our deferred revenue balance, deferred revenue growth and the mix of short-term and long-term deferred revenue because deferred revenue represents a significant portion of free cash flow and of revenue to be recognized in future periods. Deferred revenue was $1.95 billion as of September 30, 2019, an increase of $258.8 million, or 15%, from December 31, 2018.</w:t>
      </w:r>
    </w:p>
    <w:p>
      <w:pPr>
        <w:spacing w:after="0" w:line="193"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i w:val="1"/>
          <w:iCs w:val="1"/>
          <w:color w:val="auto"/>
        </w:rPr>
        <w:t xml:space="preserve">Billings (non-GAAP). </w:t>
      </w:r>
      <w:r>
        <w:rPr>
          <w:rFonts w:ascii="Arial" w:cs="Arial" w:eastAsia="Arial" w:hAnsi="Arial"/>
          <w:sz w:val="18"/>
          <w:szCs w:val="18"/>
          <w:color w:val="auto"/>
        </w:rPr>
        <w:t>We define billings as revenue recognized in accordance with GAAP plus the change in deferred revenue from the beginning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end of the period and adjustments to the deferred revenue balance due to adoption of the new revenue recognition standard less any deferred revenue balances acquired from business combination(s) during the period. We consider billings to be a useful metric for management and investors because billings drive current and future revenue, which is an important indicator of the health and viability of our business. There are a number of limitations related to the use of billings instead of GAAP revenue. First, billings include amounts that have not yet been recognized as revenue and are impacted by the security and support contractual service period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$626.6 million for the three months ended September 30, 2019, an increase of 19% compared to $527.5 million in the same period last year.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A reconciliation of revenue, the most directly comparable financial measure calculated and presented in accordance with GAAP, to billings is provided below: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gridSpan w:val="3"/>
          </w:tcPr>
          <w:p>
            <w:pPr>
              <w:jc w:val="right"/>
              <w:ind w:right="33"/>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160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2019</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2018</w:t>
            </w:r>
          </w:p>
        </w:tc>
      </w:tr>
      <w:tr>
        <w:trPr>
          <w:trHeight w:val="33"/>
        </w:trPr>
        <w:tc>
          <w:tcPr>
            <w:tcW w:w="83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gridSpan w:val="3"/>
          </w:tcPr>
          <w:p>
            <w:pPr>
              <w:jc w:val="right"/>
              <w:ind w:right="313"/>
              <w:spacing w:after="0"/>
              <w:rPr>
                <w:sz w:val="20"/>
                <w:szCs w:val="20"/>
                <w:color w:val="auto"/>
              </w:rPr>
            </w:pPr>
            <w:r>
              <w:rPr>
                <w:rFonts w:ascii="Arial" w:cs="Arial" w:eastAsia="Arial" w:hAnsi="Arial"/>
                <w:sz w:val="18"/>
                <w:szCs w:val="18"/>
                <w:b w:val="1"/>
                <w:bCs w:val="1"/>
                <w:color w:val="auto"/>
              </w:rPr>
              <w:t>(in millions)</w:t>
            </w:r>
          </w:p>
        </w:tc>
        <w:tc>
          <w:tcPr>
            <w:tcW w:w="66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Billings: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Revenue</w:t>
            </w:r>
          </w:p>
        </w:tc>
        <w:tc>
          <w:tcPr>
            <w:tcW w:w="460" w:type="dxa"/>
            <w:vAlign w:val="bottom"/>
          </w:tcPr>
          <w:p>
            <w:pPr>
              <w:jc w:val="right"/>
              <w:ind w:right="253"/>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547.5</w:t>
            </w:r>
          </w:p>
        </w:tc>
        <w:tc>
          <w:tcPr>
            <w:tcW w:w="100" w:type="dxa"/>
            <w:vAlign w:val="bottom"/>
          </w:tcPr>
          <w:p>
            <w:pPr>
              <w:spacing w:after="0"/>
              <w:rPr>
                <w:sz w:val="21"/>
                <w:szCs w:val="21"/>
                <w:color w:val="auto"/>
              </w:rPr>
            </w:pPr>
          </w:p>
        </w:tc>
        <w:tc>
          <w:tcPr>
            <w:tcW w:w="820" w:type="dxa"/>
            <w:vAlign w:val="bottom"/>
          </w:tcPr>
          <w:p>
            <w:pPr>
              <w:jc w:val="right"/>
              <w:ind w:right="613"/>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453.9</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Change in deferred revenue</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billings (non-GAAP)</w:t>
            </w:r>
          </w:p>
        </w:tc>
        <w:tc>
          <w:tcPr>
            <w:tcW w:w="46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626.6</w:t>
            </w:r>
          </w:p>
        </w:tc>
        <w:tc>
          <w:tcPr>
            <w:tcW w:w="10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527.5</w:t>
            </w:r>
          </w:p>
        </w:tc>
      </w:tr>
      <w:tr>
        <w:trPr>
          <w:trHeight w:val="20"/>
        </w:trPr>
        <w:tc>
          <w:tcPr>
            <w:tcW w:w="8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i w:val="1"/>
          <w:iCs w:val="1"/>
          <w:color w:val="auto"/>
        </w:rPr>
        <w:t xml:space="preserve">Free cash flow (non-GAAP). </w:t>
      </w:r>
      <w:r>
        <w:rPr>
          <w:rFonts w:ascii="Arial" w:cs="Arial" w:eastAsia="Arial" w:hAnsi="Arial"/>
          <w:sz w:val="17"/>
          <w:szCs w:val="17"/>
          <w:color w:val="auto"/>
        </w:rPr>
        <w:t>We define free cash flow as net cash provided by operating activities minus purchases of property and equipment. We</w:t>
      </w:r>
      <w:r>
        <w:rPr>
          <w:rFonts w:ascii="Arial" w:cs="Arial" w:eastAsia="Arial" w:hAnsi="Arial"/>
          <w:sz w:val="17"/>
          <w:szCs w:val="17"/>
          <w:i w:val="1"/>
          <w:iCs w:val="1"/>
          <w:color w:val="auto"/>
        </w:rPr>
        <w:t xml:space="preserve"> </w:t>
      </w:r>
      <w:r>
        <w:rPr>
          <w:rFonts w:ascii="Arial" w:cs="Arial" w:eastAsia="Arial" w:hAnsi="Arial"/>
          <w:sz w:val="17"/>
          <w:szCs w:val="17"/>
          <w:color w:val="auto"/>
        </w:rPr>
        <w:t>believe free cash flow to be a liquidity measure that provides useful information to management and investors about the amount of cash generated by the business that, after capital expenditures, can be used for strategic opportunities, including repurchasing outstanding common stock, investing in our business, making strategic acquisitions and strengthening the balance sheet. A limitation of using free cash flow rather than the GAAP measures of cash provided by or used in operating activities, investing activities, and financing activities is that free cash flow does not represent the total increase or decrease in the cash and cash equivalents balance for the period because it excludes cash flows from investing activities other than capital expenditures and cash flows from financing activities. Management accounts for this limitation by providing information about our capital expenditures and other investing and financing activities on the face of the cash flow statement and under “—Liquidity and Capital Resources” and by presenting cash flows from investing and financing activities in our reconciliation of free cash flow.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w:t>
      </w:r>
    </w:p>
    <w:p>
      <w:pPr>
        <w:spacing w:after="0" w:line="18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 reconciliation of net cash provided by operating activities, the most directly comparable financial measure calculated and presented in accordance with GAAP, to free cash flow is provided below: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gridSpan w:val="3"/>
          </w:tcPr>
          <w:p>
            <w:pPr>
              <w:jc w:val="right"/>
              <w:ind w:right="32"/>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160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2019</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2018</w:t>
            </w:r>
          </w:p>
        </w:tc>
      </w:tr>
      <w:tr>
        <w:trPr>
          <w:trHeight w:val="33"/>
        </w:trPr>
        <w:tc>
          <w:tcPr>
            <w:tcW w:w="83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gridSpan w:val="3"/>
          </w:tcPr>
          <w:p>
            <w:pPr>
              <w:jc w:val="right"/>
              <w:ind w:right="312"/>
              <w:spacing w:after="0"/>
              <w:rPr>
                <w:sz w:val="20"/>
                <w:szCs w:val="20"/>
                <w:color w:val="auto"/>
              </w:rPr>
            </w:pPr>
            <w:r>
              <w:rPr>
                <w:rFonts w:ascii="Arial" w:cs="Arial" w:eastAsia="Arial" w:hAnsi="Arial"/>
                <w:sz w:val="18"/>
                <w:szCs w:val="18"/>
                <w:b w:val="1"/>
                <w:bCs w:val="1"/>
                <w:color w:val="auto"/>
              </w:rPr>
              <w:t>(in millions)</w:t>
            </w:r>
          </w:p>
        </w:tc>
        <w:tc>
          <w:tcPr>
            <w:tcW w:w="66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Free Cash Flow:</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221.2</w:t>
            </w:r>
          </w:p>
        </w:tc>
        <w:tc>
          <w:tcPr>
            <w:tcW w:w="100" w:type="dxa"/>
            <w:vAlign w:val="bottom"/>
          </w:tcPr>
          <w:p>
            <w:pPr>
              <w:spacing w:after="0"/>
              <w:rPr>
                <w:sz w:val="21"/>
                <w:szCs w:val="21"/>
                <w:color w:val="auto"/>
              </w:rPr>
            </w:pPr>
          </w:p>
        </w:tc>
        <w:tc>
          <w:tcPr>
            <w:tcW w:w="820" w:type="dxa"/>
            <w:vAlign w:val="bottom"/>
          </w:tcPr>
          <w:p>
            <w:pPr>
              <w:jc w:val="right"/>
              <w:ind w:right="612"/>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176.7</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Purchases of property and equipment</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Free cash flow (non-GAAP)</w:t>
            </w:r>
          </w:p>
        </w:tc>
        <w:tc>
          <w:tcPr>
            <w:tcW w:w="4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203.7</w:t>
            </w:r>
          </w:p>
        </w:tc>
        <w:tc>
          <w:tcPr>
            <w:tcW w:w="100" w:type="dxa"/>
            <w:vAlign w:val="bottom"/>
            <w:tcBorders>
              <w:bottom w:val="single" w:sz="8" w:color="CCEEFF"/>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158.5</w:t>
            </w:r>
          </w:p>
        </w:tc>
      </w:tr>
      <w:tr>
        <w:trPr>
          <w:trHeight w:val="25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2"/>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r>
      <w:tr>
        <w:trPr>
          <w:trHeight w:val="20"/>
        </w:trPr>
        <w:tc>
          <w:tcPr>
            <w:tcW w:w="8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4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82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w:t>
            </w:r>
          </w:p>
        </w:tc>
      </w:tr>
      <w:tr>
        <w:trPr>
          <w:trHeight w:val="20"/>
        </w:trPr>
        <w:tc>
          <w:tcPr>
            <w:tcW w:w="8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18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There were no material changes to our critical accounting policies and estimates as of and for the three and nine months ended September 30, 2019, as compared to the critical accounting policies and estimates described in our Annual Report on Form 10-K filed with the SEC on February 27, 2019 (the “Form 10-K”).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See Note 1 of the notes to condensed consolidated financial statements included in Part I, Item 1 of this Quarterly Report on Form 10-Q for information regarding recent accounting pronouncements.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2019 and September 30, 2018</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4"/>
          </w:tcPr>
          <w:p>
            <w:pPr>
              <w:jc w:val="right"/>
              <w:ind w:right="373"/>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ind w:left="6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26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gridSpan w:val="3"/>
          </w:tcPr>
          <w:p>
            <w:pPr>
              <w:jc w:val="right"/>
              <w:ind w:right="1077"/>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gridSpan w:val="3"/>
          </w:tcPr>
          <w:p>
            <w:pPr>
              <w:jc w:val="center"/>
              <w:ind w:right="1036"/>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72"/>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Revenue</w:t>
            </w:r>
          </w:p>
        </w:tc>
        <w:tc>
          <w:tcPr>
            <w:tcW w:w="160" w:type="dxa"/>
            <w:vAlign w:val="bottom"/>
          </w:tcPr>
          <w:p>
            <w:pPr>
              <w:spacing w:after="0"/>
              <w:rPr>
                <w:sz w:val="18"/>
                <w:szCs w:val="18"/>
                <w:color w:val="auto"/>
              </w:rPr>
            </w:pPr>
          </w:p>
        </w:tc>
        <w:tc>
          <w:tcPr>
            <w:tcW w:w="980" w:type="dxa"/>
            <w:vAlign w:val="bottom"/>
          </w:tcPr>
          <w:p>
            <w:pPr>
              <w:jc w:val="right"/>
              <w:ind w:right="15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(in millions,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197.1</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164.5</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32.6</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20%</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21</w:t>
            </w:r>
          </w:p>
        </w:tc>
      </w:tr>
      <w:tr>
        <w:trPr>
          <w:trHeight w:val="297"/>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547.5</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453.9</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93.6</w:t>
            </w:r>
          </w:p>
        </w:tc>
        <w:tc>
          <w:tcPr>
            <w:tcW w:w="142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w w:val="94"/>
              </w:rPr>
              <w:t>21%</w:t>
            </w: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240.7</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194.0</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46.7</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24%</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3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Europe, Middle East and Africa</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21</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Asia Pacific (“APAC”)</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106.1</w:t>
            </w:r>
          </w:p>
        </w:tc>
        <w:tc>
          <w:tcPr>
            <w:tcW w:w="1500" w:type="dxa"/>
            <w:vAlign w:val="bottom"/>
            <w:gridSpan w:val="3"/>
          </w:tcPr>
          <w:p>
            <w:pPr>
              <w:jc w:val="right"/>
              <w:ind w:right="97"/>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94.5</w:t>
            </w:r>
          </w:p>
        </w:tc>
        <w:tc>
          <w:tcPr>
            <w:tcW w:w="1520" w:type="dxa"/>
            <w:vAlign w:val="bottom"/>
            <w:gridSpan w:val="3"/>
          </w:tcPr>
          <w:p>
            <w:pPr>
              <w:jc w:val="right"/>
              <w:ind w:right="116"/>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1420" w:type="dxa"/>
            <w:vAlign w:val="bottom"/>
          </w:tcPr>
          <w:p>
            <w:pPr>
              <w:ind w:left="1060"/>
              <w:spacing w:after="0"/>
              <w:rPr>
                <w:sz w:val="20"/>
                <w:szCs w:val="20"/>
                <w:color w:val="auto"/>
              </w:rPr>
            </w:pPr>
            <w:r>
              <w:rPr>
                <w:rFonts w:ascii="Arial" w:cs="Arial" w:eastAsia="Arial" w:hAnsi="Arial"/>
                <w:sz w:val="18"/>
                <w:szCs w:val="18"/>
                <w:color w:val="auto"/>
              </w:rPr>
              <w:t>12</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93.6</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4"/>
              </w:rPr>
              <w:t>21%</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Total revenue increased by $93.6 million, or 21%, during the three months ended September 30, 2019 compared to the same period last year. We continued to experience diversification of revenue globally, across both customer and industry segments. Revenue from all regions grew, with the Americas contributing the largest portion of our revenue growth on an absolute dollar basis.</w:t>
      </w:r>
    </w:p>
    <w:p>
      <w:pPr>
        <w:spacing w:after="0" w:line="18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Product revenue increased by $32.6 million, or 20%, during the three months ended September 30, 2019 compared to the same period last year. We experienced revenue growth across many of our hardware and software products due to an increase in FortiGates sold as part of SD-WAN solutions and growth in sales of our Infrastructure Security solutions, including software, Secure Access, and other hardware products.</w:t>
      </w:r>
    </w:p>
    <w:p>
      <w:pPr>
        <w:spacing w:after="0" w:line="1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Service revenue increased by $61.0 million, or 21%, during the three months ended September 30, 2019 compared to the same period last year. FortiGuard security subscription and FortiCare technical support and other revenues increased by $35.8 million, or 23%, and by $25.2 million, or 19%, respectively, during the three months ended September 30, 2019 compared to the same period last year. The increases were primarily due to the recognition of revenue from our growing deferred revenue balance related to FortiGuard and other security subscriptions and FortiCare technical support and other contracts. Of the service revenue recognized during the three months ended September 30, 2019, 93% was included in the deferred revenue balance as of June 30, 2019.</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40" w:type="dxa"/>
            <w:vAlign w:val="bottom"/>
            <w:gridSpan w:val="5"/>
          </w:tcPr>
          <w:p>
            <w:pPr>
              <w:ind w:left="96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09"/>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0"/>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ind w:right="69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ind w:right="69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ind w:right="532"/>
              <w:spacing w:after="0"/>
              <w:rPr>
                <w:sz w:val="20"/>
                <w:szCs w:val="20"/>
                <w:color w:val="auto"/>
              </w:rPr>
            </w:pPr>
            <w:r>
              <w:rPr>
                <w:rFonts w:ascii="Arial" w:cs="Arial" w:eastAsia="Arial" w:hAnsi="Arial"/>
                <w:sz w:val="16"/>
                <w:szCs w:val="16"/>
                <w:b w:val="1"/>
                <w:bCs w:val="1"/>
                <w:color w:val="auto"/>
              </w:rPr>
              <w:t>Change</w:t>
            </w:r>
          </w:p>
        </w:tc>
        <w:tc>
          <w:tcPr>
            <w:tcW w:w="1980" w:type="dxa"/>
            <w:vAlign w:val="bottom"/>
          </w:tcPr>
          <w:p>
            <w:pPr>
              <w:ind w:left="68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(in millions, except percentages)</w:t>
            </w:r>
          </w:p>
        </w:tc>
        <w:tc>
          <w:tcPr>
            <w:tcW w:w="198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jc w:val="center"/>
              <w:ind w:right="2010"/>
              <w:spacing w:after="0"/>
              <w:rPr>
                <w:sz w:val="20"/>
                <w:szCs w:val="20"/>
                <w:color w:val="auto"/>
              </w:rPr>
            </w:pPr>
            <w:r>
              <w:rPr>
                <w:rFonts w:ascii="Arial" w:cs="Arial" w:eastAsia="Arial" w:hAnsi="Arial"/>
                <w:sz w:val="18"/>
                <w:szCs w:val="18"/>
                <w:color w:val="auto"/>
                <w:w w:val="90"/>
              </w:rPr>
              <w:t>Product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93"/>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93"/>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1980" w:type="dxa"/>
            <w:vAlign w:val="bottom"/>
          </w:tcPr>
          <w:p>
            <w:pPr>
              <w:ind w:left="1620"/>
              <w:spacing w:after="0"/>
              <w:rPr>
                <w:sz w:val="20"/>
                <w:szCs w:val="20"/>
                <w:color w:val="auto"/>
              </w:rPr>
            </w:pPr>
            <w:r>
              <w:rPr>
                <w:rFonts w:ascii="Arial" w:cs="Arial" w:eastAsia="Arial" w:hAnsi="Arial"/>
                <w:sz w:val="18"/>
                <w:szCs w:val="18"/>
                <w:color w:val="auto"/>
                <w:w w:val="94"/>
              </w:rPr>
              <w:t>10%</w:t>
            </w: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jc w:val="center"/>
              <w:ind w:right="2030"/>
              <w:spacing w:after="0"/>
              <w:rPr>
                <w:sz w:val="20"/>
                <w:szCs w:val="20"/>
                <w:color w:val="auto"/>
              </w:rPr>
            </w:pPr>
            <w:r>
              <w:rPr>
                <w:rFonts w:ascii="Arial" w:cs="Arial" w:eastAsia="Arial" w:hAnsi="Arial"/>
                <w:sz w:val="18"/>
                <w:szCs w:val="18"/>
                <w:color w:val="auto"/>
                <w:w w:val="89"/>
              </w:rPr>
              <w:t>Service</w:t>
            </w:r>
          </w:p>
        </w:tc>
        <w:tc>
          <w:tcPr>
            <w:tcW w:w="2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98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14</w:t>
            </w:r>
          </w:p>
        </w:tc>
      </w:tr>
      <w:tr>
        <w:trPr>
          <w:trHeight w:val="297"/>
        </w:trPr>
        <w:tc>
          <w:tcPr>
            <w:tcW w:w="3660" w:type="dxa"/>
            <w:vAlign w:val="bottom"/>
            <w:tcBorders>
              <w:bottom w:val="single" w:sz="8" w:color="CCEEFF"/>
            </w:tcBorders>
          </w:tcPr>
          <w:p>
            <w:pPr>
              <w:jc w:val="center"/>
              <w:ind w:right="1990"/>
              <w:spacing w:after="0"/>
              <w:rPr>
                <w:sz w:val="20"/>
                <w:szCs w:val="20"/>
                <w:color w:val="auto"/>
              </w:rPr>
            </w:pPr>
            <w:r>
              <w:rPr>
                <w:rFonts w:ascii="Arial" w:cs="Arial" w:eastAsia="Arial" w:hAnsi="Arial"/>
                <w:sz w:val="18"/>
                <w:szCs w:val="18"/>
                <w:color w:val="auto"/>
                <w:w w:val="89"/>
              </w:rPr>
              <w:t>Total cost of revenue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124.1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111.6</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12.5</w:t>
            </w:r>
          </w:p>
        </w:tc>
        <w:tc>
          <w:tcPr>
            <w:tcW w:w="1980" w:type="dxa"/>
            <w:vAlign w:val="bottom"/>
            <w:tcBorders>
              <w:bottom w:val="single" w:sz="8" w:color="CCEEFF"/>
            </w:tcBorders>
          </w:tcPr>
          <w:p>
            <w:pPr>
              <w:ind w:left="1620"/>
              <w:spacing w:after="0"/>
              <w:rPr>
                <w:sz w:val="20"/>
                <w:szCs w:val="20"/>
                <w:color w:val="auto"/>
              </w:rPr>
            </w:pPr>
            <w:r>
              <w:rPr>
                <w:rFonts w:ascii="Arial" w:cs="Arial" w:eastAsia="Arial" w:hAnsi="Arial"/>
                <w:sz w:val="18"/>
                <w:szCs w:val="18"/>
                <w:color w:val="auto"/>
                <w:w w:val="94"/>
              </w:rPr>
              <w:t>11%</w:t>
            </w:r>
          </w:p>
        </w:tc>
      </w:tr>
      <w:tr>
        <w:trPr>
          <w:trHeight w:val="23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2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r>
      <w:tr>
        <w:trPr>
          <w:trHeight w:val="243"/>
        </w:trPr>
        <w:tc>
          <w:tcPr>
            <w:tcW w:w="3660" w:type="dxa"/>
            <w:vAlign w:val="bottom"/>
          </w:tcPr>
          <w:p>
            <w:pPr>
              <w:jc w:val="center"/>
              <w:ind w:right="2010"/>
              <w:spacing w:after="0"/>
              <w:rPr>
                <w:sz w:val="20"/>
                <w:szCs w:val="20"/>
                <w:color w:val="auto"/>
              </w:rPr>
            </w:pPr>
            <w:r>
              <w:rPr>
                <w:rFonts w:ascii="Arial" w:cs="Arial" w:eastAsia="Arial" w:hAnsi="Arial"/>
                <w:sz w:val="18"/>
                <w:szCs w:val="18"/>
                <w:color w:val="auto"/>
                <w:w w:val="90"/>
              </w:rPr>
              <w:t>Product</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jc w:val="center"/>
              <w:ind w:right="2030"/>
              <w:spacing w:after="0"/>
              <w:rPr>
                <w:sz w:val="20"/>
                <w:szCs w:val="20"/>
                <w:color w:val="auto"/>
              </w:rPr>
            </w:pPr>
            <w:r>
              <w:rPr>
                <w:rFonts w:ascii="Arial" w:cs="Arial" w:eastAsia="Arial" w:hAnsi="Arial"/>
                <w:sz w:val="18"/>
                <w:szCs w:val="18"/>
                <w:color w:val="auto"/>
                <w:w w:val="89"/>
              </w:rPr>
              <w:t>Service</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980" w:type="dxa"/>
            <w:vAlign w:val="bottom"/>
          </w:tcPr>
          <w:p>
            <w:pPr>
              <w:spacing w:after="0"/>
              <w:rPr>
                <w:sz w:val="21"/>
                <w:szCs w:val="21"/>
                <w:color w:val="auto"/>
              </w:rPr>
            </w:pPr>
          </w:p>
        </w:tc>
      </w:tr>
    </w:tbl>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Total gross margin increased by 1.9 percentage points during the three months ended September 30, 2019 compared to the same period last year, driven by improvements to both product and service gross margins.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Product gross margin increased by 3.7 percentage points during the three months ended September 30, 2019 compared to the same period last year. Product gross margin benefited from lower direct and indirect product costs as a percentage of product revenue. Cost of product revenue was comprised of direct product costs and indirect costs, including inventory reserves and other manufacturing overhead.</w:t>
      </w:r>
    </w:p>
    <w:p>
      <w:pPr>
        <w:spacing w:after="0" w:line="181"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Service gross margin increased by 0.8 percentage points during the three months ended September 30, 2019 compared to the same period last year, as our service revenue growth outpaced our growth in related personnel costs. Cost of service revenue was comprised primarily of personnel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4"/>
          </w:tcPr>
          <w:p>
            <w:pPr>
              <w:jc w:val="right"/>
              <w:ind w:right="334"/>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3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9"/>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18"/>
                <w:szCs w:val="18"/>
                <w:color w:val="auto"/>
              </w:rPr>
            </w:pPr>
          </w:p>
        </w:tc>
        <w:tc>
          <w:tcPr>
            <w:tcW w:w="2580" w:type="dxa"/>
            <w:vAlign w:val="bottom"/>
            <w:gridSpan w:val="5"/>
          </w:tcPr>
          <w:p>
            <w:pPr>
              <w:ind w:left="62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0"/>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40" w:type="dxa"/>
            <w:vAlign w:val="bottom"/>
            <w:gridSpan w:val="3"/>
          </w:tcPr>
          <w:p>
            <w:pPr>
              <w:jc w:val="right"/>
              <w:ind w:right="1039"/>
              <w:spacing w:after="0"/>
              <w:rPr>
                <w:sz w:val="20"/>
                <w:szCs w:val="20"/>
                <w:color w:val="auto"/>
              </w:rPr>
            </w:pPr>
            <w:r>
              <w:rPr>
                <w:rFonts w:ascii="Arial" w:cs="Arial" w:eastAsia="Arial" w:hAnsi="Arial"/>
                <w:sz w:val="16"/>
                <w:szCs w:val="16"/>
                <w:b w:val="1"/>
                <w:bCs w:val="1"/>
                <w:color w:val="auto"/>
                <w:w w:val="84"/>
              </w:rPr>
              <w:t>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gridSpan w:val="3"/>
          </w:tcPr>
          <w:p>
            <w:pPr>
              <w:jc w:val="right"/>
              <w:ind w:right="1079"/>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3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9"/>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0"/>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5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Revenue</w:t>
            </w:r>
          </w:p>
        </w:tc>
        <w:tc>
          <w:tcPr>
            <w:tcW w:w="200" w:type="dxa"/>
            <w:vAlign w:val="bottom"/>
          </w:tcPr>
          <w:p>
            <w:pPr>
              <w:spacing w:after="0"/>
              <w:rPr>
                <w:sz w:val="18"/>
                <w:szCs w:val="18"/>
                <w:color w:val="auto"/>
              </w:rPr>
            </w:pPr>
          </w:p>
        </w:tc>
        <w:tc>
          <w:tcPr>
            <w:tcW w:w="960" w:type="dxa"/>
            <w:vAlign w:val="bottom"/>
          </w:tcPr>
          <w:p>
            <w:pPr>
              <w:jc w:val="right"/>
              <w:ind w:right="174"/>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2"/>
              <w:spacing w:after="0"/>
              <w:rPr>
                <w:sz w:val="20"/>
                <w:szCs w:val="20"/>
                <w:color w:val="auto"/>
              </w:rPr>
            </w:pPr>
            <w:r>
              <w:rPr>
                <w:rFonts w:ascii="Arial" w:cs="Arial" w:eastAsia="Arial" w:hAnsi="Arial"/>
                <w:sz w:val="16"/>
                <w:szCs w:val="16"/>
                <w:b w:val="1"/>
                <w:bCs w:val="1"/>
                <w:color w:val="auto"/>
              </w:rPr>
              <w:t>Change</w:t>
            </w:r>
          </w:p>
        </w:tc>
        <w:tc>
          <w:tcPr>
            <w:tcW w:w="1440" w:type="dxa"/>
            <w:vAlign w:val="bottom"/>
          </w:tcPr>
          <w:p>
            <w:pPr>
              <w:ind w:left="42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7"/>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5"/>
          </w:tcPr>
          <w:p>
            <w:pPr>
              <w:ind w:left="80"/>
              <w:spacing w:after="0"/>
              <w:rPr>
                <w:sz w:val="20"/>
                <w:szCs w:val="20"/>
                <w:color w:val="auto"/>
              </w:rPr>
            </w:pPr>
            <w:r>
              <w:rPr>
                <w:rFonts w:ascii="Arial" w:cs="Arial" w:eastAsia="Arial" w:hAnsi="Arial"/>
                <w:sz w:val="16"/>
                <w:szCs w:val="16"/>
                <w:b w:val="1"/>
                <w:bCs w:val="1"/>
                <w:color w:val="auto"/>
                <w:w w:val="99"/>
              </w:rPr>
              <w:t>(in millions,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326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69.9</w:t>
            </w:r>
          </w:p>
        </w:tc>
        <w:tc>
          <w:tcPr>
            <w:tcW w:w="1440" w:type="dxa"/>
            <w:vAlign w:val="bottom"/>
            <w:gridSpan w:val="3"/>
          </w:tcPr>
          <w:p>
            <w:pPr>
              <w:jc w:val="center"/>
              <w:ind w:left="132"/>
              <w:spacing w:after="0"/>
              <w:rPr>
                <w:sz w:val="20"/>
                <w:szCs w:val="20"/>
                <w:color w:val="auto"/>
              </w:rPr>
            </w:pPr>
            <w:r>
              <w:rPr>
                <w:rFonts w:ascii="Arial" w:cs="Arial" w:eastAsia="Arial" w:hAnsi="Arial"/>
                <w:sz w:val="18"/>
                <w:szCs w:val="18"/>
                <w:color w:val="auto"/>
                <w:w w:val="94"/>
              </w:rPr>
              <w:t>13%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58.7</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11.2</w:t>
            </w:r>
          </w:p>
        </w:tc>
        <w:tc>
          <w:tcPr>
            <w:tcW w:w="1440" w:type="dxa"/>
            <w:vAlign w:val="bottom"/>
          </w:tcPr>
          <w:p>
            <w:pPr>
              <w:ind w:left="1080"/>
              <w:spacing w:after="0"/>
              <w:rPr>
                <w:sz w:val="20"/>
                <w:szCs w:val="20"/>
                <w:color w:val="auto"/>
              </w:rPr>
            </w:pPr>
            <w:r>
              <w:rPr>
                <w:rFonts w:ascii="Arial" w:cs="Arial" w:eastAsia="Arial" w:hAnsi="Arial"/>
                <w:sz w:val="18"/>
                <w:szCs w:val="18"/>
                <w:color w:val="auto"/>
                <w:w w:val="94"/>
              </w:rPr>
              <w:t>19%</w:t>
            </w:r>
          </w:p>
        </w:tc>
      </w:tr>
      <w:tr>
        <w:trPr>
          <w:trHeight w:val="27"/>
        </w:trPr>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1440" w:type="dxa"/>
            <w:vAlign w:val="bottom"/>
            <w:tcBorders>
              <w:bottom w:val="single" w:sz="8" w:color="CCEEFF"/>
            </w:tcBorders>
            <w:gridSpan w:val="3"/>
            <w:shd w:val="clear" w:color="auto" w:fill="CCEEFF"/>
          </w:tcPr>
          <w:p>
            <w:pPr>
              <w:jc w:val="center"/>
              <w:ind w:left="132"/>
              <w:spacing w:after="0"/>
              <w:rPr>
                <w:sz w:val="20"/>
                <w:szCs w:val="20"/>
                <w:color w:val="auto"/>
              </w:rPr>
            </w:pPr>
            <w:r>
              <w:rPr>
                <w:rFonts w:ascii="Arial" w:cs="Arial" w:eastAsia="Arial" w:hAnsi="Arial"/>
                <w:sz w:val="18"/>
                <w:szCs w:val="18"/>
                <w:color w:val="auto"/>
                <w:w w:val="89"/>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15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w:t>
            </w:r>
          </w:p>
        </w:tc>
        <w:tc>
          <w:tcPr>
            <w:tcW w:w="144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15</w:t>
            </w:r>
          </w:p>
        </w:tc>
      </w:tr>
      <w:tr>
        <w:trPr>
          <w:trHeight w:val="243"/>
        </w:trPr>
        <w:tc>
          <w:tcPr>
            <w:tcW w:w="326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26.1</w:t>
            </w:r>
          </w:p>
        </w:tc>
        <w:tc>
          <w:tcPr>
            <w:tcW w:w="1440" w:type="dxa"/>
            <w:vAlign w:val="bottom"/>
            <w:gridSpan w:val="3"/>
          </w:tcPr>
          <w:p>
            <w:pPr>
              <w:jc w:val="center"/>
              <w:ind w:left="132"/>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w:t>
            </w:r>
          </w:p>
        </w:tc>
        <w:tc>
          <w:tcPr>
            <w:tcW w:w="1500" w:type="dxa"/>
            <w:vAlign w:val="bottom"/>
            <w:gridSpan w:val="3"/>
          </w:tcPr>
          <w:p>
            <w:pPr>
              <w:jc w:val="right"/>
              <w:ind w:right="99"/>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440" w:type="dxa"/>
            <w:vAlign w:val="bottom"/>
          </w:tcPr>
          <w:p>
            <w:pPr>
              <w:ind w:left="1080"/>
              <w:spacing w:after="0"/>
              <w:rPr>
                <w:sz w:val="20"/>
                <w:szCs w:val="20"/>
                <w:color w:val="auto"/>
              </w:rPr>
            </w:pPr>
            <w:r>
              <w:rPr>
                <w:rFonts w:ascii="Arial" w:cs="Arial" w:eastAsia="Arial" w:hAnsi="Arial"/>
                <w:sz w:val="18"/>
                <w:szCs w:val="18"/>
                <w:color w:val="auto"/>
              </w:rPr>
              <w:t>16</w:t>
            </w:r>
          </w:p>
        </w:tc>
      </w:tr>
      <w:tr>
        <w:trPr>
          <w:trHeight w:val="27"/>
        </w:trPr>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5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1440" w:type="dxa"/>
            <w:vAlign w:val="bottom"/>
            <w:gridSpan w:val="3"/>
            <w:shd w:val="clear" w:color="auto" w:fill="CCEEFF"/>
          </w:tcPr>
          <w:p>
            <w:pPr>
              <w:jc w:val="center"/>
              <w:ind w:left="132"/>
              <w:spacing w:after="0"/>
              <w:rPr>
                <w:sz w:val="20"/>
                <w:szCs w:val="20"/>
                <w:color w:val="auto"/>
              </w:rPr>
            </w:pPr>
            <w:r>
              <w:rPr>
                <w:rFonts w:ascii="Arial" w:cs="Arial" w:eastAsia="Arial" w:hAnsi="Arial"/>
                <w:sz w:val="18"/>
                <w:szCs w:val="18"/>
                <w:color w:val="auto"/>
                <w:w w:val="94"/>
              </w:rPr>
              <w:t>59%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43.9</w:t>
            </w:r>
          </w:p>
        </w:tc>
        <w:tc>
          <w:tcPr>
            <w:tcW w:w="144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4"/>
              </w:rPr>
              <w:t>16%</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Research and development expense increased by $11.2 million, or 19%, during the three months ended September 30, 2019 compared to the same period last year, primarily due to an increase of $7.2 million in personnel-related costs as a result of increased headcount to support the development of new products and continued enhancements to our existing products. In addition, product development expenses, such as third-party testing, prototypes and supplies, increased by $2.4 million. We intend to continue to invest in our research and development organization, and expect research and development expense to increase in absolute dollars during the remainder of 2019.</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Sales and marketing expense increased by $29.1 million, or 15%, during the three months ended September 30, 2019 compared to the same period last year, primarily due to an increase of $19.1 million in personnel-related costs as a result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increased sales and marketing headcount to drive global market share gains. Marketing-related expense increased by $4.4 million. We intend to continue to make investments in our sales resources and infrastructure and marketing strategy, which are critical to support our future growth, and expect sales and marketing expense to increase in absolute dollars during the remainder of 2019.</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General and administrative expense increased by $3.6 million, or 16%, during the three months ended September 30, 2019 compared to the same period last year, primarily due to an increase in personnel-related costs of $1.7 million and an increase in professional services costs of $1.2 million. We expect general and administrative expense to increase in absolute dollars during the remainder of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income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gridSpan w:val="3"/>
          </w:tcPr>
          <w:p>
            <w:pPr>
              <w:jc w:val="right"/>
              <w:ind w:right="1035"/>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9"/>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395"/>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Pr>
          <w:p>
            <w:pPr>
              <w:spacing w:after="0"/>
              <w:rPr>
                <w:sz w:val="18"/>
                <w:szCs w:val="18"/>
                <w:color w:val="auto"/>
              </w:rPr>
            </w:pPr>
          </w:p>
        </w:tc>
        <w:tc>
          <w:tcPr>
            <w:tcW w:w="1560" w:type="dxa"/>
            <w:vAlign w:val="bottom"/>
          </w:tcPr>
          <w:p>
            <w:pPr>
              <w:jc w:val="right"/>
              <w:ind w:right="335"/>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715"/>
              <w:spacing w:after="0"/>
              <w:rPr>
                <w:sz w:val="20"/>
                <w:szCs w:val="20"/>
                <w:color w:val="auto"/>
              </w:rPr>
            </w:pPr>
            <w:r>
              <w:rPr>
                <w:rFonts w:ascii="Arial" w:cs="Arial" w:eastAsia="Arial" w:hAnsi="Arial"/>
                <w:sz w:val="16"/>
                <w:szCs w:val="16"/>
                <w:b w:val="1"/>
                <w:bCs w:val="1"/>
                <w:color w:val="auto"/>
              </w:rPr>
              <w:t>2019</w:t>
            </w:r>
          </w:p>
        </w:tc>
        <w:tc>
          <w:tcPr>
            <w:tcW w:w="320" w:type="dxa"/>
            <w:vAlign w:val="bottom"/>
          </w:tcPr>
          <w:p>
            <w:pPr>
              <w:spacing w:after="0"/>
              <w:rPr>
                <w:sz w:val="18"/>
                <w:szCs w:val="18"/>
                <w:color w:val="auto"/>
              </w:rPr>
            </w:pPr>
          </w:p>
        </w:tc>
        <w:tc>
          <w:tcPr>
            <w:tcW w:w="1560" w:type="dxa"/>
            <w:vAlign w:val="bottom"/>
          </w:tcPr>
          <w:p>
            <w:pPr>
              <w:jc w:val="right"/>
              <w:ind w:right="655"/>
              <w:spacing w:after="0"/>
              <w:rPr>
                <w:sz w:val="20"/>
                <w:szCs w:val="20"/>
                <w:color w:val="auto"/>
              </w:rPr>
            </w:pPr>
            <w:r>
              <w:rPr>
                <w:rFonts w:ascii="Arial" w:cs="Arial" w:eastAsia="Arial" w:hAnsi="Arial"/>
                <w:sz w:val="16"/>
                <w:szCs w:val="16"/>
                <w:b w:val="1"/>
                <w:bCs w:val="1"/>
                <w:color w:val="auto"/>
              </w:rPr>
              <w:t>2018</w:t>
            </w:r>
          </w:p>
        </w:tc>
        <w:tc>
          <w:tcPr>
            <w:tcW w:w="500" w:type="dxa"/>
            <w:vAlign w:val="bottom"/>
          </w:tcPr>
          <w:p>
            <w:pPr>
              <w:spacing w:after="0"/>
              <w:rPr>
                <w:sz w:val="18"/>
                <w:szCs w:val="18"/>
                <w:color w:val="auto"/>
              </w:rPr>
            </w:pPr>
          </w:p>
        </w:tc>
        <w:tc>
          <w:tcPr>
            <w:tcW w:w="1760" w:type="dxa"/>
            <w:vAlign w:val="bottom"/>
          </w:tcPr>
          <w:p>
            <w:pPr>
              <w:jc w:val="right"/>
              <w:ind w:right="893"/>
              <w:spacing w:after="0"/>
              <w:rPr>
                <w:sz w:val="20"/>
                <w:szCs w:val="20"/>
                <w:color w:val="auto"/>
              </w:rPr>
            </w:pPr>
            <w:r>
              <w:rPr>
                <w:rFonts w:ascii="Arial" w:cs="Arial" w:eastAsia="Arial" w:hAnsi="Arial"/>
                <w:sz w:val="16"/>
                <w:szCs w:val="16"/>
                <w:b w:val="1"/>
                <w:bCs w:val="1"/>
                <w:color w:val="auto"/>
              </w:rPr>
              <w:t>Change</w:t>
            </w:r>
          </w:p>
        </w:tc>
        <w:tc>
          <w:tcPr>
            <w:tcW w:w="1720" w:type="dxa"/>
            <w:vAlign w:val="bottom"/>
          </w:tcPr>
          <w:p>
            <w:pPr>
              <w:jc w:val="right"/>
              <w:ind w:right="5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gridSpan w:val="3"/>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20" w:type="dxa"/>
            <w:vAlign w:val="bottom"/>
            <w:gridSpan w:val="3"/>
          </w:tcPr>
          <w:p>
            <w:pPr>
              <w:jc w:val="right"/>
              <w:ind w:right="933"/>
              <w:spacing w:after="0"/>
              <w:rPr>
                <w:sz w:val="20"/>
                <w:szCs w:val="20"/>
                <w:color w:val="auto"/>
              </w:rPr>
            </w:pPr>
            <w:r>
              <w:rPr>
                <w:rFonts w:ascii="Arial" w:cs="Arial" w:eastAsia="Arial" w:hAnsi="Arial"/>
                <w:sz w:val="16"/>
                <w:szCs w:val="16"/>
                <w:b w:val="1"/>
                <w:bCs w:val="1"/>
                <w:color w:val="auto"/>
              </w:rPr>
              <w:t>(in millions, except percentages)</w:t>
            </w:r>
          </w:p>
        </w:tc>
        <w:tc>
          <w:tcPr>
            <w:tcW w:w="172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11.4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4.5</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income (expense)—net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0.9</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293"/>
              <w:spacing w:after="0"/>
              <w:rPr>
                <w:sz w:val="20"/>
                <w:szCs w:val="20"/>
                <w:color w:val="auto"/>
              </w:rPr>
            </w:pPr>
            <w:r>
              <w:rPr>
                <w:rFonts w:ascii="Arial" w:cs="Arial" w:eastAsia="Arial" w:hAnsi="Arial"/>
                <w:sz w:val="18"/>
                <w:szCs w:val="18"/>
                <w:color w:val="auto"/>
              </w:rPr>
              <w:t>(6.9)</w:t>
            </w:r>
          </w:p>
        </w:tc>
        <w:tc>
          <w:tcPr>
            <w:tcW w:w="1720" w:type="dxa"/>
            <w:vAlign w:val="bottom"/>
          </w:tcPr>
          <w:p>
            <w:pPr>
              <w:jc w:val="right"/>
              <w:spacing w:after="0"/>
              <w:rPr>
                <w:sz w:val="20"/>
                <w:szCs w:val="20"/>
                <w:color w:val="auto"/>
              </w:rPr>
            </w:pPr>
            <w:r>
              <w:rPr>
                <w:rFonts w:ascii="Arial" w:cs="Arial" w:eastAsia="Arial" w:hAnsi="Arial"/>
                <w:sz w:val="18"/>
                <w:szCs w:val="18"/>
                <w:color w:val="auto"/>
              </w:rPr>
              <w:t>(767)%</w:t>
            </w:r>
          </w:p>
        </w:tc>
      </w:tr>
    </w:tbl>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Interest income increased during the three months ended September 30, 2019 compared to the same period last year, primarily due to higher interest rates and, to a lesser extent, higher invested balances of cash, cash equivalents and investments. Interest income varies depending on our average investment balances during the period, types and mix of investments, and market interest rates. The change in other income (expense)—net during the three months ended September 30, 2019 compared to the same period last year was the result of a $3.8 million impairment charge on an investment in a privately held company during the third quarter of 2019 compared to a $2.2 million gain on the sale of an investment in a privately held company in the same period last year. In addition, foreign currency exchange losses increased by $1.0 million compared to the same period last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20" w:type="dxa"/>
            <w:vAlign w:val="bottom"/>
            <w:gridSpan w:val="3"/>
          </w:tcPr>
          <w:p>
            <w:pPr>
              <w:jc w:val="right"/>
              <w:ind w:right="1115"/>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9"/>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right"/>
              <w:ind w:right="435"/>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Pr>
          <w:p>
            <w:pPr>
              <w:spacing w:after="0"/>
              <w:rPr>
                <w:sz w:val="18"/>
                <w:szCs w:val="18"/>
                <w:color w:val="auto"/>
              </w:rPr>
            </w:pPr>
          </w:p>
        </w:tc>
        <w:tc>
          <w:tcPr>
            <w:tcW w:w="1620" w:type="dxa"/>
            <w:vAlign w:val="bottom"/>
          </w:tcPr>
          <w:p>
            <w:pPr>
              <w:jc w:val="right"/>
              <w:ind w:right="375"/>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right"/>
              <w:ind w:right="755"/>
              <w:spacing w:after="0"/>
              <w:rPr>
                <w:sz w:val="20"/>
                <w:szCs w:val="20"/>
                <w:color w:val="auto"/>
              </w:rPr>
            </w:pPr>
            <w:r>
              <w:rPr>
                <w:rFonts w:ascii="Arial" w:cs="Arial" w:eastAsia="Arial" w:hAnsi="Arial"/>
                <w:sz w:val="16"/>
                <w:szCs w:val="16"/>
                <w:b w:val="1"/>
                <w:bCs w:val="1"/>
                <w:color w:val="auto"/>
              </w:rPr>
              <w:t>2019</w:t>
            </w:r>
          </w:p>
        </w:tc>
        <w:tc>
          <w:tcPr>
            <w:tcW w:w="320" w:type="dxa"/>
            <w:vAlign w:val="bottom"/>
          </w:tcPr>
          <w:p>
            <w:pPr>
              <w:spacing w:after="0"/>
              <w:rPr>
                <w:sz w:val="18"/>
                <w:szCs w:val="18"/>
                <w:color w:val="auto"/>
              </w:rPr>
            </w:pPr>
          </w:p>
        </w:tc>
        <w:tc>
          <w:tcPr>
            <w:tcW w:w="1620" w:type="dxa"/>
            <w:vAlign w:val="bottom"/>
          </w:tcPr>
          <w:p>
            <w:pPr>
              <w:jc w:val="right"/>
              <w:ind w:right="695"/>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18"/>
                <w:szCs w:val="18"/>
                <w:color w:val="auto"/>
              </w:rPr>
            </w:pPr>
          </w:p>
        </w:tc>
        <w:tc>
          <w:tcPr>
            <w:tcW w:w="1720" w:type="dxa"/>
            <w:vAlign w:val="bottom"/>
          </w:tcPr>
          <w:p>
            <w:pPr>
              <w:jc w:val="right"/>
              <w:ind w:right="834"/>
              <w:spacing w:after="0"/>
              <w:rPr>
                <w:sz w:val="20"/>
                <w:szCs w:val="20"/>
                <w:color w:val="auto"/>
              </w:rPr>
            </w:pPr>
            <w:r>
              <w:rPr>
                <w:rFonts w:ascii="Arial" w:cs="Arial" w:eastAsia="Arial" w:hAnsi="Arial"/>
                <w:sz w:val="16"/>
                <w:szCs w:val="16"/>
                <w:b w:val="1"/>
                <w:bCs w:val="1"/>
                <w:color w:val="auto"/>
              </w:rPr>
              <w:t>Change</w:t>
            </w:r>
          </w:p>
        </w:tc>
        <w:tc>
          <w:tcPr>
            <w:tcW w:w="1680" w:type="dxa"/>
            <w:vAlign w:val="bottom"/>
          </w:tcPr>
          <w:p>
            <w:pPr>
              <w:jc w:val="right"/>
              <w:ind w:right="474"/>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20" w:type="dxa"/>
            <w:vAlign w:val="bottom"/>
            <w:gridSpan w:val="3"/>
          </w:tcPr>
          <w:p>
            <w:pPr>
              <w:jc w:val="right"/>
              <w:ind w:right="994"/>
              <w:spacing w:after="0"/>
              <w:rPr>
                <w:sz w:val="20"/>
                <w:szCs w:val="20"/>
                <w:color w:val="auto"/>
              </w:rPr>
            </w:pPr>
            <w:r>
              <w:rPr>
                <w:rFonts w:ascii="Arial" w:cs="Arial" w:eastAsia="Arial" w:hAnsi="Arial"/>
                <w:sz w:val="16"/>
                <w:szCs w:val="16"/>
                <w:b w:val="1"/>
                <w:bCs w:val="1"/>
                <w:color w:val="auto"/>
              </w:rPr>
              <w:t>(in millions, except percentages)</w:t>
            </w:r>
          </w:p>
        </w:tc>
        <w:tc>
          <w:tcPr>
            <w:tcW w:w="168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25.6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11.9</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rPr>
              <w:t>13.7</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260" w:type="dxa"/>
            <w:vAlign w:val="bottom"/>
          </w:tcPr>
          <w:p>
            <w:pPr>
              <w:spacing w:after="0"/>
              <w:rPr>
                <w:sz w:val="21"/>
                <w:szCs w:val="21"/>
                <w:color w:val="auto"/>
              </w:rPr>
            </w:pPr>
          </w:p>
        </w:tc>
        <w:tc>
          <w:tcPr>
            <w:tcW w:w="1680" w:type="dxa"/>
            <w:vAlign w:val="bottom"/>
          </w:tcPr>
          <w:p>
            <w:pPr>
              <w:jc w:val="right"/>
              <w:ind w:right="15"/>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w:t>
            </w:r>
          </w:p>
        </w:tc>
        <w:tc>
          <w:tcPr>
            <w:tcW w:w="4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80" w:type="dxa"/>
            <w:vAlign w:val="bottom"/>
          </w:tcPr>
          <w:p>
            <w:pPr>
              <w:spacing w:after="0"/>
              <w:rPr>
                <w:sz w:val="21"/>
                <w:szCs w:val="21"/>
                <w:color w:val="auto"/>
              </w:rPr>
            </w:pPr>
          </w:p>
        </w:tc>
      </w:tr>
    </w:tbl>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Our effective tax rate was 24% for the three months ended September 30, 2019 compared to an effective tax rate of 17% for the same period last year. The provision for income taxes for the three months ended September 30, 2019 was primarily comprised of U.S. federal and state taxes, withholding taxes and foreign taxes of $29.6 million, which were offset by excess tax benefits from stock-based compensation expense of $6.9 million. The provision for income taxes for the three months ended September 30, 2019 included a net increase in tax expense of $2.9 million due to the settlement of foreign tax audits. The provision for income taxes for the three months ended September 30, 2018 was comprised of U.S. federal and state taxes, withholding taxes, and foreign taxes of $17.7 million, which were offset by excess tax benefits from stock-based compensation expense of $5.8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2019 and September 30, 2018</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4"/>
          </w:tcPr>
          <w:p>
            <w:pPr>
              <w:jc w:val="right"/>
              <w:ind w:right="413"/>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ind w:left="6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26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gridSpan w:val="3"/>
          </w:tcPr>
          <w:p>
            <w:pPr>
              <w:jc w:val="right"/>
              <w:ind w:right="1077"/>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gridSpan w:val="3"/>
          </w:tcPr>
          <w:p>
            <w:pPr>
              <w:jc w:val="center"/>
              <w:ind w:right="1036"/>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72"/>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Revenue</w:t>
            </w:r>
          </w:p>
        </w:tc>
        <w:tc>
          <w:tcPr>
            <w:tcW w:w="160" w:type="dxa"/>
            <w:vAlign w:val="bottom"/>
          </w:tcPr>
          <w:p>
            <w:pPr>
              <w:spacing w:after="0"/>
              <w:rPr>
                <w:sz w:val="18"/>
                <w:szCs w:val="18"/>
                <w:color w:val="auto"/>
              </w:rPr>
            </w:pPr>
          </w:p>
        </w:tc>
        <w:tc>
          <w:tcPr>
            <w:tcW w:w="980" w:type="dxa"/>
            <w:vAlign w:val="bottom"/>
          </w:tcPr>
          <w:p>
            <w:pPr>
              <w:jc w:val="right"/>
              <w:ind w:right="15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(in millions,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549.7</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473.6</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76.1</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16%</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992.1</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820.6</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171.5</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21</w:t>
            </w:r>
          </w:p>
        </w:tc>
      </w:tr>
      <w:tr>
        <w:trPr>
          <w:trHeight w:val="297"/>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1,541.8</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1,294.2</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247.6</w:t>
            </w:r>
          </w:p>
        </w:tc>
        <w:tc>
          <w:tcPr>
            <w:tcW w:w="142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w w:val="94"/>
              </w:rPr>
              <w:t>19%</w:t>
            </w: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666.7</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559.1</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107.6</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19%</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569.9</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95.6</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20</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APAC</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305.2</w:t>
            </w:r>
          </w:p>
        </w:tc>
        <w:tc>
          <w:tcPr>
            <w:tcW w:w="1500" w:type="dxa"/>
            <w:vAlign w:val="bottom"/>
            <w:gridSpan w:val="3"/>
          </w:tcPr>
          <w:p>
            <w:pPr>
              <w:jc w:val="right"/>
              <w:ind w:right="97"/>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260.8</w:t>
            </w:r>
          </w:p>
        </w:tc>
        <w:tc>
          <w:tcPr>
            <w:tcW w:w="1520" w:type="dxa"/>
            <w:vAlign w:val="bottom"/>
            <w:gridSpan w:val="3"/>
          </w:tcPr>
          <w:p>
            <w:pPr>
              <w:jc w:val="right"/>
              <w:ind w:right="116"/>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44.4</w:t>
            </w:r>
          </w:p>
        </w:tc>
        <w:tc>
          <w:tcPr>
            <w:tcW w:w="1420" w:type="dxa"/>
            <w:vAlign w:val="bottom"/>
          </w:tcPr>
          <w:p>
            <w:pPr>
              <w:ind w:left="1060"/>
              <w:spacing w:after="0"/>
              <w:rPr>
                <w:sz w:val="20"/>
                <w:szCs w:val="20"/>
                <w:color w:val="auto"/>
              </w:rPr>
            </w:pPr>
            <w:r>
              <w:rPr>
                <w:rFonts w:ascii="Arial" w:cs="Arial" w:eastAsia="Arial" w:hAnsi="Arial"/>
                <w:sz w:val="18"/>
                <w:szCs w:val="18"/>
                <w:color w:val="auto"/>
              </w:rPr>
              <w:t>17</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1,541.8</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1,294.2</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247.6</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4"/>
              </w:rPr>
              <w:t>19%</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Total revenue increased by $247.6 million, or 19%, during the nine months ended September 30, 2019 compared to the same period last year. We continued to experience diversification of revenue globally, and across both customer and industry segments. Revenue from all regions grew, with the Americas contributing the largest portion of our revenue growth on an absolute dollar basis.</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Product revenue increased by $76.1 million, or 16%, during the nine months ended September 30, 2019 compared to the same period last year. We experienced revenue growth across many of our hardware and software products due to an increase in FortiGates sold as part of SD-WAN solutions and growth in sales of our Infrastructure Security solutions.</w:t>
      </w:r>
    </w:p>
    <w:p>
      <w:pPr>
        <w:spacing w:after="0" w:line="18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Service revenue increased by $171.5 million, or 21%, during the nine months ended September 30, 2019 compared to the same period last year. FortiGuard security subscription and FortiCare technical support and other revenues increased by $104.8 million, or 24%, and by $66.7 million, or 18%, respectively, during the nine months ended September 30, 2019 compared to the same period last year. The increases were primarily due to the recognition of revenue from our growing deferred revenue balance related to FortiGuard and other security subscriptions and FortiCare technical support and other contracts. Of the service revenue recognized during the nine months ended September 30, 2019, 76% was included in the deferred revenue balance as of December 31,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40" w:type="dxa"/>
            <w:vAlign w:val="bottom"/>
            <w:gridSpan w:val="5"/>
          </w:tcPr>
          <w:p>
            <w:pPr>
              <w:ind w:left="1000"/>
              <w:spacing w:after="0"/>
              <w:rPr>
                <w:sz w:val="20"/>
                <w:szCs w:val="20"/>
                <w:color w:val="auto"/>
              </w:rPr>
            </w:pPr>
            <w:r>
              <w:rPr>
                <w:rFonts w:ascii="Arial" w:cs="Arial" w:eastAsia="Arial" w:hAnsi="Arial"/>
                <w:sz w:val="16"/>
                <w:szCs w:val="16"/>
                <w:b w:val="1"/>
                <w:bCs w:val="1"/>
                <w:color w:val="auto"/>
              </w:rPr>
              <w:t>Nine Months Ended</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09"/>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0"/>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ind w:right="69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ind w:right="69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ind w:right="532"/>
              <w:spacing w:after="0"/>
              <w:rPr>
                <w:sz w:val="20"/>
                <w:szCs w:val="20"/>
                <w:color w:val="auto"/>
              </w:rPr>
            </w:pPr>
            <w:r>
              <w:rPr>
                <w:rFonts w:ascii="Arial" w:cs="Arial" w:eastAsia="Arial" w:hAnsi="Arial"/>
                <w:sz w:val="16"/>
                <w:szCs w:val="16"/>
                <w:b w:val="1"/>
                <w:bCs w:val="1"/>
                <w:color w:val="auto"/>
              </w:rPr>
              <w:t>Change</w:t>
            </w:r>
          </w:p>
        </w:tc>
        <w:tc>
          <w:tcPr>
            <w:tcW w:w="1980" w:type="dxa"/>
            <w:vAlign w:val="bottom"/>
          </w:tcPr>
          <w:p>
            <w:pPr>
              <w:ind w:left="68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(in millions, except percentages)</w:t>
            </w:r>
          </w:p>
        </w:tc>
        <w:tc>
          <w:tcPr>
            <w:tcW w:w="198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jc w:val="center"/>
              <w:ind w:right="2010"/>
              <w:spacing w:after="0"/>
              <w:rPr>
                <w:sz w:val="20"/>
                <w:szCs w:val="20"/>
                <w:color w:val="auto"/>
              </w:rPr>
            </w:pPr>
            <w:r>
              <w:rPr>
                <w:rFonts w:ascii="Arial" w:cs="Arial" w:eastAsia="Arial" w:hAnsi="Arial"/>
                <w:sz w:val="18"/>
                <w:szCs w:val="18"/>
                <w:color w:val="auto"/>
                <w:w w:val="90"/>
              </w:rPr>
              <w:t>Product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93"/>
              <w:spacing w:after="0"/>
              <w:rPr>
                <w:sz w:val="20"/>
                <w:szCs w:val="20"/>
                <w:color w:val="auto"/>
              </w:rPr>
            </w:pPr>
            <w:r>
              <w:rPr>
                <w:rFonts w:ascii="Arial" w:cs="Arial" w:eastAsia="Arial" w:hAnsi="Arial"/>
                <w:sz w:val="18"/>
                <w:szCs w:val="18"/>
                <w:color w:val="auto"/>
              </w:rPr>
              <w:t>231.9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93"/>
              <w:spacing w:after="0"/>
              <w:rPr>
                <w:sz w:val="20"/>
                <w:szCs w:val="20"/>
                <w:color w:val="auto"/>
              </w:rPr>
            </w:pPr>
            <w:r>
              <w:rPr>
                <w:rFonts w:ascii="Arial" w:cs="Arial" w:eastAsia="Arial" w:hAnsi="Arial"/>
                <w:sz w:val="18"/>
                <w:szCs w:val="18"/>
                <w:color w:val="auto"/>
              </w:rPr>
              <w:t>204.1</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27.8</w:t>
            </w:r>
          </w:p>
        </w:tc>
        <w:tc>
          <w:tcPr>
            <w:tcW w:w="1980" w:type="dxa"/>
            <w:vAlign w:val="bottom"/>
          </w:tcPr>
          <w:p>
            <w:pPr>
              <w:ind w:left="1620"/>
              <w:spacing w:after="0"/>
              <w:rPr>
                <w:sz w:val="20"/>
                <w:szCs w:val="20"/>
                <w:color w:val="auto"/>
              </w:rPr>
            </w:pPr>
            <w:r>
              <w:rPr>
                <w:rFonts w:ascii="Arial" w:cs="Arial" w:eastAsia="Arial" w:hAnsi="Arial"/>
                <w:sz w:val="18"/>
                <w:szCs w:val="18"/>
                <w:color w:val="auto"/>
                <w:w w:val="94"/>
              </w:rPr>
              <w:t>14%</w:t>
            </w: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jc w:val="center"/>
              <w:ind w:right="2030"/>
              <w:spacing w:after="0"/>
              <w:rPr>
                <w:sz w:val="20"/>
                <w:szCs w:val="20"/>
                <w:color w:val="auto"/>
              </w:rPr>
            </w:pPr>
            <w:r>
              <w:rPr>
                <w:rFonts w:ascii="Arial" w:cs="Arial" w:eastAsia="Arial" w:hAnsi="Arial"/>
                <w:sz w:val="18"/>
                <w:szCs w:val="18"/>
                <w:color w:val="auto"/>
                <w:w w:val="89"/>
              </w:rPr>
              <w:t>Service</w:t>
            </w:r>
          </w:p>
        </w:tc>
        <w:tc>
          <w:tcPr>
            <w:tcW w:w="2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133.5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117.8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w:t>
            </w:r>
          </w:p>
        </w:tc>
        <w:tc>
          <w:tcPr>
            <w:tcW w:w="198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13</w:t>
            </w:r>
          </w:p>
        </w:tc>
      </w:tr>
      <w:tr>
        <w:trPr>
          <w:trHeight w:val="297"/>
        </w:trPr>
        <w:tc>
          <w:tcPr>
            <w:tcW w:w="3660" w:type="dxa"/>
            <w:vAlign w:val="bottom"/>
            <w:tcBorders>
              <w:bottom w:val="single" w:sz="8" w:color="CCEEFF"/>
            </w:tcBorders>
          </w:tcPr>
          <w:p>
            <w:pPr>
              <w:jc w:val="center"/>
              <w:ind w:right="1990"/>
              <w:spacing w:after="0"/>
              <w:rPr>
                <w:sz w:val="20"/>
                <w:szCs w:val="20"/>
                <w:color w:val="auto"/>
              </w:rPr>
            </w:pPr>
            <w:r>
              <w:rPr>
                <w:rFonts w:ascii="Arial" w:cs="Arial" w:eastAsia="Arial" w:hAnsi="Arial"/>
                <w:sz w:val="18"/>
                <w:szCs w:val="18"/>
                <w:color w:val="auto"/>
                <w:w w:val="89"/>
              </w:rPr>
              <w:t>Total cost of revenue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365.4</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321.9</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43.5</w:t>
            </w:r>
          </w:p>
        </w:tc>
        <w:tc>
          <w:tcPr>
            <w:tcW w:w="1980" w:type="dxa"/>
            <w:vAlign w:val="bottom"/>
            <w:tcBorders>
              <w:bottom w:val="single" w:sz="8" w:color="CCEEFF"/>
            </w:tcBorders>
          </w:tcPr>
          <w:p>
            <w:pPr>
              <w:ind w:left="1620"/>
              <w:spacing w:after="0"/>
              <w:rPr>
                <w:sz w:val="20"/>
                <w:szCs w:val="20"/>
                <w:color w:val="auto"/>
              </w:rPr>
            </w:pPr>
            <w:r>
              <w:rPr>
                <w:rFonts w:ascii="Arial" w:cs="Arial" w:eastAsia="Arial" w:hAnsi="Arial"/>
                <w:sz w:val="18"/>
                <w:szCs w:val="18"/>
                <w:color w:val="auto"/>
                <w:w w:val="94"/>
              </w:rPr>
              <w:t>14%</w:t>
            </w:r>
          </w:p>
        </w:tc>
      </w:tr>
      <w:tr>
        <w:trPr>
          <w:trHeight w:val="23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2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r>
      <w:tr>
        <w:trPr>
          <w:trHeight w:val="243"/>
        </w:trPr>
        <w:tc>
          <w:tcPr>
            <w:tcW w:w="3660" w:type="dxa"/>
            <w:vAlign w:val="bottom"/>
          </w:tcPr>
          <w:p>
            <w:pPr>
              <w:jc w:val="center"/>
              <w:ind w:right="2010"/>
              <w:spacing w:after="0"/>
              <w:rPr>
                <w:sz w:val="20"/>
                <w:szCs w:val="20"/>
                <w:color w:val="auto"/>
              </w:rPr>
            </w:pPr>
            <w:r>
              <w:rPr>
                <w:rFonts w:ascii="Arial" w:cs="Arial" w:eastAsia="Arial" w:hAnsi="Arial"/>
                <w:sz w:val="18"/>
                <w:szCs w:val="18"/>
                <w:color w:val="auto"/>
                <w:w w:val="90"/>
              </w:rPr>
              <w:t>Product</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jc w:val="center"/>
              <w:ind w:right="2030"/>
              <w:spacing w:after="0"/>
              <w:rPr>
                <w:sz w:val="20"/>
                <w:szCs w:val="20"/>
                <w:color w:val="auto"/>
              </w:rPr>
            </w:pPr>
            <w:r>
              <w:rPr>
                <w:rFonts w:ascii="Arial" w:cs="Arial" w:eastAsia="Arial" w:hAnsi="Arial"/>
                <w:sz w:val="18"/>
                <w:szCs w:val="18"/>
                <w:color w:val="auto"/>
                <w:w w:val="89"/>
              </w:rPr>
              <w:t>Service</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98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Total gross margin increased by 1.2 percentage points during the nine months ended September 30, 2019 compared to the same period last year, driven by improvements to both product and service gross margins.</w:t>
      </w:r>
    </w:p>
    <w:p>
      <w:pPr>
        <w:spacing w:after="0" w:line="17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Product gross margin increased by 0.9 percentage points during the nine months ended September 30, 2019 compared to the same period last year. Product gross margin benefited from lower direct and indirect product costs as percentage of product revenue. Cost of product revenue was comprised of direct product costs and indirect costs, including inventory reserves and other manufacturing overhead.</w:t>
      </w:r>
    </w:p>
    <w:p>
      <w:pPr>
        <w:spacing w:after="0" w:line="181"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Service gross margin increased by 0.9 percentage points during the nine months ended September 30, 2019 compared to the same period last year, as our service revenue growth outpaced our growth in related personnel costs. Cost of service revenue was comprised primarily of personnel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4"/>
          </w:tcPr>
          <w:p>
            <w:pPr>
              <w:jc w:val="right"/>
              <w:ind w:right="374"/>
              <w:spacing w:after="0"/>
              <w:rPr>
                <w:sz w:val="20"/>
                <w:szCs w:val="20"/>
                <w:color w:val="auto"/>
              </w:rPr>
            </w:pPr>
            <w:r>
              <w:rPr>
                <w:rFonts w:ascii="Arial" w:cs="Arial" w:eastAsia="Arial" w:hAnsi="Arial"/>
                <w:sz w:val="16"/>
                <w:szCs w:val="16"/>
                <w:b w:val="1"/>
                <w:bCs w:val="1"/>
                <w:color w:val="auto"/>
              </w:rPr>
              <w:t>Nine 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3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9"/>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18"/>
                <w:szCs w:val="18"/>
                <w:color w:val="auto"/>
              </w:rPr>
            </w:pPr>
          </w:p>
        </w:tc>
        <w:tc>
          <w:tcPr>
            <w:tcW w:w="2580" w:type="dxa"/>
            <w:vAlign w:val="bottom"/>
            <w:gridSpan w:val="5"/>
          </w:tcPr>
          <w:p>
            <w:pPr>
              <w:ind w:left="62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0"/>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40" w:type="dxa"/>
            <w:vAlign w:val="bottom"/>
            <w:gridSpan w:val="3"/>
          </w:tcPr>
          <w:p>
            <w:pPr>
              <w:jc w:val="right"/>
              <w:ind w:right="1039"/>
              <w:spacing w:after="0"/>
              <w:rPr>
                <w:sz w:val="20"/>
                <w:szCs w:val="20"/>
                <w:color w:val="auto"/>
              </w:rPr>
            </w:pPr>
            <w:r>
              <w:rPr>
                <w:rFonts w:ascii="Arial" w:cs="Arial" w:eastAsia="Arial" w:hAnsi="Arial"/>
                <w:sz w:val="16"/>
                <w:szCs w:val="16"/>
                <w:b w:val="1"/>
                <w:bCs w:val="1"/>
                <w:color w:val="auto"/>
                <w:w w:val="84"/>
              </w:rPr>
              <w:t>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gridSpan w:val="3"/>
          </w:tcPr>
          <w:p>
            <w:pPr>
              <w:jc w:val="right"/>
              <w:ind w:right="1079"/>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3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9"/>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0"/>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5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Revenue</w:t>
            </w:r>
          </w:p>
        </w:tc>
        <w:tc>
          <w:tcPr>
            <w:tcW w:w="200" w:type="dxa"/>
            <w:vAlign w:val="bottom"/>
          </w:tcPr>
          <w:p>
            <w:pPr>
              <w:spacing w:after="0"/>
              <w:rPr>
                <w:sz w:val="18"/>
                <w:szCs w:val="18"/>
                <w:color w:val="auto"/>
              </w:rPr>
            </w:pPr>
          </w:p>
        </w:tc>
        <w:tc>
          <w:tcPr>
            <w:tcW w:w="960" w:type="dxa"/>
            <w:vAlign w:val="bottom"/>
          </w:tcPr>
          <w:p>
            <w:pPr>
              <w:jc w:val="right"/>
              <w:ind w:right="174"/>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2"/>
              <w:spacing w:after="0"/>
              <w:rPr>
                <w:sz w:val="20"/>
                <w:szCs w:val="20"/>
                <w:color w:val="auto"/>
              </w:rPr>
            </w:pPr>
            <w:r>
              <w:rPr>
                <w:rFonts w:ascii="Arial" w:cs="Arial" w:eastAsia="Arial" w:hAnsi="Arial"/>
                <w:sz w:val="16"/>
                <w:szCs w:val="16"/>
                <w:b w:val="1"/>
                <w:bCs w:val="1"/>
                <w:color w:val="auto"/>
              </w:rPr>
              <w:t>Change</w:t>
            </w:r>
          </w:p>
        </w:tc>
        <w:tc>
          <w:tcPr>
            <w:tcW w:w="1440" w:type="dxa"/>
            <w:vAlign w:val="bottom"/>
          </w:tcPr>
          <w:p>
            <w:pPr>
              <w:jc w:val="right"/>
              <w:ind w:right="21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7"/>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5"/>
          </w:tcPr>
          <w:p>
            <w:pPr>
              <w:ind w:left="80"/>
              <w:spacing w:after="0"/>
              <w:rPr>
                <w:sz w:val="20"/>
                <w:szCs w:val="20"/>
                <w:color w:val="auto"/>
              </w:rPr>
            </w:pPr>
            <w:r>
              <w:rPr>
                <w:rFonts w:ascii="Arial" w:cs="Arial" w:eastAsia="Arial" w:hAnsi="Arial"/>
                <w:sz w:val="16"/>
                <w:szCs w:val="16"/>
                <w:b w:val="1"/>
                <w:bCs w:val="1"/>
                <w:color w:val="auto"/>
                <w:w w:val="99"/>
              </w:rPr>
              <w:t>(in millions,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326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205.9</w:t>
            </w:r>
          </w:p>
        </w:tc>
        <w:tc>
          <w:tcPr>
            <w:tcW w:w="1440" w:type="dxa"/>
            <w:vAlign w:val="bottom"/>
            <w:gridSpan w:val="3"/>
          </w:tcPr>
          <w:p>
            <w:pPr>
              <w:jc w:val="center"/>
              <w:ind w:left="132"/>
              <w:spacing w:after="0"/>
              <w:rPr>
                <w:sz w:val="20"/>
                <w:szCs w:val="20"/>
                <w:color w:val="auto"/>
              </w:rPr>
            </w:pPr>
            <w:r>
              <w:rPr>
                <w:rFonts w:ascii="Arial" w:cs="Arial" w:eastAsia="Arial" w:hAnsi="Arial"/>
                <w:sz w:val="18"/>
                <w:szCs w:val="18"/>
                <w:color w:val="auto"/>
                <w:w w:val="94"/>
              </w:rPr>
              <w:t>13%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179.0</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26.9</w:t>
            </w:r>
          </w:p>
        </w:tc>
        <w:tc>
          <w:tcPr>
            <w:tcW w:w="1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669.8</w:t>
            </w:r>
          </w:p>
        </w:tc>
        <w:tc>
          <w:tcPr>
            <w:tcW w:w="1440" w:type="dxa"/>
            <w:vAlign w:val="bottom"/>
            <w:tcBorders>
              <w:bottom w:val="single" w:sz="8" w:color="CCEEFF"/>
            </w:tcBorders>
            <w:gridSpan w:val="3"/>
            <w:shd w:val="clear" w:color="auto" w:fill="CCEEFF"/>
          </w:tcPr>
          <w:p>
            <w:pPr>
              <w:jc w:val="center"/>
              <w:ind w:left="132"/>
              <w:spacing w:after="0"/>
              <w:rPr>
                <w:sz w:val="20"/>
                <w:szCs w:val="20"/>
                <w:color w:val="auto"/>
              </w:rPr>
            </w:pPr>
            <w:r>
              <w:rPr>
                <w:rFonts w:ascii="Arial" w:cs="Arial" w:eastAsia="Arial" w:hAnsi="Arial"/>
                <w:sz w:val="18"/>
                <w:szCs w:val="18"/>
                <w:color w:val="auto"/>
                <w:w w:val="89"/>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576.4</w:t>
            </w:r>
          </w:p>
        </w:tc>
        <w:tc>
          <w:tcPr>
            <w:tcW w:w="15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93.4</w:t>
            </w: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w:t>
            </w:r>
          </w:p>
        </w:tc>
      </w:tr>
      <w:tr>
        <w:trPr>
          <w:trHeight w:val="243"/>
        </w:trPr>
        <w:tc>
          <w:tcPr>
            <w:tcW w:w="326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74.9</w:t>
            </w:r>
          </w:p>
        </w:tc>
        <w:tc>
          <w:tcPr>
            <w:tcW w:w="1440" w:type="dxa"/>
            <w:vAlign w:val="bottom"/>
            <w:gridSpan w:val="3"/>
          </w:tcPr>
          <w:p>
            <w:pPr>
              <w:jc w:val="center"/>
              <w:ind w:left="132"/>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71.0</w:t>
            </w:r>
          </w:p>
        </w:tc>
        <w:tc>
          <w:tcPr>
            <w:tcW w:w="1500" w:type="dxa"/>
            <w:vAlign w:val="bottom"/>
            <w:gridSpan w:val="3"/>
          </w:tcPr>
          <w:p>
            <w:pPr>
              <w:jc w:val="right"/>
              <w:ind w:right="99"/>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5</w:t>
            </w:r>
          </w:p>
        </w:tc>
      </w:tr>
      <w:tr>
        <w:trPr>
          <w:trHeight w:val="27"/>
        </w:trPr>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5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950.6</w:t>
            </w:r>
          </w:p>
        </w:tc>
        <w:tc>
          <w:tcPr>
            <w:tcW w:w="1440" w:type="dxa"/>
            <w:vAlign w:val="bottom"/>
            <w:gridSpan w:val="3"/>
            <w:shd w:val="clear" w:color="auto" w:fill="CCEEFF"/>
          </w:tcPr>
          <w:p>
            <w:pPr>
              <w:jc w:val="center"/>
              <w:ind w:left="132"/>
              <w:spacing w:after="0"/>
              <w:rPr>
                <w:sz w:val="20"/>
                <w:szCs w:val="20"/>
                <w:color w:val="auto"/>
              </w:rPr>
            </w:pPr>
            <w:r>
              <w:rPr>
                <w:rFonts w:ascii="Arial" w:cs="Arial" w:eastAsia="Arial" w:hAnsi="Arial"/>
                <w:sz w:val="18"/>
                <w:szCs w:val="18"/>
                <w:color w:val="auto"/>
                <w:w w:val="94"/>
              </w:rPr>
              <w:t>62%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826.4</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124.2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Research and development expense increased by $26.9 million, or 15%, during the nine months ended September 30, 2019 compared to the same period last year, primarily due to an increase in personnel-related costs of $21.3 million as a result of increased headcount to support the development of new products and continued enhancements to our existing products.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Sales and marketing expense increased by $93.4 million, or 16%, during the nine months ended September 30, 2019 compared to the same period last year, primarily due to an increase in personnel-related costs of $66.2 million as a result of increased sales and marketing headcount in order to drive global market share gains. In addition, marketing-related expense increased by $10.8 million.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General and administrative expense increased by $3.9 million, or 5%, during the nine months ended September 30, 2019 compared to the same period last year, primarily due to an increase in personnel-related costs of $3.1 million and an increase in professional services of $0.6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gridSpan w:val="3"/>
          </w:tcPr>
          <w:p>
            <w:pPr>
              <w:jc w:val="right"/>
              <w:ind w:right="1075"/>
              <w:spacing w:after="0"/>
              <w:rPr>
                <w:sz w:val="20"/>
                <w:szCs w:val="20"/>
                <w:color w:val="auto"/>
              </w:rPr>
            </w:pPr>
            <w:r>
              <w:rPr>
                <w:rFonts w:ascii="Arial" w:cs="Arial" w:eastAsia="Arial" w:hAnsi="Arial"/>
                <w:sz w:val="16"/>
                <w:szCs w:val="16"/>
                <w:b w:val="1"/>
                <w:bCs w:val="1"/>
                <w:color w:val="auto"/>
              </w:rPr>
              <w:t>Nine Months Ended</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9"/>
        </w:trPr>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395"/>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Pr>
          <w:p>
            <w:pPr>
              <w:spacing w:after="0"/>
              <w:rPr>
                <w:sz w:val="18"/>
                <w:szCs w:val="18"/>
                <w:color w:val="auto"/>
              </w:rPr>
            </w:pPr>
          </w:p>
        </w:tc>
        <w:tc>
          <w:tcPr>
            <w:tcW w:w="1560" w:type="dxa"/>
            <w:vAlign w:val="bottom"/>
          </w:tcPr>
          <w:p>
            <w:pPr>
              <w:jc w:val="right"/>
              <w:ind w:right="335"/>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715"/>
              <w:spacing w:after="0"/>
              <w:rPr>
                <w:sz w:val="20"/>
                <w:szCs w:val="20"/>
                <w:color w:val="auto"/>
              </w:rPr>
            </w:pPr>
            <w:r>
              <w:rPr>
                <w:rFonts w:ascii="Arial" w:cs="Arial" w:eastAsia="Arial" w:hAnsi="Arial"/>
                <w:sz w:val="16"/>
                <w:szCs w:val="16"/>
                <w:b w:val="1"/>
                <w:bCs w:val="1"/>
                <w:color w:val="auto"/>
              </w:rPr>
              <w:t>2019</w:t>
            </w:r>
          </w:p>
        </w:tc>
        <w:tc>
          <w:tcPr>
            <w:tcW w:w="320" w:type="dxa"/>
            <w:vAlign w:val="bottom"/>
          </w:tcPr>
          <w:p>
            <w:pPr>
              <w:spacing w:after="0"/>
              <w:rPr>
                <w:sz w:val="18"/>
                <w:szCs w:val="18"/>
                <w:color w:val="auto"/>
              </w:rPr>
            </w:pPr>
          </w:p>
        </w:tc>
        <w:tc>
          <w:tcPr>
            <w:tcW w:w="1560" w:type="dxa"/>
            <w:vAlign w:val="bottom"/>
          </w:tcPr>
          <w:p>
            <w:pPr>
              <w:jc w:val="right"/>
              <w:ind w:right="655"/>
              <w:spacing w:after="0"/>
              <w:rPr>
                <w:sz w:val="20"/>
                <w:szCs w:val="20"/>
                <w:color w:val="auto"/>
              </w:rPr>
            </w:pPr>
            <w:r>
              <w:rPr>
                <w:rFonts w:ascii="Arial" w:cs="Arial" w:eastAsia="Arial" w:hAnsi="Arial"/>
                <w:sz w:val="16"/>
                <w:szCs w:val="16"/>
                <w:b w:val="1"/>
                <w:bCs w:val="1"/>
                <w:color w:val="auto"/>
              </w:rPr>
              <w:t>2018</w:t>
            </w:r>
          </w:p>
        </w:tc>
        <w:tc>
          <w:tcPr>
            <w:tcW w:w="500" w:type="dxa"/>
            <w:vAlign w:val="bottom"/>
          </w:tcPr>
          <w:p>
            <w:pPr>
              <w:spacing w:after="0"/>
              <w:rPr>
                <w:sz w:val="18"/>
                <w:szCs w:val="18"/>
                <w:color w:val="auto"/>
              </w:rPr>
            </w:pPr>
          </w:p>
        </w:tc>
        <w:tc>
          <w:tcPr>
            <w:tcW w:w="1760" w:type="dxa"/>
            <w:vAlign w:val="bottom"/>
          </w:tcPr>
          <w:p>
            <w:pPr>
              <w:jc w:val="right"/>
              <w:ind w:right="873"/>
              <w:spacing w:after="0"/>
              <w:rPr>
                <w:sz w:val="20"/>
                <w:szCs w:val="20"/>
                <w:color w:val="auto"/>
              </w:rPr>
            </w:pPr>
            <w:r>
              <w:rPr>
                <w:rFonts w:ascii="Arial" w:cs="Arial" w:eastAsia="Arial" w:hAnsi="Arial"/>
                <w:sz w:val="16"/>
                <w:szCs w:val="16"/>
                <w:b w:val="1"/>
                <w:bCs w:val="1"/>
                <w:color w:val="auto"/>
              </w:rPr>
              <w:t>Change</w:t>
            </w:r>
          </w:p>
        </w:tc>
        <w:tc>
          <w:tcPr>
            <w:tcW w:w="1680" w:type="dxa"/>
            <w:vAlign w:val="bottom"/>
          </w:tcPr>
          <w:p>
            <w:pPr>
              <w:jc w:val="right"/>
              <w:ind w:right="49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20" w:type="dxa"/>
            <w:vAlign w:val="bottom"/>
            <w:gridSpan w:val="3"/>
          </w:tcPr>
          <w:p>
            <w:pPr>
              <w:jc w:val="right"/>
              <w:ind w:right="953"/>
              <w:spacing w:after="0"/>
              <w:rPr>
                <w:sz w:val="20"/>
                <w:szCs w:val="20"/>
                <w:color w:val="auto"/>
              </w:rPr>
            </w:pPr>
            <w:r>
              <w:rPr>
                <w:rFonts w:ascii="Arial" w:cs="Arial" w:eastAsia="Arial" w:hAnsi="Arial"/>
                <w:sz w:val="16"/>
                <w:szCs w:val="16"/>
                <w:b w:val="1"/>
                <w:bCs w:val="1"/>
                <w:color w:val="auto"/>
              </w:rPr>
              <w:t>(in millions, except percentages)</w:t>
            </w:r>
          </w:p>
        </w:tc>
        <w:tc>
          <w:tcPr>
            <w:tcW w:w="1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32.6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17.2</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rPr>
              <w:t>15.4</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Other expense—net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(4.3)</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273"/>
              <w:spacing w:after="0"/>
              <w:rPr>
                <w:sz w:val="20"/>
                <w:szCs w:val="20"/>
                <w:color w:val="auto"/>
              </w:rPr>
            </w:pPr>
            <w:r>
              <w:rPr>
                <w:rFonts w:ascii="Arial" w:cs="Arial" w:eastAsia="Arial" w:hAnsi="Arial"/>
                <w:sz w:val="18"/>
                <w:szCs w:val="18"/>
                <w:color w:val="auto"/>
              </w:rPr>
              <w:t>(2.6)</w:t>
            </w:r>
          </w:p>
        </w:tc>
        <w:tc>
          <w:tcPr>
            <w:tcW w:w="168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Interest income increased during the nine months ended September 30, 2019 compared to the same period last year, primarily due to higher interest rates and, to a lesser extent, higher invested balances of cash, cash equivalents and investments. Interest income varies depending on our average investment balances during the period, types and mix of investments, and market interest rates. The change in other expense—net during the nine months ended September 30, 2019 compared to the same period last year was the result of a $3.8 million impairment charge on an investment in a privately held company during the third quarter of 2019 compared to a $2.2 million gain on the sale of an investment in a privately held company in the same period last year, partially offset by lower foreign currency exchange losses.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20" w:type="dxa"/>
            <w:vAlign w:val="bottom"/>
            <w:gridSpan w:val="3"/>
          </w:tcPr>
          <w:p>
            <w:pPr>
              <w:jc w:val="right"/>
              <w:ind w:right="1155"/>
              <w:spacing w:after="0"/>
              <w:rPr>
                <w:sz w:val="20"/>
                <w:szCs w:val="20"/>
                <w:color w:val="auto"/>
              </w:rPr>
            </w:pPr>
            <w:r>
              <w:rPr>
                <w:rFonts w:ascii="Arial" w:cs="Arial" w:eastAsia="Arial" w:hAnsi="Arial"/>
                <w:sz w:val="16"/>
                <w:szCs w:val="16"/>
                <w:b w:val="1"/>
                <w:bCs w:val="1"/>
                <w:color w:val="auto"/>
              </w:rPr>
              <w:t>Nine Months Ended</w:t>
            </w:r>
          </w:p>
        </w:tc>
        <w:tc>
          <w:tcPr>
            <w:tcW w:w="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9"/>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right"/>
              <w:ind w:right="435"/>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Pr>
          <w:p>
            <w:pPr>
              <w:spacing w:after="0"/>
              <w:rPr>
                <w:sz w:val="18"/>
                <w:szCs w:val="18"/>
                <w:color w:val="auto"/>
              </w:rPr>
            </w:pPr>
          </w:p>
        </w:tc>
        <w:tc>
          <w:tcPr>
            <w:tcW w:w="1620" w:type="dxa"/>
            <w:vAlign w:val="bottom"/>
          </w:tcPr>
          <w:p>
            <w:pPr>
              <w:jc w:val="right"/>
              <w:ind w:right="375"/>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right"/>
              <w:ind w:right="755"/>
              <w:spacing w:after="0"/>
              <w:rPr>
                <w:sz w:val="20"/>
                <w:szCs w:val="20"/>
                <w:color w:val="auto"/>
              </w:rPr>
            </w:pPr>
            <w:r>
              <w:rPr>
                <w:rFonts w:ascii="Arial" w:cs="Arial" w:eastAsia="Arial" w:hAnsi="Arial"/>
                <w:sz w:val="16"/>
                <w:szCs w:val="16"/>
                <w:b w:val="1"/>
                <w:bCs w:val="1"/>
                <w:color w:val="auto"/>
              </w:rPr>
              <w:t>2019</w:t>
            </w:r>
          </w:p>
        </w:tc>
        <w:tc>
          <w:tcPr>
            <w:tcW w:w="320" w:type="dxa"/>
            <w:vAlign w:val="bottom"/>
          </w:tcPr>
          <w:p>
            <w:pPr>
              <w:spacing w:after="0"/>
              <w:rPr>
                <w:sz w:val="18"/>
                <w:szCs w:val="18"/>
                <w:color w:val="auto"/>
              </w:rPr>
            </w:pPr>
          </w:p>
        </w:tc>
        <w:tc>
          <w:tcPr>
            <w:tcW w:w="1620" w:type="dxa"/>
            <w:vAlign w:val="bottom"/>
          </w:tcPr>
          <w:p>
            <w:pPr>
              <w:jc w:val="right"/>
              <w:ind w:right="695"/>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18"/>
                <w:szCs w:val="18"/>
                <w:color w:val="auto"/>
              </w:rPr>
            </w:pPr>
          </w:p>
        </w:tc>
        <w:tc>
          <w:tcPr>
            <w:tcW w:w="1720" w:type="dxa"/>
            <w:vAlign w:val="bottom"/>
          </w:tcPr>
          <w:p>
            <w:pPr>
              <w:jc w:val="right"/>
              <w:ind w:right="834"/>
              <w:spacing w:after="0"/>
              <w:rPr>
                <w:sz w:val="20"/>
                <w:szCs w:val="20"/>
                <w:color w:val="auto"/>
              </w:rPr>
            </w:pPr>
            <w:r>
              <w:rPr>
                <w:rFonts w:ascii="Arial" w:cs="Arial" w:eastAsia="Arial" w:hAnsi="Arial"/>
                <w:sz w:val="16"/>
                <w:szCs w:val="16"/>
                <w:b w:val="1"/>
                <w:bCs w:val="1"/>
                <w:color w:val="auto"/>
              </w:rPr>
              <w:t>Change</w:t>
            </w:r>
          </w:p>
        </w:tc>
        <w:tc>
          <w:tcPr>
            <w:tcW w:w="1680" w:type="dxa"/>
            <w:vAlign w:val="bottom"/>
          </w:tcPr>
          <w:p>
            <w:pPr>
              <w:jc w:val="right"/>
              <w:ind w:right="474"/>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20" w:type="dxa"/>
            <w:vAlign w:val="bottom"/>
            <w:gridSpan w:val="3"/>
          </w:tcPr>
          <w:p>
            <w:pPr>
              <w:jc w:val="right"/>
              <w:ind w:right="994"/>
              <w:spacing w:after="0"/>
              <w:rPr>
                <w:sz w:val="20"/>
                <w:szCs w:val="20"/>
                <w:color w:val="auto"/>
              </w:rPr>
            </w:pPr>
            <w:r>
              <w:rPr>
                <w:rFonts w:ascii="Arial" w:cs="Arial" w:eastAsia="Arial" w:hAnsi="Arial"/>
                <w:sz w:val="16"/>
                <w:szCs w:val="16"/>
                <w:b w:val="1"/>
                <w:bCs w:val="1"/>
                <w:color w:val="auto"/>
              </w:rPr>
              <w:t>(in millions, except percentages)</w:t>
            </w:r>
          </w:p>
        </w:tc>
        <w:tc>
          <w:tcPr>
            <w:tcW w:w="168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40.2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9.2</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rPr>
              <w:t>31.0</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260" w:type="dxa"/>
            <w:vAlign w:val="bottom"/>
          </w:tcPr>
          <w:p>
            <w:pPr>
              <w:spacing w:after="0"/>
              <w:rPr>
                <w:sz w:val="21"/>
                <w:szCs w:val="21"/>
                <w:color w:val="auto"/>
              </w:rPr>
            </w:pPr>
          </w:p>
        </w:tc>
        <w:tc>
          <w:tcPr>
            <w:tcW w:w="1680" w:type="dxa"/>
            <w:vAlign w:val="bottom"/>
          </w:tcPr>
          <w:p>
            <w:pPr>
              <w:jc w:val="right"/>
              <w:ind w:right="15"/>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80" w:type="dxa"/>
            <w:vAlign w:val="bottom"/>
          </w:tcPr>
          <w:p>
            <w:pPr>
              <w:spacing w:after="0"/>
              <w:rPr>
                <w:sz w:val="21"/>
                <w:szCs w:val="21"/>
                <w:color w:val="auto"/>
              </w:rPr>
            </w:pPr>
          </w:p>
        </w:tc>
      </w:tr>
    </w:tbl>
    <w:p>
      <w:pPr>
        <w:spacing w:after="0" w:line="22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Our effective tax rate was 16% for the nine months ended September 30, 2019 compared to an effective tax rate benefit of 6% for the same period last year. The provision for income taxes for the nine months ended September 30, 2019 was primarily comprised of U.S. federal and state taxes, withholding taxes and foreign taxes of $71.6 million, which were offset by excess tax benefits from stock-based compensation expense of $34.6 million. The provision for income taxes for the nine months ended September 30, 2019 included an increase in tax expense of $10.3 million for an unrecognized tax benefit related to the Ninth Circuit’s Altera decision regarding stock-based compensation expense in cost sharing arrangements. The provision for income taxes for the nine months ended September 30, 2019 included a net increase in tax expense of $2.9 million due to the settlement of foreign tax audits. This expense was offset by the release of reserves of $10.0 million on uncertain tax positions and the associated interests due to the expiration of the statute of limitations. The provision for income taxes for the nine months ended September 30, 2018 was comprised of U.S. federal and state taxes, withholding taxes and foreign taxes of $43.4 million, which were offset by excess tax benefits from stock-based compensation expense of $16.2 million. The provision for income taxes for the nine month ended September 30, 2018 was also impacted by release of reserve for uncertain tax positions including interest of $18.0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3"/>
          </w:tcPr>
          <w:p>
            <w:pPr>
              <w:jc w:val="center"/>
              <w:ind w:left="1034"/>
              <w:spacing w:after="0"/>
              <w:rPr>
                <w:sz w:val="20"/>
                <w:szCs w:val="20"/>
                <w:color w:val="auto"/>
              </w:rPr>
            </w:pPr>
            <w:r>
              <w:rPr>
                <w:rFonts w:ascii="Arial" w:cs="Arial" w:eastAsia="Arial" w:hAnsi="Arial"/>
                <w:sz w:val="16"/>
                <w:szCs w:val="16"/>
                <w:b w:val="1"/>
                <w:bCs w:val="1"/>
                <w:color w:val="auto"/>
                <w:w w:val="89"/>
              </w:rPr>
              <w:t>As of</w:t>
            </w:r>
          </w:p>
        </w:tc>
        <w:tc>
          <w:tcPr>
            <w:tcW w:w="128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1280" w:type="dxa"/>
            <w:vAlign w:val="bottom"/>
          </w:tcPr>
          <w:p>
            <w:pPr>
              <w:jc w:val="center"/>
              <w:ind w:right="133"/>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4"/>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3"/>
              <w:spacing w:after="0"/>
              <w:rPr>
                <w:sz w:val="20"/>
                <w:szCs w:val="20"/>
                <w:color w:val="auto"/>
              </w:rPr>
            </w:pPr>
            <w:r>
              <w:rPr>
                <w:rFonts w:ascii="Arial" w:cs="Arial" w:eastAsia="Arial" w:hAnsi="Arial"/>
                <w:sz w:val="16"/>
                <w:szCs w:val="16"/>
                <w:b w:val="1"/>
                <w:bCs w:val="1"/>
                <w:color w:val="auto"/>
                <w:w w:val="95"/>
              </w:rPr>
              <w:t>2018</w:t>
            </w: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4"/>
          </w:tcPr>
          <w:p>
            <w:pPr>
              <w:jc w:val="center"/>
              <w:ind w:right="53"/>
              <w:spacing w:after="0"/>
              <w:rPr>
                <w:sz w:val="20"/>
                <w:szCs w:val="20"/>
                <w:color w:val="auto"/>
              </w:rPr>
            </w:pPr>
            <w:r>
              <w:rPr>
                <w:rFonts w:ascii="Arial" w:cs="Arial" w:eastAsia="Arial" w:hAnsi="Arial"/>
                <w:sz w:val="16"/>
                <w:szCs w:val="16"/>
                <w:b w:val="1"/>
                <w:bCs w:val="1"/>
                <w:color w:val="auto"/>
                <w:w w:val="91"/>
              </w:rPr>
              <w:t>(in millions)</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1,112.4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969.0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604.2</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2,144.5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1,716.6</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1,124.3</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964.5</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508"/>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4"/>
          </w:tcPr>
          <w:p>
            <w:pPr>
              <w:jc w:val="center"/>
              <w:ind w:right="53"/>
              <w:spacing w:after="0"/>
              <w:rPr>
                <w:sz w:val="20"/>
                <w:szCs w:val="20"/>
                <w:color w:val="auto"/>
              </w:rPr>
            </w:pPr>
            <w:r>
              <w:rPr>
                <w:rFonts w:ascii="Arial" w:cs="Arial" w:eastAsia="Arial" w:hAnsi="Arial"/>
                <w:sz w:val="16"/>
                <w:szCs w:val="16"/>
                <w:b w:val="1"/>
                <w:bCs w:val="1"/>
                <w:color w:val="auto"/>
                <w:w w:val="92"/>
              </w:rPr>
              <w:t>Nine Months Ended</w:t>
            </w: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1280" w:type="dxa"/>
            <w:vAlign w:val="bottom"/>
          </w:tcPr>
          <w:p>
            <w:pPr>
              <w:jc w:val="center"/>
              <w:ind w:right="133"/>
              <w:spacing w:after="0"/>
              <w:rPr>
                <w:sz w:val="20"/>
                <w:szCs w:val="20"/>
                <w:color w:val="auto"/>
              </w:rPr>
            </w:pPr>
            <w:r>
              <w:rPr>
                <w:rFonts w:ascii="Arial" w:cs="Arial" w:eastAsia="Arial" w:hAnsi="Arial"/>
                <w:sz w:val="16"/>
                <w:szCs w:val="16"/>
                <w:b w:val="1"/>
                <w:bCs w:val="1"/>
                <w:color w:val="auto"/>
                <w:w w:val="89"/>
              </w:rPr>
              <w:t>September 30,</w:t>
            </w: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4"/>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3"/>
              <w:spacing w:after="0"/>
              <w:rPr>
                <w:sz w:val="20"/>
                <w:szCs w:val="20"/>
                <w:color w:val="auto"/>
              </w:rPr>
            </w:pPr>
            <w:r>
              <w:rPr>
                <w:rFonts w:ascii="Arial" w:cs="Arial" w:eastAsia="Arial" w:hAnsi="Arial"/>
                <w:sz w:val="16"/>
                <w:szCs w:val="16"/>
                <w:b w:val="1"/>
                <w:bCs w:val="1"/>
                <w:color w:val="auto"/>
                <w:w w:val="95"/>
              </w:rPr>
              <w:t>2018</w:t>
            </w: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4"/>
          </w:tcPr>
          <w:p>
            <w:pPr>
              <w:jc w:val="center"/>
              <w:ind w:right="53"/>
              <w:spacing w:after="0"/>
              <w:rPr>
                <w:sz w:val="20"/>
                <w:szCs w:val="20"/>
                <w:color w:val="auto"/>
              </w:rPr>
            </w:pPr>
            <w:r>
              <w:rPr>
                <w:rFonts w:ascii="Arial" w:cs="Arial" w:eastAsia="Arial" w:hAnsi="Arial"/>
                <w:sz w:val="16"/>
                <w:szCs w:val="16"/>
                <w:b w:val="1"/>
                <w:bCs w:val="1"/>
                <w:color w:val="auto"/>
                <w:w w:val="91"/>
              </w:rPr>
              <w:t>(in millions)</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458.7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358.3</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Liquidity and capital resources may be impacted by our operating activities, as well as by our stock repurchases, proceeds associated with stock option exercises, issuances of common stock under our equity incentive plans and payment of taxes in connection with the net settlement of equity awards, and real estate and other capital expenditures. In recent years, we have received significant capital resources from billings, the exercise of stock options and ESPP purchases. Additional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increases in billings may depend on a number of factors, including demand for our products and services, competition, market or industry changes, and our ability to execute. We expect proceeds from the exercise of stock options in future years to be impacted by the increased mix of restricted stock units versus stock options granted and also to vary based on our share price. We expect there to be no future proceeds from purchases under our ESPP, which was terminated in February 2019. As of September 30, 2019, $616.3 million remained available for future share repurchase under the Repurchase Program.</w:t>
      </w:r>
    </w:p>
    <w:p>
      <w:pPr>
        <w:spacing w:after="0" w:line="15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Construction of our new headquarters building started in the fourth quarter of 2018 and related spending will continue in 2019 and until project completion. We estimate 2019 spending on the project to be between $35.0 million to $45.0 million dollars.</w:t>
      </w:r>
    </w:p>
    <w:p>
      <w:pPr>
        <w:spacing w:after="0" w:line="170"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As of September 30, 2019, our cash, cash equivalents and investments of $2.14 billion were invested primarily in deposit accounts, money market funds, corporate debt securities, commercial paper, certificates of deposit and term deposits and U.S. government and agency securities. It is our investment policy to invest excess cash in a manner that preserves capital, provides liquidity and generates return without significantly increasing risk. We do not enter into investments for trading or speculative purposes.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amount of cash, cash equivalents and investments held by our international subsidiaries was $133.8 million as of September 30, 2019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$956.6 million as of December 31, 2018. The decrease in cash, cash equivalents and investments held by our international subsidiaries related to changes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international tax structure.</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believe that our existing cash and cash equivalents will be sufficient to meet our anticipated cash needs for at least the next 12 months. Our future capital requirements will depend on many factors, including our growth rate, the timing and amount of our planned share repurchases, the timing and extent of spending to support development efforts, the expansion of sales and marketing activities, the introduction of new and enhanced products and services offerings, the continuing market acceptance of our products and our investments in purchasing or leasing real estate. Historically, we have required capital principally to fund our working capital needs, share repurchases, capital expenditures and acquisition activities. In the event that additional financing is required from outside sources, we may not be able to raise it on terms acceptable to us or at all.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Cash generated by operating activities is our primary source of liquidity. It is primarily comprised of net income, as adjusted for non-cash items, and changes in operating assets and liabilities, including deferred revenue. Non-cash adjustments consist primarily of stock-based compensation, amortization of deferred contract costs, depreciation of property and equipment, amortization of intangible assets and amortization of investment premiums, net of accretion of purchase discounts.</w:t>
      </w:r>
    </w:p>
    <w:p>
      <w:pPr>
        <w:spacing w:after="0" w:line="18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operating activities during the nine months ended September 30, 2019 provided $617.6 million in cash as a result of the continued growth of our business and our ability to successfully manage our working capital. Changes in operating assets and liabilities primarily resulted from an increase in sales of our FortiGuard security subscription and FortiCare technical support services to new and existing customers, as reflected by an increase in our deferred revenue. Our total deferred revenue balance grew $258.8 million, or 15%, during the nine months ended September 30, 2019.</w:t>
      </w:r>
    </w:p>
    <w:p>
      <w:pPr>
        <w:spacing w:after="0" w:line="17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operating activities during the nine months ended September 30, 2018 provided $458.7 million in cash as a result of the continued growth of our business and our ability to successfully manage our working capital. Changes in operating assets and liabilities primarily resulted from an increase in sales of our FortiGuard security subscription and FortiCare technical support services to new and existing customers, as reflected by an increase in our deferred revenue. Our total deferred revenue balance grew $212.2 million, or 16%, during the nine months ended September 30,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changes in cash flows from investing activities primarily relate to timing of purchases, maturities and sales of investments and purchases of property and equipment. Historically, in making a lease versus purchase decision related to our larger facilities, we have considered various factors including financial metrics and the impact on our employees. In certain cases, we have elected to purchase the facility if we believed that purchasing rather than leasing is more in line with our long-term strategy. We expect to make similar decisions in the future. We may also make cash payments in connection with a future business combination.</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During the nine months ended September 30, 2019, cash used in investing activities was primarily driven by $357.7 million expended on purchases of investments, net of maturities and sales of investments, and $45.0 million spent on purchases of property and equipment.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During the nine months ended September 30, 2018, cash used for investing activities was primarily driven by $41.4 million expended on purchases of property and equipment and $6.0 million used for the acquisition of Bradford, net of cash acquired. This was partially offset by an increase in cash of $40.0 million due to maturities and sales of our investments, net of purchases.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The changes in cash flows from financing activities primarily relate to cash payments for the repurchase and retirement of common stock, proceeds from the issuance of common stock under our equity incentive plans and taxes paid related to net share settlement of equity awards.</w:t>
      </w:r>
    </w:p>
    <w:p>
      <w:pPr>
        <w:spacing w:after="0" w:line="147"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During the nine months ended September 30, 2019, cash used in financing activities was $151.8 million, primarily driven by $117.6 million used to repurchase our common stock and $34.2 million used to pay tax withholding, net of proceeds, from the issuance of common stock.</w:t>
      </w:r>
    </w:p>
    <w:p>
      <w:pPr>
        <w:spacing w:after="0" w:line="14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During the nine months ended September 30, 2018, cash used in financing activities was $93.0 million, primarily driven by $117.1 million used to repurchase our common stock and $9.5 million of payments of the debt assumed in a business combination, partially offset by $33.6 million of proceeds from the issuance of common stock, net of tax withholding.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Except for presentation changes resulting from the adoption of Accounting Standards Update (“ASU”) 2016-02—Leases (Topic 842) (“Topic 842”) during the period, there were no material changes outside the ordinary course of business during the nine months ended September 30, 2019 to the contractual obligations and commitments disclosed in Management’s Discussion and Analysis of Financial Condition and Results of Operations, set forth in Part II, Item 7, of the Form 10-K. See Note 11 of the notes to condensed consolidated financial statements included in Part I, Item 1 of this Quarterly Report on Form 10-Q for additional information regarding contractual obligations and commitments.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of September 30, 2019,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were no material changes in our market risk during the nine months ended September 30, 2019 compared to the disclosures in Part II, Item 7A of the Form 10-K.</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or 15d-15(e) under the Exchange Act as of September 30, 2019.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9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September 30, 2019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January 2019, we implemented certain internal controls over financial reporting in connection with our adoption of Topic 842. There were no other changes in our internal control over financial reporting (as defined in Rules 13a-15(f) or 15d-15(f) under the Exchange Act) during the nine months ended September 30, 2019 that have materially affected, or are reasonably likely to materially affect, our internal control over financial reporting.</w:t>
      </w:r>
    </w:p>
    <w:p>
      <w:pPr>
        <w:spacing w:after="0" w:line="39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40"/>
          </w:cols>
          <w:pgMar w:left="240" w:top="122" w:right="61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560" w:firstLine="648"/>
        <w:spacing w:after="0" w:line="259" w:lineRule="auto"/>
        <w:rPr>
          <w:sz w:val="20"/>
          <w:szCs w:val="20"/>
          <w:color w:val="auto"/>
        </w:rPr>
      </w:pPr>
      <w:r>
        <w:rPr>
          <w:rFonts w:ascii="Arial" w:cs="Arial" w:eastAsia="Arial" w:hAnsi="Arial"/>
          <w:sz w:val="18"/>
          <w:szCs w:val="18"/>
          <w:color w:val="auto"/>
        </w:rPr>
        <w:t>We are subject to various claims, complaints and legal actions that arise from time to time in the normal course of business.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likely to vary significantly and be unpredictable.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attract and retain new end-customers or sell additional products and services to our existing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demand for our products and services, which may render forecasts inaccurate;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timing of channel partner and end-customer orders, and our reliance on a concentration of shipments at the end of each quarter;</w:t>
      </w:r>
    </w:p>
    <w:p>
      <w:pPr>
        <w:spacing w:after="0" w:line="236" w:lineRule="exact"/>
        <w:rPr>
          <w:rFonts w:ascii="Arial" w:cs="Arial" w:eastAsia="Arial" w:hAnsi="Arial"/>
          <w:sz w:val="17"/>
          <w:szCs w:val="17"/>
          <w:color w:val="auto"/>
        </w:rPr>
      </w:pPr>
    </w:p>
    <w:p>
      <w:pPr>
        <w:ind w:left="1300" w:right="20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shipments, which may depend on factors such as inventory levels, logistics, manufacturing or shipping delays, our ability to ship new products on schedule and our ability to accurately forecast inventory requirements;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225"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mix of products sold and the mix of revenue between products and services, as well as the degree to which products and services are bundled and sold together for a package price;</w:t>
      </w:r>
    </w:p>
    <w:p>
      <w:pPr>
        <w:spacing w:after="0" w:line="170"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purchasing practices and budgeting cycles of our channel partners and end-customers, including the effect of the end of product refresh cycles;</w:t>
      </w:r>
    </w:p>
    <w:p>
      <w:pPr>
        <w:spacing w:after="0" w:line="170"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effectiveness of our sales organization, generally or in a particular geographic region, the time it takes to hire sales personnel and the timing of hiring, and our ability to hire and retain effective sales personnel;</w:t>
      </w:r>
    </w:p>
    <w:p>
      <w:pPr>
        <w:spacing w:after="0" w:line="170" w:lineRule="exact"/>
        <w:rPr>
          <w:rFonts w:ascii="Arial" w:cs="Arial" w:eastAsia="Arial" w:hAnsi="Arial"/>
          <w:sz w:val="18"/>
          <w:szCs w:val="18"/>
          <w:color w:val="auto"/>
        </w:rPr>
      </w:pPr>
    </w:p>
    <w:p>
      <w:pPr>
        <w:ind w:left="1300" w:hanging="644"/>
        <w:spacing w:after="0" w:line="259"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execution risk related to effectively selling to all segments of the market, including enterprise and small- and medium-sized businesses and service providers, and to selling our broad security product and services portfolio, including, among other execution risks, risks associated with the complexity and distraction in selling to all segments and increased competition and unpredictability of timing to close sales deals with large enterprises;</w:t>
      </w:r>
    </w:p>
    <w:p>
      <w:pPr>
        <w:spacing w:after="0" w:line="186"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execution risk associated with our efforts to capture the opportunities related to our identified growth drivers, such as risk associated with our ability to capitalize on cloud, IoT, OT and edge security opportunities;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2" w:right="25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seasonal buying patterns of our end-customers;</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and level of our investments in sales and marketing, and the impact of such investments on our operating expenses, operating margin and the productivity and effectiveness of execution of our sales and marketing teams;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revenue recognition for our sales;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25"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actual or perceived vulnerabilities in our products or services, and any actual or perceived breach of our network or our customers’ networks;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requirements, market needs or buying practices and patterns of our distributors, resellers or end-customers;</w:t>
      </w:r>
    </w:p>
    <w:p>
      <w:pPr>
        <w:spacing w:after="0" w:line="225" w:lineRule="exact"/>
        <w:rPr>
          <w:rFonts w:ascii="Arial" w:cs="Arial" w:eastAsia="Arial" w:hAnsi="Arial"/>
          <w:sz w:val="18"/>
          <w:szCs w:val="18"/>
          <w:color w:val="auto"/>
        </w:rPr>
      </w:pPr>
    </w:p>
    <w:p>
      <w:pPr>
        <w:ind w:left="1300" w:right="48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growth rates of the network security market in particular and other security and networking markets for which we sell products and services;</w:t>
      </w:r>
    </w:p>
    <w:p>
      <w:pPr>
        <w:spacing w:after="0" w:line="170" w:lineRule="exact"/>
        <w:rPr>
          <w:rFonts w:ascii="Arial" w:cs="Arial" w:eastAsia="Arial" w:hAnsi="Arial"/>
          <w:sz w:val="18"/>
          <w:szCs w:val="18"/>
          <w:color w:val="auto"/>
        </w:rPr>
      </w:pPr>
    </w:p>
    <w:p>
      <w:pPr>
        <w:ind w:left="1300" w:right="400" w:hanging="644"/>
        <w:spacing w:after="0" w:line="308" w:lineRule="auto"/>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timing and success of new product and service introductions or enhancements by us or our competitors, or any other change in the competitive landscape of our industry, including consolidation among our competitors, partners or end-customers;</w:t>
      </w:r>
    </w:p>
    <w:p>
      <w:pPr>
        <w:spacing w:after="0" w:line="146" w:lineRule="exact"/>
        <w:rPr>
          <w:rFonts w:ascii="Arial" w:cs="Arial" w:eastAsia="Arial" w:hAnsi="Arial"/>
          <w:sz w:val="17"/>
          <w:szCs w:val="17"/>
          <w:color w:val="auto"/>
        </w:rPr>
      </w:pPr>
    </w:p>
    <w:p>
      <w:pPr>
        <w:ind w:left="1300" w:right="10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deferral of orders from distributors, resellers or end-customers in anticipation of new products or product enhancements announced by us or our competitors;</w:t>
      </w:r>
    </w:p>
    <w:p>
      <w:pPr>
        <w:spacing w:after="0" w:line="170" w:lineRule="exact"/>
        <w:rPr>
          <w:rFonts w:ascii="Arial" w:cs="Arial" w:eastAsia="Arial" w:hAnsi="Arial"/>
          <w:sz w:val="18"/>
          <w:szCs w:val="18"/>
          <w:color w:val="auto"/>
        </w:rPr>
      </w:pPr>
    </w:p>
    <w:p>
      <w:pPr>
        <w:ind w:left="1300" w:hanging="644"/>
        <w:spacing w:after="0" w:line="312" w:lineRule="auto"/>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increases or decreases in our billings, revenue and expenses caused by 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146" w:lineRule="exact"/>
        <w:rPr>
          <w:rFonts w:ascii="Arial" w:cs="Arial" w:eastAsia="Arial" w:hAnsi="Arial"/>
          <w:sz w:val="16"/>
          <w:szCs w:val="16"/>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with existing laws and regulations that are applicable to our ability to conduct business with the public sector;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litigation, litigation fees and costs, settlements, judgments and other equitable and legal relief granted related to litigation;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cloud-based platforms on our billings, revenues, operating margins and free cash flow;</w:t>
      </w:r>
    </w:p>
    <w:p>
      <w:pPr>
        <w:spacing w:after="0" w:line="225" w:lineRule="exact"/>
        <w:rPr>
          <w:rFonts w:ascii="Arial" w:cs="Arial" w:eastAsia="Arial" w:hAnsi="Arial"/>
          <w:sz w:val="18"/>
          <w:szCs w:val="18"/>
          <w:color w:val="auto"/>
        </w:rPr>
      </w:pPr>
    </w:p>
    <w:p>
      <w:pPr>
        <w:ind w:left="1300" w:right="76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price competition and increased competitiveness in our market, including the competitive pressure caused by product refresh cycles;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both increase revenues and manage and control operating expenses in order to improve our operating margins;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customer renewal rates or attached rates for our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payment terms of services contracts or the contractual term of services contracts sold;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our estimated annual effective tax rates;</w:t>
      </w:r>
    </w:p>
    <w:p>
      <w:pPr>
        <w:spacing w:after="0" w:line="225" w:lineRule="exact"/>
        <w:rPr>
          <w:rFonts w:ascii="Arial" w:cs="Arial" w:eastAsia="Arial" w:hAnsi="Arial"/>
          <w:sz w:val="18"/>
          <w:szCs w:val="18"/>
          <w:color w:val="auto"/>
        </w:rPr>
      </w:pPr>
    </w:p>
    <w:p>
      <w:pPr>
        <w:ind w:left="1300" w:right="220" w:hanging="644"/>
        <w:spacing w:after="0" w:line="308" w:lineRule="auto"/>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122" w:right="31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increased demand for cloud-based services and the uncertainty associated with transitioning to providing such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increased expenses, unforeseen liabilities or write-downs and any impact on results of operations from any acquisition consummated;</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channel partners having insufficient financial resources to withstand changes and challenges in business conditions;</w:t>
      </w:r>
    </w:p>
    <w:p>
      <w:pPr>
        <w:spacing w:after="0" w:line="225" w:lineRule="exact"/>
        <w:rPr>
          <w:rFonts w:ascii="Arial" w:cs="Arial" w:eastAsia="Arial" w:hAnsi="Arial"/>
          <w:sz w:val="18"/>
          <w:szCs w:val="18"/>
          <w:color w:val="auto"/>
        </w:rPr>
      </w:pPr>
    </w:p>
    <w:p>
      <w:pPr>
        <w:ind w:left="1300" w:right="180" w:hanging="644"/>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 including as a result of consolidation among distributors and resellers of security solutions;</w:t>
      </w:r>
    </w:p>
    <w:p>
      <w:pPr>
        <w:spacing w:after="0" w:line="170"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70"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policy changes and uncertainty with respect to immigration laws, trade policy and tariffs, including increased tariffs applicable to countries where we manufacture our products, foreign imports and tax laws related to international commerce;</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political, economic and social instability, including geo-political instability and uncertainty, such as the impact of the United Kingdom’s exit from the European Union (“Brexit”);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conditions, both in domestic and foreign markets;</w:t>
      </w:r>
    </w:p>
    <w:p>
      <w:pPr>
        <w:spacing w:after="0" w:line="225" w:lineRule="exact"/>
        <w:rPr>
          <w:rFonts w:ascii="Arial" w:cs="Arial" w:eastAsia="Arial" w:hAnsi="Arial"/>
          <w:sz w:val="18"/>
          <w:szCs w:val="18"/>
          <w:color w:val="auto"/>
        </w:rPr>
      </w:pPr>
    </w:p>
    <w:p>
      <w:pPr>
        <w:ind w:left="1300" w:right="700" w:hanging="644"/>
        <w:spacing w:after="0" w:line="342" w:lineRule="auto"/>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future accounting pronouncements or changes in our accounting policies, such as changes in accounting for leases and stock-based compensation, as well as the significant costs that may be incurred to adopt and comply with these new pronouncements;</w:t>
      </w:r>
    </w:p>
    <w:p>
      <w:pPr>
        <w:spacing w:after="0" w:line="123" w:lineRule="exact"/>
        <w:rPr>
          <w:rFonts w:ascii="Arial" w:cs="Arial" w:eastAsia="Arial" w:hAnsi="Arial"/>
          <w:sz w:val="16"/>
          <w:szCs w:val="16"/>
          <w:color w:val="auto"/>
        </w:rPr>
      </w:pPr>
    </w:p>
    <w:p>
      <w:pPr>
        <w:ind w:left="1300" w:right="940" w:hanging="644"/>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possible impairments or acceleration of depreciation of our existing real estate due to our current real estate holdings and future development plans; and</w:t>
      </w:r>
    </w:p>
    <w:p>
      <w:pPr>
        <w:spacing w:after="0" w:line="170"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legislative or regulatory changes, such as with respect to privacy, information and cybersecurity, exports, the environment and applicable accounting standards.</w:t>
      </w:r>
    </w:p>
    <w:p>
      <w:pPr>
        <w:spacing w:after="0" w:line="17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and regional economic conditions and spending environments, geopolitical instability and uncertainty, weak economic conditions in certain regions or a reduction in information technology spending regardless of macro-economic conditions could have adverse impacts on our business, financial condition and results of operations, including longer sales cycles, lower prices for our products and services, higher default rates among our channel partners, reduced unit sales and slower or declining growth.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revenue, operating margin and free cash flow growth may slow or may not continue.</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may experience slowing growth, or a decrease, in billings, revenue, operating margin and free cash flow for a number of reasons, including a slowdown in demand for our products or services, a shift in demand from products to services, increased competition, a decrease in the growth of our overall market or softness in demand in certain geographies or industry verticals, such as the service provider industry, changes in our strategic opportunities, execution risks and our failure for any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reason to continue to capitalize on sales and growth opportunities due to other risks identified in the risk factors described in this periodic report. Our expenses as a percentage of total revenue may be higher than expected if our revenue is lower than expected and, if our investments in sales and marketing and other functional areas do not result in expected billings and revenue growth, we may experience margin declines and may not be able to sustain profitability in future periods if we fail to increase billings, revenue or deferred revenue, do not appropriately manage our cost structure and free cash flow or encounter unanticipated liabilities. Any failure by us to maintain profitability, maintain our margins and continue our billings, revenue and free cash flow growth could cause the price of our common stock to materially decline.</w:t>
      </w:r>
    </w:p>
    <w:p>
      <w:pPr>
        <w:spacing w:after="0" w:line="178"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b w:val="1"/>
          <w:bCs w:val="1"/>
          <w:i w:val="1"/>
          <w:iCs w:val="1"/>
          <w:color w:val="auto"/>
        </w:rPr>
        <w:t>We rely significantly on revenue from FortiGuard security subscription and FortiCare technical support services, and revenue from these services may decline or fluctuate. Because we recognize revenue from these services over the term of the relevant service period, downturns or upturns in sales of FortiGuard security subscription and FortiCare technical support services are not immediately reflected in full in our operating results.</w:t>
      </w:r>
    </w:p>
    <w:p>
      <w:pPr>
        <w:spacing w:after="0" w:line="14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FortiGuard security subscription and FortiCare technical support services revenue has historically accounted for a significant percentage of our total revenue. Revenue from the sale of new, or from the renewal of existing, FortiGuard security subscription and FortiCare technical support service contracts may decline and fluctuate as a result of a number of factors, including fluctuations in purchases of FortiGate appliances or our Fortinet Security Fabric products, changes in the sales mix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these arrangements. If our sales of new, or renewals of existing, FortiGuard security subscription and FortiCare technical support service contracts decline, our revenue and revenue growth may decline and our business could suffer. In addition, in the event significant customers require payment terms for FortiGuard security subscription and FortiCare technical support services in arrears or for shorter periods of time than annually, such as monthly or quarterly, this may negatively impact our billings and revenue. Furthermore, we recognize FortiGuard security subscription and FortiCare technical support services revenue monthly over the term of the relevant service period, which is typically from one to five years. As a result, much of the FortiGuard security subscription and FortiCare technical support services revenue we report each quarter is the recognition of deferred revenue from FortiGuard security subscription and FortiCare technical support services contracts entered into during previous quarters or years. Consequently, a decline in new or renewed FortiGuard security subscription and FortiCare technical support services contracts in any one quarter will not be fully reflected in revenue in that quarter but will negatively affect our revenue in future quarters. Accordingly, the effect of significant downturns in sales of new, or renewals of existing, FortiGuard security subscription and FortiCare technical support services is not reflected in full in our statements of income until future periods. Our FortiGuard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166"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including longer collection periods;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longer sales processes for larger deals, particularly during the summer months;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21" w:right="27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right="140" w:hanging="644"/>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protectionist policies and penalties, and local laws, requirements, policies and perceptions that may adversely impact a U.S.-headquartered business’s sales in certain countries outside of the United States;</w:t>
      </w:r>
    </w:p>
    <w:p>
      <w:pPr>
        <w:spacing w:after="0" w:line="170" w:lineRule="exact"/>
        <w:rPr>
          <w:rFonts w:ascii="Arial" w:cs="Arial" w:eastAsia="Arial" w:hAnsi="Arial"/>
          <w:sz w:val="18"/>
          <w:szCs w:val="18"/>
          <w:color w:val="auto"/>
        </w:rPr>
      </w:pPr>
    </w:p>
    <w:p>
      <w:pPr>
        <w:ind w:left="1300" w:right="200" w:hanging="644"/>
        <w:spacing w:after="0" w:line="259"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of complying with, and the risks, reputational damage and other costs of non-compliance with, U.S. or other foreign laws and regulations for foreign operations, including the U.S. Foreign Corrupt Practices Act, the United Kingdom Bribery Act 2010, the General Data Protection Regulation, import and export control laws, trade laws and regulations, tariffs and retaliatory measures, trade barriers and economic sanctions;</w:t>
      </w:r>
    </w:p>
    <w:p>
      <w:pPr>
        <w:spacing w:after="0" w:line="186" w:lineRule="exact"/>
        <w:rPr>
          <w:rFonts w:ascii="Arial" w:cs="Arial" w:eastAsia="Arial" w:hAnsi="Arial"/>
          <w:sz w:val="18"/>
          <w:szCs w:val="18"/>
          <w:color w:val="auto"/>
        </w:rPr>
      </w:pPr>
    </w:p>
    <w:p>
      <w:pPr>
        <w:ind w:left="1300" w:right="480" w:hanging="644"/>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70" w:lineRule="exact"/>
        <w:rPr>
          <w:rFonts w:ascii="Arial" w:cs="Arial" w:eastAsia="Arial" w:hAnsi="Arial"/>
          <w:sz w:val="18"/>
          <w:szCs w:val="18"/>
          <w:color w:val="auto"/>
        </w:rPr>
      </w:pPr>
    </w:p>
    <w:p>
      <w:pPr>
        <w:ind w:left="1300" w:right="120" w:hanging="644"/>
        <w:spacing w:after="0" w:line="259"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or sales-related arrangements, such as sales “side agreements” to allow return rights,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to effectively implement and maintain adequate internal controls to properly manage our international sales and operations;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political unrest, changes and uncertainty associated with terrorism, hostilities, war or natural disasters;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tax, tariff, employment and other laws.</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Product and service sales and employee and contractor matters may be subject to foreign governmental regulations, which vary substantially from country to country. Further, we may be unable to keep up-to-date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16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is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and there is risk as to our level of success selling to these target customers. Such sales involve unique sales skillsets, processes and structures, are often more complex and feature a longer contract term and may be at higher discount levels. We also have experienced uneven traction selling to certain government organizations and service providers and managed security service providers (“MSSPs”), and there can be no assurance that we will be successful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selling to these customers. Sales to these organizations involve risks that may not be present, or that are present to a lesser extent, with sales to smaller entities. These risks include:</w:t>
      </w:r>
    </w:p>
    <w:p>
      <w:pPr>
        <w:spacing w:after="0" w:line="170" w:lineRule="exact"/>
        <w:rPr>
          <w:sz w:val="20"/>
          <w:szCs w:val="20"/>
          <w:color w:val="auto"/>
        </w:rPr>
      </w:pPr>
    </w:p>
    <w:p>
      <w:pPr>
        <w:ind w:left="1300" w:right="44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competition from competitors that traditionally target large and medium-sized businesses, service providers and government organizations and that may already have purchase commitments from those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25" w:lineRule="exact"/>
        <w:rPr>
          <w:rFonts w:ascii="Arial" w:cs="Arial" w:eastAsia="Arial" w:hAnsi="Arial"/>
          <w:sz w:val="18"/>
          <w:szCs w:val="18"/>
          <w:color w:val="auto"/>
        </w:rPr>
      </w:pPr>
    </w:p>
    <w:p>
      <w:pPr>
        <w:ind w:left="1300" w:right="320" w:hanging="644"/>
        <w:spacing w:after="0" w:line="264"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unanticipated changes in the capital resources or purchasing behavior of large end-customers, including changes in the volume and frequency of their purchases and changes in the mix of products and services, willingness to change to cloud delivery model and related payment terms;</w:t>
      </w:r>
    </w:p>
    <w:p>
      <w:pPr>
        <w:spacing w:after="0" w:line="181"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uncertainty as to timing to close large deals and any delays in closing those deals;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longer ramp-up periods for enterprise sales personnel as compared to other sales personnel.</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Large and medium-sized businesses, service providers and MSSPs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purchases by large and medium-sized businesses, service providers and government organizations are frequently subject to budget constraints, multiple approvals and unplanned administrative, processing and other delays. Furthermore, service providers and MSSPs represent our largest industry vertical and consolidation or continued changes in buying behavior by larger customers within this industry could negatively impact our business. Large and medium-sized businesses, service providers and MSSPs and government organizations typically have longer implementation cycles, require greater product functionality and scalability, expect a broader range of services, including design, implementation and post go-live services, demand that vendors take on a larger share of risks, require acceptance provisions that can lead to a delay in revenue recognition and expect greater payment flexibility from vendors. In addition, large and medium-sized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Managing our inventory is complex.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Furthermore, if the time required to manufacture or ship certain products increases for any reason, inventory shortfalls could result. Management of our inventory is further complicated by the significant number of different products and models that we sell which may impact our billings, revenue, margins and free cash flow. Mismanagement of our inventory, whether due to imprecise forecasting, employee errors or malfeasance, inaccurate information or otherwise, may adversely affect our results of operations.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Inventory management remains an area of focus as we balance the need to maintain inventory levels that are sufficient to ensure competitive lead times against the risk of inventory obsolescence because of rapidly changing technology, product transitions, customer requirements or excess inventory levels. If we ultimately determine that we have excess inventory, we may have to reduce our prices and write-down inventory, which in turn could result in lower gross margins. Alternatively, insufficient inventory levels may lead to shortages that result in delayed billings and revenue or loss of sales opportunities altogether as potential end-customers turn to competitors’ products that are readily available. For example, we have in the past experienced inventory shortages and excesses due to the variance in demand for certain products from forecasted amounts. In addition, for those channel partners that have rights of return, inventory held by such channel partners affects our results of operations. Our inventory management systems and related supply chain visibility tools may be inadequate to enable us to effectively manage inventory. If we are unable to effectively manage our inventory and that of our channel partners, our results of operations could be adversely affected.</w:t>
      </w:r>
    </w:p>
    <w:p>
      <w:pPr>
        <w:spacing w:after="0" w:line="18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 our Co-Founder, President and Chief Technology Officer, or of any of our senior sales leaders or functional area leaders, could significantly delay or prevent the achievement of our development and strategic objectives. The loss of the services or the distraction of our senior management for any reason could adversely affect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future success depends, in part, on our ability to continue to attract and retain highly skilled personnel. The loss of the services of any of our key personnel, the inability to attract or retain qualified personnel, any failure to have in place and execute an effective succession plan for key executives or delays in hiring required personnel, particularly in engineering, sales and marketing,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w:t>
      </w:r>
    </w:p>
    <w:p>
      <w:pPr>
        <w:spacing w:after="0" w:line="19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Competition for highly skilled personnel is frequently intense, especially for qualified sales, support and engineering employees in network security and especially in the locations where we have a substantial presence and need for highly skilled personnel, such as the San Francisco Bay Area and Vancouver, Canada.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 Our inability to hire properly qualified and effective sales, support and engineering employees could harm our growth and our ability to effectively support growth.</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do not increase the effectiveness of our sales organization, we may have difficulty adding new end-customers or increasing sales to our existing end-customers and our business may be adversely affected.</w:t>
      </w:r>
    </w:p>
    <w:p>
      <w:pPr>
        <w:spacing w:after="0" w:line="170"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Although we have a channel sales model, sales in our industry are complex and members of our sales organization often engage in direct interaction with our prospective end-customers, particularly for larger deals involving larger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including experienced enterprise sales employees and others. Our ability to grow our revenue depends, in large part, on our success in recruiting, training and retaining sufficient numbers of sales personnel to support our growth and on the effectiveness of those personnel in selling successfully in different contexts each of which has its own different complexities, approaches and competitive landscapes, such as managing and growing the channel business for sales to small businesses and more actively selling to the end-customer for sales to larger organizations. New hires require substantial training and may take significant time before they achieve full productivity. Our recent hires and planned hires may not become productive as quickly as we expect, and we may be unable to hire or retain sufficient numbers of qualified individuals in the markets where we do business or plan to do business.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will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not increase at anticipated levels and our ability to achieve long-term projections may be negatively impacted. If we are unable to hire and train sufficient numbers of effective sales personnel, or the sales personnel are not successful in obtaining new end-customers or increasing sales to our existing customer base, our business, operating results and prospects will be adversely affected. If we do not hire properly qualified and effective sales employees and organize our sales team effectively to capture the opportunities in the various customer segments we are targeting, our growth and ability to effectively support growth would be harmed.</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sales prices of our products and services may decrease, which may reduce our gross profits and operating margin, and which may adversely impact our financial results and the trading price of our common stock.</w:t>
      </w:r>
    </w:p>
    <w:p>
      <w:pPr>
        <w:spacing w:after="0" w:line="170"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sales prices for our products and services may decline for a variety of reasons or our product mix may change, resulting in lower growth and margins based on a number of factors, including competitive pricing pressures, discounts or promotional programs we offer, a change in our mix of products and services and anticipation of the introduction of new products and services.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w:t>
      </w:r>
    </w:p>
    <w:p>
      <w:pPr>
        <w:spacing w:after="0" w:line="169" w:lineRule="exact"/>
        <w:rPr>
          <w:sz w:val="20"/>
          <w:szCs w:val="20"/>
          <w:color w:val="auto"/>
        </w:rPr>
      </w:pPr>
    </w:p>
    <w:p>
      <w:pPr>
        <w:jc w:val="both"/>
        <w:ind w:right="420"/>
        <w:spacing w:after="0" w:line="327" w:lineRule="auto"/>
        <w:rPr>
          <w:sz w:val="20"/>
          <w:szCs w:val="20"/>
          <w:color w:val="auto"/>
        </w:rPr>
      </w:pPr>
      <w:r>
        <w:rPr>
          <w:rFonts w:ascii="Arial" w:cs="Arial" w:eastAsia="Arial" w:hAnsi="Arial"/>
          <w:sz w:val="15"/>
          <w:szCs w:val="15"/>
          <w:b w:val="1"/>
          <w:bCs w:val="1"/>
          <w:i w:val="1"/>
          <w:iCs w:val="1"/>
          <w:color w:val="auto"/>
        </w:rPr>
        <w:t>If our internal enterprise IT networks, on which we conduct internal business and interface externally, our operational networks, through which we connect to customer systems and provide services, or our research and development networks, our back-end labs and cloud stacks through which we research and develop products and services, are compromised, public perception of our products and services will be harmed, our customers may be breached and harmed, we may become subject to liability, and our business, operating results and stock price may be adversely impacted.</w:t>
      </w:r>
    </w:p>
    <w:p>
      <w:pPr>
        <w:spacing w:after="0" w:line="140"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Our success depends on the market’s confidence in our ability to provide effective network security protection. Despite our efforts and processes to prevent breaches of our internal network system and website, we are still vulnerable to computer viruses, break-ins, phishing attacks, attempts to overload our servers with denial-of-service and other cyber-attacks and similar disruptions from unauthorized access to our internal network system or our website. Our security measures may also be breached due to employee error, malfeasance or otherwise, which breaches may be more difficult to detect than outsider threats, and the existing programs and trainings we have in place to prevent such insider threats may not be effective or sufficient. Third parties may also attempt to fraudulently induce our employees to transfer funds or disclose information in order to gain access to our network and confidential information. Third parties may also send our customers or others malware or malicious emails that falsely indicate that we are the source, potentially causing lost confidence in us and reputational harm. We cannot guarantee that the measures we have taken to protect our network and website will provide absolute security. Moreover, because we provide network security products, we may be a more attractive target for attacks by computer hackers and any security breaches and other security incidents involving us may result in more harm to our reputation and brand than companies that do not sell network security solutions. Hackers and malicious parties may be able to develop and deploy viruses, worms, ransomware and other malicious software programs that attack our products and customers, that impersonate our update servers in an effort to access customer networks and negatively impact customers, or otherwise exploit any security vulnerabilities of our products, or attempt to fraudulently induce our employees, customers or others to disclose passwords or other sensitive information or unwittingly provide access to our internal network system or data. For example, we previously announced that in the second quarter of 2019, we discovered that an unauthorized party targeted us using sophisticated techniques, such as stealing technical data in order to both impersonate our firewall update servers and possibly attempt other attack methodologies, in an effort to try to gain access to certain of our customers’ systems. We have substantially completed our investigation of this incident and we do not currently believe that it had a material impact on our business, including our customers. We are currently not aware of any claims arising from this matter. While in general we take numerous measures and implement multiple layers of security to protect our network and our customers’ networks, and, in this particular case, we took immediate additional action to protect our customers, no security company can guaranty that its security products and services will prevent all threats, and we cannot be sure that third parties have not been, or will not in the future be, successful in improperly accessing our system and our customers’ systems, which could negatively impact us or our customers. An actual or perceived breach, or any other actual or perceived data security incident, that involves our network, systems or website and/or our customers’ network, systems or websites, including the specific matter that is discussed above, could adversely affect the market perception of our products and services and investor confidence in our company. Any breach of our network system or</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2" w:right="25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website could impair our ability to operate our business, including our ability to provide FortiGuard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 system or our website could have an adverse effect on our business, operating results and stock price.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concentration of shipments at the end of the quarter could cause our billings and revenue to fall below expected levels.</w:t>
      </w:r>
    </w:p>
    <w:p>
      <w:pPr>
        <w:spacing w:after="0" w:line="23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We implemented a cloud-based quoting tool to help provide our sales team with the ability to have faster quote generation, reduce quote errors and increase sales productivity. Our ability to integrate the data from this tool into our order processing may cause order processing delays that could have an effect on our financial results. If expected orders at the end of any quarter are delayed for any reason or our ability to fulfill orders at the end of the quarter is hindered for any reason, including the failure of anticipated purchase orders to materialize, our logistics partners’ inability to ship products prior to quarter-end to fulfill purchase orders received near the end of the quarter, our failure to accurately forecast our inventory requirements and to appropriately manage inventory to meet demand, our inability to release new products on schedule, any failure of our systems related to order review and processing, any delays in shipments due to trade compliance requirements, labor disputes or logistics changes at shipping ports or otherwise, our billings and revenue for that quarter could fall below our expectations or those of securities analysts and investors, resulting in a decline in our stock price.</w:t>
      </w:r>
    </w:p>
    <w:p>
      <w:pPr>
        <w:spacing w:after="0" w:line="16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Increased market awareness of our capabilities and products and increased lead generation are essential to our continued growth and our success in all of our markets, particularly for the large businesses, service provider and government organization market. We have historically had relatively low spending on marketing activities. While we have increased our investments in sales and marketing, it is not clear that these investments will continue to result in increased revenue. If our investments in additional sales personnel or our marketing programs are not successful in continuing to create market awareness of our company and products or increasing lead generation, or if we experience turnover and disruption in our sales and marketing teams, we will not be able to achieve sustained growth, and our business, financial condition and results of operations will be adversely affected.</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We rely on third-party channel partners for substantially all of our revenue. If our partners fail to perform, our ability to sell our products and services will be limited, and if we fail to optimize our channel partner model going forward, our operating results will be harmed. Additionally, a small number of distributors represents a large percentage of our revenue and gross accounts receivable, and one distributor accounted for 32% of our total net accounts receivable as of September 30, 2019.</w:t>
      </w:r>
    </w:p>
    <w:p>
      <w:pPr>
        <w:spacing w:after="0" w:line="18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 significant portion of our sales is generated through a limited number of distributors, and substantially all of our revenue is from sales by our channel partners, including distributors and resellers. We depend on our channel partners to generate a significant portion of our sales opportunities and to manage our sales process. To the extent our channel partners are unsuccessful in selling our products, or if we are unable to enter into arrangements with and retain a sufficient number of high-quality channel partners in each of the regions in which we sell products, we are unable to keep them motivated to sell our products, or our channel partners shift focus to other vendors and/or our competitors, our ability to sell our products and operating results will be harmed. The termination of our relationship with any significant channel partner may adversely impact our sales and operating results.</w:t>
      </w:r>
    </w:p>
    <w:p>
      <w:pPr>
        <w:spacing w:after="0" w:line="16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provide sales channel partners with specific programs to assist them in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Moreover, many of our channel partners are privately held, and we may not have sufficient information to assess their financial condition. If our channel partners’ financial condition or operations weaken it could negatively impact their ability to sell our product and services. Our channel partners may also market, sell and support products and services that are competitive with ours, and may devote more resources to the marketing, sales and support of such products, or may decide to cease selling our products and services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2" w:right="25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altogether in favor of a competitor’s products and services.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w:t>
      </w:r>
    </w:p>
    <w:p>
      <w:pPr>
        <w:spacing w:after="0" w:line="17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addition, a small number of channel partners represents a large percentage of our revenue and gross accounts receivable. We are exposed to the credit and liquidity risk of some of our channel partners and to credit exposure in weakened markets, which could result in material losses. Our dependence on a limited number of key channel partners means that if our sales, revenue and operating results may be harmed by the inability of these key channel partners to successfully sell our products and services, or if any of these key channel partners is unable or unwilling to pay us, terminates its relationship with us or goes out of business. Although we have programs in place that are designed to monitor and mitigate credit and liquidity risks, we cannot guarantee these programs will be effective in reducing our credit risks. If we are unable to adequately control these risks, our business, operating results, and financial condition could be harmed. If channel partners fail to pay us under the terms of our agreements or we are otherwise unable to collect on our accounts receivable from these channel partners, we may be adversely affected both from the inability to collect amounts due and the cost of enforcing the terms of our contracts, including litigation. Our channel partners may seek bankruptcy protection or other similar relief and fail to pay amounts due to us, or pay those amounts more slowly, either of which could adversely affect our operating results, financial position, and cash flow. We may be further impacted by consolidation of our existing channel partners. In such instances, we may experience 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w:t>
      </w:r>
    </w:p>
    <w:p>
      <w:pPr>
        <w:spacing w:after="0" w:line="172"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For example, in July 2017, Exclusive Networks Group (“Exclusive”), which distributes our solutions to a large group of resellers and end-customers, acquired Fine Tec U.S. Since the acquisition of Fine Tec U.S., Exclusive’s business with us has increased and may continue to increase in the future.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Exclusive accounted for 32% of our total net accounts receivable as of September 30, 2019. Ingram Micro, Inc. (“Ingram Micro”), which distributed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our solutions to a large group of resellers and end-customers accounted for 11% of our total net accounts receivable as of September 30, 2019.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ended September 30, 2019, Exclusive and Ingram Micro accounted for 30% and 11% of our total revenue, respectively. During the nine months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ended September 30, 2019, Exclusive and Ingram Micro accounted for 31% and 11% of our total revenue, respectively. During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Exclusive and Ingram Micro accounted for 29% and 11% of our total revenue, respectively. During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2018, Exclusive and Ingram Micro, accounted for 29% and 10% of our total revenue, respectively. In addition to other risks associated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concentration of accounts receivable and revenue from these distributors, Exclusive is a private entity and we may not have sufficient information to assess 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condition and, accordingly, if Exclusive were to experience financial difficulties, we might not have advance notice.</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1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detect or prevent a security breach or the misuse of our products could harm our reputation and divert resources.</w:t>
      </w:r>
    </w:p>
    <w:p>
      <w:pPr>
        <w:spacing w:after="0" w:line="170"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Because our products and services are complex, they have contained and may contain defects or errors that are not detected until after their commercial release and deployment by our customers. Defects or vulnerabilities may impede or block network traffic, cause our products or services to be vulnerable to electronic break-ins or cause them to fail to help secure networks. We are also susceptible to errors, defects, vulnerabilities or attacks that may arise at, or be inserted into our products in, different stages in our supply chain, or manufacturing processes, and which are out of our control. Attacks may target specific unidentified or unresolved vulnerabilities that exist or arrive only in the supply chain, making these attacks virtually impossible to anticipate and difficult to defend against. Different customers deploy and use our products in different ways, and certain deployments and usages may subject our products to adverse conditions that may negatively impact the effectiveness and useful lifetime of our products. Our networks and products, including cloud-based technology, could be targeted by attacks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specifically designed to disrupt our business and harm our reputation. We cannot ensure that our products will prevent all security threats. Because the techniques used by computer hackers to access or sabotage networks change frequently and generally are not recognized until launched against a target, we may be unable to anticipate these techniques. In addition, defects or errors in our FortiGuard security subscription or FortiCare updates or our FortiGate appliances and operating systems could result in a failure of our FortiGuard security subscription services to effectively update end-customers’ FortiGate appliances and cloud-based products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17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An actual, possible or perceived security breach or infection of the network of one of our end-customers, regardless of whether the breach is attributable to the failure of our products or services to prevent the security breach, could adversely affect the market’s perception of our security products and services and, in some instances, subject us to potential liability that is not contractually limited.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 party. Any actual, possible or perceived defects, errors or vulnerabilities in our products, or misuse of our products, could result in:</w:t>
      </w:r>
    </w:p>
    <w:p>
      <w:pPr>
        <w:spacing w:after="0" w:line="192" w:lineRule="exact"/>
        <w:rPr>
          <w:sz w:val="20"/>
          <w:szCs w:val="20"/>
          <w:color w:val="auto"/>
        </w:rPr>
      </w:pPr>
    </w:p>
    <w:p>
      <w:pPr>
        <w:ind w:left="1300" w:right="80" w:hanging="644"/>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expenditure of significant financial and product development resources in efforts to analyze, correct, eliminate or work 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negative publicity and harm to our reputation; and</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 and, in some instances, subject us to potential liability that is not contractually limited.</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do not appropriately manage any future growth, including through the expansion of our real estate facilities, or are unable to improve our systems, processes and controls, our operating results will be negatively affected.</w:t>
      </w:r>
    </w:p>
    <w:p>
      <w:pPr>
        <w:spacing w:after="0" w:line="184"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We rely heavily on information technology to help manage critical functions such as order configuration, pricing and quoting, revenue recognition, financial forecasts, inventory and supply chain management and trade compliance reviews. In addition, we have been slow to adopt and implement certain automated functions, which could have a negative impact on our business. For example, a large part of our order processing relies on manual data entry of customer purchase orders received through email and, to a lesser extent, through electronic data interchange from our customers. Due to the use of manual processes and the fact that we may receive a large amount of our orders in the last few weeks of any given quarter, an interruption in our email service or other systems could result in delayed order fulfillment and decreased billings and revenue for that quarter.</w:t>
      </w:r>
    </w:p>
    <w:p>
      <w:pPr>
        <w:spacing w:after="0" w:line="15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To manage any future growth effectively, we must continue to improve and expand our information technology and financial, operating, security and administrative systems and controls, and our business continuity and disaster recovery plans and processes. We must also continue to manage headcount, capital and processes in an efficient manner. We may not be able to successfully implement requisite improvements to these systems, controls and processes, such as system capacity, access, security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timely and reliable reports on our financial and operating results and could impact the effectiveness of our internal control over financial reporting.</w:t>
      </w:r>
    </w:p>
    <w:p>
      <w:pPr>
        <w:spacing w:after="0" w:line="23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 addition, our systems, processes and controls may not prevent or detect all errors, omissions, malfeasance or fraud, such as corruption and improper “side agreements” that may impact revenue recognition or result in financial liability.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ensure appropriate systems, processes and controls and to manage any future growth effectively could result in increased costs and harm our reputation and results of operations.</w:t>
      </w:r>
    </w:p>
    <w:p>
      <w:pPr>
        <w:spacing w:after="0" w:line="173" w:lineRule="exact"/>
        <w:rPr>
          <w:sz w:val="20"/>
          <w:szCs w:val="20"/>
          <w:color w:val="auto"/>
        </w:rPr>
      </w:pPr>
    </w:p>
    <w:p>
      <w:pPr>
        <w:ind w:right="320" w:firstLine="648"/>
        <w:spacing w:after="0" w:line="273" w:lineRule="auto"/>
        <w:rPr>
          <w:sz w:val="20"/>
          <w:szCs w:val="20"/>
          <w:color w:val="auto"/>
        </w:rPr>
      </w:pPr>
      <w:r>
        <w:rPr>
          <w:rFonts w:ascii="Arial" w:cs="Arial" w:eastAsia="Arial" w:hAnsi="Arial"/>
          <w:sz w:val="17"/>
          <w:szCs w:val="17"/>
          <w:color w:val="auto"/>
        </w:rPr>
        <w:t>We have expanded our office real estate holdings to meet our projected growing need for office space. We have started construction on a second building adjacent to our headquarters as we expand our campus in Sunnyvale, California.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and, risks related to construction. Future changes in growth or fluctuations in cash flow may also negatively impact our ability to pay for these projects or free cash flow. Additionally, inaccuracies in our projected capital expenditures could negatively impact our business, operating results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maintaining and expanding our internal business management systems.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maintenance of our internal business management systems, such as our Enterprise Resource Planning (“ERP”) and Customer Relationship Management (“CRM”) systems, has required, and will continue to require, the investment of significant financial and human resources. In addition, we may choose to upgrade or expand the functionality of our internal systems, leading to additional costs. We may also discover deficiencies in our design or maintenance of our internal systems that could adversely affect our ability to forecast orders,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any of our internal systems does not operate as intended, the effectiveness of our internal control over financial reporting could be adversely affected or our ability to assess it adequately could be delayed. Further, we may expand the scope of our ERP and CRM systems. Our operating results may be adversely affected if these upgrades or expansions are delayed or if the systems do not function as intended or are not sufficient to meet our operating requirements.</w:t>
      </w:r>
    </w:p>
    <w:p>
      <w:pPr>
        <w:spacing w:after="0" w:line="16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Operations—Critical Accounting Policies and Estimates” in this Quarterly Report on Form 10-Q, the results of which form the basis for making judgments about the carrying values of assets and liabilities that are not readily apparent from other sources. Additionally, in connection with adopting and implementing the new revenue standard, management will continue to make judgments and assumptions based on our interpretation of the new standard. The new revenue standard is principles based and interpretation of those principles may vary from company to company based on their unique circumstances. It is possible that interpretation, industry practice and guidance may evolve.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deferred contract costs and commission expense, valuation of inventory, accounting for business combination, contingent liabilities and accounting for income taxes. For example, a change in our sales compensation plan may materially impact our accounting for deferred contract costs, which would impact our commission expense and therefore our future operating results.</w:t>
      </w:r>
    </w:p>
    <w:p>
      <w:pPr>
        <w:spacing w:after="0" w:line="17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4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2" w:right="25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 and free cash flow.</w:t>
      </w:r>
    </w:p>
    <w:p>
      <w:pPr>
        <w:spacing w:after="0" w:line="18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outsource the manufacturing of our security appliance products to contract manufacturing partners and original design manufacturing partners including manufacturers with facilities located in Taiwan, China and other countries outside the United States such as Micro-Star International Co., Wistron Corporation, Senao Networks, Inc., ADLINK Technology, Inc. and IBASE Technology, Inc. Our reliance on our third-party manufacturers in Asia and elsewhere reduces our control over the manufacturing process, exposing us to risks, including reduced control over quality assurance, costs, supply and timing and possible tariffs.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7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8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proprietary SPU, which is the key to the performance of our appliances, is built by contract manufacturers including Renesas and Toshiba. These contract manufacturers use foundries operated by UMC, TSMC or Renesas on a purchase-order basis, and these foundries do not guarantee their capacity and could delay orders or increase their pricing. Accordingly, the foundries are not obligated to continue to fulfill our supply requirements, and due to the long lead time that a new foundry would require, we could suffer temporary inventory shortages of our SPU as well as increased costs. In addition to our proprietary SPU, we also purchase off-the-shelf ASICs or integrated circuits from vendors for which we have experienced, and may continue to experience, long lead times. Our suppliers may also prioritize orders by other companies that order higher volumes or more profitable products. If any of these manufacturers materially delays its supply of ASICs or specific product models to us, or requires us to find an alternate supplier and we are not able to do so on a timely and reasonable basis, or if these foundries materially increase their prices for fabrication of our ASICs, our business would be harmed.</w:t>
      </w:r>
    </w:p>
    <w:p>
      <w:pPr>
        <w:spacing w:after="0" w:line="166"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which would make it more difficult to obtain such materials in sufficient quantities or at competitive prices. We may also encounter customers who require that all of</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components of our products be certified as conflict-free. If we are not able to meet customer requirements, such customers may choose to not purchase our products, which could impact our sales and the value of portions of our inventory.</w:t>
      </w:r>
    </w:p>
    <w:p>
      <w:pPr>
        <w:spacing w:after="0" w:line="170"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spacing w:after="0" w:line="14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discontinue or modify components used in our products. We have in the past experienced, and are currently experiencing, shortages and long lead times for certain components. Certain of our limited source components for particular appliances and suppliers of those components include: specific types of CPUs from Intel, network chips from Broadcom, Marvell and Intel, and memory devices from Intel, ADATA, Toshiba, Samsung and Western Digital. We also may face shortages in the supply of the capacitors and resistors that are used in the manufacturing of our products.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78"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other factors. Our reliance on a limited number of suppliers involves several additional risks, including:</w:t>
      </w:r>
    </w:p>
    <w:p>
      <w:pPr>
        <w:spacing w:after="0" w:line="181"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infringement or misappropriation of our intellectual property;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in component quality.</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A significant portion of our operating expenses are incurred outside the United States. These expenses are denominated in foreign currencies and are subject to fluctuations due to changes in foreign currency exchange rates, particularly changes in the Euro and Canadian dollar and, to a lesser extent, the British pound. Additionally, fluctuations in the exchange rate of the Canadian dollar may negatively impact our development plans in Burnaby, Canada. While we are not currently engaged in material hedging activities, we have been hedging currency exposures relating to certain balance sheet</w:t>
      </w:r>
    </w:p>
    <w:p>
      <w:pPr>
        <w:spacing w:after="0" w:line="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accounts through the use of forward exchange contracts. If we stop hedging against any of these risks or if our attempts to hedge against these currency exposures are not successful, our financial condition and results of operations could be adversely affected. Our sales contracts are primarily denominated in U.S. dollars and therefore, while substantially all of our revenue is not subject to foreign currency risk, it does not serve as a hedge to our foreign currency-denominated operating expenses. In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addition, a strengthening of the U.S. dollar may increase the real cost of our products to our customers outside of the United States, which may also adversely affect our financial condition and results of operations.</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end-customers in the public sector or negatively impact our ability to contract with the public sector.</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business is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16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For example, with respect to data privacy and protection, the General Data Protection Regulation (the “GDPR”), which became effective in May 2018 and superseded current EU data protection regulations, imposes stringent data handling requirements on companies that receive or process personal data of residents of the EU. Non-compliance with the GDPR could result in significant penalties, including data protection audits and heavy fines. Compliance with, and the other burdens imposed by, the GDPR may limit our ability to operate or expand our business in Europe and could adversely impact our operating results, as could delays or shortcomings in the implementation of our GDPR compliance program.</w:t>
      </w:r>
    </w:p>
    <w:p>
      <w:pPr>
        <w:spacing w:after="0" w:line="173"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Additionally, we may be subject to other legal regimes throughout the world governing data handling, protection and privacy. For example, in June 2018, California passed the California Consumer Privacy Act (the “CCPA”), which provides new data privacy rights for consumers and new operational requirements for companies and will become effective in 2020. Fines for noncompliance may be up to $7,500 per violation. The costs of compliance with, and other burdens imposed by, the GDPR and CCPA may limit the use and adoption of our products and services and could have an adverse impact on our business.</w:t>
      </w:r>
    </w:p>
    <w:p>
      <w:pPr>
        <w:spacing w:after="0" w:line="18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Selling our solutions to the U.S. government, whether directly or through channel partners, also subjects us to certain regulatory and contractual requirements and risks. Failure to comply with these requirements by either us or our channel partners could subject us to investigations, fines, suspension or debarment from doing business with the U.S. government or one of its divisions, and other penalties and damages, which could have an adverse effect on our business, operating results, financial condition and prospects. As an example, the U.S. Department of Justice (the “DOJ”), on its own behalf or on behalf of the General Services Administration (the “GSA”), as well as individuals, has in the past pursued claims against, reached financial settlements with or otherwise obtained damages from companies that sell electronic equipment and from IT vendors under the False Claims Act and other statutes related to pricing, discount practices and compliance with laws related to sales to the federal government, such as the Trade Agreements Act (the “TAA”). The DOJ continues to actively pursue such claims. Any violations of regulatory and contractual requirements could result in us being suspended or debarred from future government contracting. Any of these outcomes could have an adverse effect on our revenue, operating results, financial condition and prospects.</w:t>
      </w:r>
    </w:p>
    <w:p>
      <w:pPr>
        <w:spacing w:after="0" w:line="16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These laws and regulations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intellectual property and temporary suspension or permanent debarment from government contracting. Any such damages, penalties, disruptions or limitations in our ability to do business with the public sector could have an adverse effect on our business and operating results.</w:t>
      </w:r>
    </w:p>
    <w:p>
      <w:pPr>
        <w:spacing w:after="0" w:line="1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Global economic uncertainty and weakening product demand caused by political instability and conflict could adversely affect our business and financial performance.</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Economic uncertainty in various global markets caused by political instability and conflict has resulted, and may continue to result, in weakened demand for our products and services and difficulty for us in forecasting our financial results and managing inventory levels. Political developments impacting government spending and international trade, including government shutdowns in the United States, continued uncertainty surrounding the United Kingdom’s departure from the EU and trade disputes and tariffs, may negatively impact markets and cause weaker macroeconomic conditions. The effects of these events may continue due to potential additional U.S. government shutdowns, instability in the United Kingdom and the EU as negotiations for the terms of Brexit continue, with the ultimate outcome still uncertain, and the United States’ ongoing</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122" w:right="27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trade disputes with China and other countries. The continuing effect of any or all of these events could adversely impact demand for our products, harm our operations and weaken our financial results.</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restrictions on sales, and could impair our ability to compete in international markets.</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Because we incorporate encryption technology into our products, certain of our products are subject to U.S. export controls and may be exported outside the United States only with the required export license or through an export license exception, and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(e.g.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17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80" w:lineRule="exact"/>
        <w:rPr>
          <w:sz w:val="20"/>
          <w:szCs w:val="20"/>
          <w:color w:val="auto"/>
        </w:rPr>
      </w:pPr>
    </w:p>
    <w:p>
      <w:pPr>
        <w:ind w:right="260"/>
        <w:spacing w:after="0" w:line="381" w:lineRule="auto"/>
        <w:rPr>
          <w:sz w:val="20"/>
          <w:szCs w:val="20"/>
          <w:color w:val="auto"/>
        </w:rPr>
      </w:pPr>
      <w:r>
        <w:rPr>
          <w:rFonts w:ascii="Arial" w:cs="Arial" w:eastAsia="Arial" w:hAnsi="Arial"/>
          <w:sz w:val="15"/>
          <w:szCs w:val="15"/>
          <w:b w:val="1"/>
          <w:bCs w:val="1"/>
          <w:i w:val="1"/>
          <w:iCs w:val="1"/>
          <w:color w:val="auto"/>
        </w:rPr>
        <w:t>Efforts to withdraw from or materially modify international trade agreements, to change tax provisions related to global manufacturing and sales or to impose new tariffs, economic sanctions or related legislation, any of which could adversely affect our financial condition and results of operations.</w:t>
      </w:r>
    </w:p>
    <w:p>
      <w:pPr>
        <w:spacing w:after="0" w:line="10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business benefits directly and indirectly from free trade agreements, and we also rely on various U.S. corporate tax provisions related to international commerce, as we develop, market and sell our products and services globally. Efforts to withdraw from or materially modify international trade agreements, or to change corporate tax policy related to international commerce, could adversely affect our financial condition and results of operations as could the continuing uncertainty regarding whether such actions will be taken.</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Moreover, efforts to implement changes related to export or import regulations (including the imposition of new border taxes or tariffs on foreign imports), trade barriers, economic sanctions and other related policies could harm our results of operations. For example, during 2018 and 2019 the United States has imposed additional import tariffs on certain goods from different countries and on most of Chinese imported goods. As a result, China and other countries have in turn imposed retaliatory tariffs on goods exported from the United States and both the United States and foreign countries have threatened to alter or leave current trade agreements. While we do not currently expect these tariffs to have a significant effect on our raw material and product import costs, if the United States expands increased tariffs, or retaliatory trade measures are taken by China or other countries in response to the tariffs, the cost of our products could increase, our operations could be disrupted or we could be required to raise our prices, which may result in the loss of customers and harm to our reputation and operating performance.</w:t>
      </w:r>
    </w:p>
    <w:p>
      <w:pPr>
        <w:spacing w:after="0" w:line="179"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Any modification in these areas, any shift in the enforcement or scope of existing regulations or any change in the countries, governments,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24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subject to various environmental laws and regulations, including laws governing the hazardous material content of our products, laws relating to our real property and future expansion plans and laws concerning the recycling of electrical and electronic equipment. The laws and regulations to which we are subject include the EU RoHS Directive, EU REACH (Registration, Evaluation, Authorization and Restriction of Chemicals) and the EU Waste Electrical and Electronic Equipment Directive (the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9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EU RoHS Directive and the similar laws of other jurisdictions ban or restrict the presence of certain hazardous substances such as lead, mercury, cadmium, hexavalent chromium and certain fire-retardant plastic additives in electrical equipment, including our products. We have incurred costs to comply with these laws, including research and development costs, costs associated with assuring the supply of compliant components and costs associated with writing off scrapped noncompliant inventory. We expect to continue to incur costs related to environmental laws and regulations in the future. With respect to the EU RoHS, we and our competitors rely on exemptions for lead and other substances in network infrastructure equipment. It is possible one or more of these use exemptions will be revoked in the future. Additionally, although some of the EU RoHS exemptions have been extended, it is possible that some of these exemptions may expire in the future without being extended. If this exemption is revoked or expires without extension,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6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5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 organizations, which are subject to a number of challenges and risks.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Sales to U.S. and foreign federal, state and local governmental agency end-customers have accounted for a portion of our revenue in past periods, and we may in the future increase sales to government organizations. Sales to government organizations are subject to a number of risks. Selling to government organizations can be highly competitive, expensive and time consuming, often requiring significant upfront time and expense, with long sales cycles and without any assurance of winning a sale.</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70"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25" w:lineRule="exact"/>
        <w:rPr>
          <w:rFonts w:ascii="Arial" w:cs="Arial" w:eastAsia="Arial" w:hAnsi="Arial"/>
          <w:sz w:val="18"/>
          <w:szCs w:val="18"/>
          <w:color w:val="auto"/>
        </w:rPr>
      </w:pPr>
    </w:p>
    <w:p>
      <w:pPr>
        <w:ind w:left="1300" w:right="62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geopolitical matters, including tariff and trade disputes, Brexit and government shutdowns;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 including GSA regulations.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rules and regulations applicable to sales to government organizations may also negatively impact sales to other organizations. To date, we have had limited traction in sales to U.S. federal government agencies, and any future sales to government organizations is uncertain. Government organizations may have contractual or other legal rights to terminate contracts with our distributors and resellers for convenience or due to a default, and any such termination may adversely impact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2" w:right="25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future results of operations. For example, if the distributor receives a significant portion of its revenue from sales to such government organization, the financial health of the distributor could be substantially harmed, which could negatively affect our future sales to such distributor. Governments routinely investigate, review and audit government vendors’ administrative and other processes, and any unfavorable investigation, audit or other review could result in the government’s refusing to continue buying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Finally, purchases by the U.S. government may require certain products to be manufactured in the United States and other high cost manufacturing locations, and we may not manufacture all products in locations that meet the requirements of the U.S. government.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False detection of vulnerabilities, viruses or security breaches or false identification of spam or spyware could adversely affect our business.</w:t>
      </w:r>
    </w:p>
    <w:p>
      <w:pPr>
        <w:spacing w:after="0" w:line="24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FortiGuard security subscription services may falsely detect, report and act on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security subscription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18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high-quality technical support services would have a material adverse effect on our sales and results of operations.</w:t>
      </w:r>
    </w:p>
    <w:p>
      <w:pPr>
        <w:spacing w:after="0" w:line="170"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planning, deploying and operational proficiency for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and service provider or government organization end-customers, require higher levels of support than smaller end-customers because of their more complex deployments and more demanding environments and business models. If we, our channel partners or other third parties fail to meet the requirements of our larger end-customers, it may be more difficult to execute on our strategy to increase our penetration with large businesses, service providers and government organizations. Our failure to maintain high-quality support services would have a material adverse effect on our business, financial condition and results of operations and may subject us to litigation, reputational damage, loss of customers and additional costs.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our tax rates, the adoption of new U.S. or international tax legislation or exposure to additional tax liabilities.</w:t>
      </w:r>
    </w:p>
    <w:p>
      <w:pPr>
        <w:spacing w:after="0" w:line="248"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These include:</w:t>
      </w:r>
    </w:p>
    <w:p>
      <w:pPr>
        <w:spacing w:after="0" w:line="124"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mix of earnings in countries with differing statutory tax rates or withholding taxes;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transfer pricing adjustments;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122" w:right="27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25" w:lineRule="exact"/>
        <w:rPr>
          <w:rFonts w:ascii="Arial" w:cs="Arial" w:eastAsia="Arial" w:hAnsi="Arial"/>
          <w:sz w:val="18"/>
          <w:szCs w:val="18"/>
          <w:color w:val="auto"/>
        </w:rPr>
      </w:pPr>
    </w:p>
    <w:p>
      <w:pPr>
        <w:ind w:left="1300" w:right="38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provision for income taxes for the period in which the settlement takes place;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accounting principles, court decisions, tax rulings, and interpretations of or changes to tax laws, and regulations by international, federal or local governmental authorities.</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have open tax years that could be subject to the examination by the IRS and other tax authorities. We currently have ongoing tax audits in the United Kingdom, Italy, Canada and several other foreign jurisdictions. The focus of all of these audits is the allocation of profit between our legal entities. We regularly assess the likelihood of adverse outcomes resulting from such examinations to determine the adequacy of our provision for income taxes.</w:t>
      </w:r>
    </w:p>
    <w:p>
      <w:pPr>
        <w:spacing w:after="0" w:line="14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Although we believe that our estimates are reasonable, the ultimate tax outcome may differ from the amounts recorded in our consolidated financial statements and may materially affect our financial results in the period or periods for which such determination is made.</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December 2017, the U.S. federal government enacted the 2017 Tax Act. The 2017 Tax Act reduced the federal corporate income tax rate from 35% to 21% and created a territorial tax system with a one-time mandatory tax on foreign earnings of U.S. subsidiaries not previously subject to U.S. income tax. In December 2017, the SEC staff issued Staff Accounting Bulletin No. 118, Income Tax Accounting Implications of the Tax Cuts and Jobs Act (“SAB 118”), which allowed us to record provisional amounts during a measurement period not to extend beyond one year of the enactment date. As a result, we previously provided a provisional estimate of the effect of the 2017 Tax Act in our financial statements. In the fourth quarter of 2018, we completed our analysis to determine the effect of the 2017 Tax Act within the measurement period under the SEC guidance. We expect further guidance may be forthcoming from the Financial Accounting Standards Board (the “FASB”) and the SEC, as well as regulations, interpretations and rulings from federal and state tax agencies, which could result in additional impacts. We will continue to monitor and assess the impact of the 2017 Tax Act and the ongoing guidance and accounting interpretations issued in response to the 2017 Tax Act.</w:t>
      </w:r>
    </w:p>
    <w:p>
      <w:pPr>
        <w:spacing w:after="0" w:line="18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June 2019, the Ninth Circuit Court of Appeals reversed a decision of the U.S. Tax Court that 26 C.F.R. § 1.482-7A(d)(2) was invalid under the Administrative Procedure Act. Under the original U.S. Tax Court decision, related entities were required to share the cost of employee stock compensation in order for their cost-sharing arrangements to be classified as qualified cost-sharing arrangements. A reserve on uncertain tax positions was provided for the effect on our tax obligations. We will continue to monitor developments and assess the impact.</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is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178"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122" w:right="27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w:t>
      </w:r>
    </w:p>
    <w:p>
      <w:pPr>
        <w:spacing w:after="0" w:line="193"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 authorities may impose tax assessments or judgments against us that could materially impact our tax liability and/or our effective income tax rate.</w:t>
      </w:r>
    </w:p>
    <w:p>
      <w:pPr>
        <w:spacing w:after="0" w:line="17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Organisation for Economic Co-operation and Development (the “OECD”), an international association comprised of 36 countries, including the United States, has issued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order to remain competitive, we may seek to acquire additional businesses, products, technologies or intellectual property, such as patents. For example, we closed our acquisitions of Bradford and ZoneFox in the second quarter of 2018 and the fourth quarter of 2018, respectively. For any past acquisition or possible future acquisition, we may not be successful in negotiating the terms of the acquisition, financing the acquisition, or effectively integrating the acquired business, product, technology or intellectual property and sales force into our existing business and operations. We may have difficulty incorporating acquired technologies, intellectual property or products with our existing product lines, integrating reporting systems and procedures, and maintaining uniform standards, controls, procedures and policies. For example, we may experience difficulties integrating an acquired company’s ERP or CRM systems, sales support and other processes and systems, with our current systems and processes.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and we may not accurately forecast the financial impact of an acquisition. In addition, any acquisitions we are able to complete may be dilutive to revenue growth and earnings and may not result in any synergies or other benefits we had expected to achieve, which could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intellectual property could significantly divert management time and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Our products are very complex and, despite testing prior to their release, have contained and may contain undetected defects or errors, especially when first introduced or when new versions are released. Product errors have affected the performance and effectiveness of our products and could delay the development or release of new products or new versions of products, adversely affect our reputation and our end-customers’ willingness to buy products from us, result in litigation and dispute with customers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litigation, litigation costs and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4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Although we generally have limitation of liability provisions in our standard terms and conditions of sale, they may not fully or effectively protect us from claims if exceptions apply or if the provisions are deemed not enforceable, for example as a result of federal, state or local laws or ordinances or unfavorable judicial decisions in the United States or other countries, and in some circumstances we may be required to indemnify a customer in full, without a limitation on liability, for certain liabilities, including potential liabilities that are not contractually limited. The sale and support of our products also entail the risk of product liability claims. We maintain insurance to protect against certain claims associated with the use of our products, but our insurance coverage may not cover such claim at all or may not adequately cover any claim asserted against us,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1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typhoon, floods and other catastrophic events, and to interruption by manmade problems such as civil unrest, labor disruption, critical infrastructure attack and terrorism.</w:t>
      </w:r>
    </w:p>
    <w:p>
      <w:pPr>
        <w:spacing w:after="0" w:line="170" w:lineRule="exact"/>
        <w:rPr>
          <w:sz w:val="20"/>
          <w:szCs w:val="20"/>
          <w:color w:val="auto"/>
        </w:rPr>
      </w:pPr>
    </w:p>
    <w:p>
      <w:pPr>
        <w:ind w:right="60" w:firstLine="648"/>
        <w:spacing w:after="0" w:line="267" w:lineRule="auto"/>
        <w:rPr>
          <w:sz w:val="20"/>
          <w:szCs w:val="20"/>
          <w:color w:val="auto"/>
        </w:rPr>
      </w:pPr>
      <w:r>
        <w:rPr>
          <w:rFonts w:ascii="Arial" w:cs="Arial" w:eastAsia="Arial" w:hAnsi="Arial"/>
          <w:sz w:val="17"/>
          <w:szCs w:val="17"/>
          <w:color w:val="auto"/>
        </w:rPr>
        <w:t>A significant natural disaster, such as an earthquake, fire, power outage, flood or other catastrophic event, could have a material adverse impact on our business, operating results and financial condition. Our corporate headquarters are located in the San Francisco Bay Area, a region known for seismic activity, and our research and development and data center in Burnaby, Canada, from which we deliver to customers our FortiGuard security subscription updates, is subject to the risk of flooding and is also in a region known for seismic activity. Any earthquake in the Bay Area or Burnaby, or flooding in Burnaby could materially negatively impact our ability to provide products and services, such as FortiCare support and FortiGuard subscription services and could otherwise materially negatively impact our business. In addition, natural disasters could affect our manufacturing vendors, suppliers or logistics providers’ ability to perform services, such as obtaining product components and manufacturing products, or performing or assisting with shipments, on a timely basis, as well as our customers’ ability to order from us and our employees’ ability to perform their duties. For example, a typhoon in Taiwan could materially negatively impact our ability to ship products and could result in delays in billings and revenues.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civil unrest, labor disruptions, acts of terrorism and other geo-political unrest could cause disruptions in our business or the business of our manufacturers,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security risks to our customers, delays or cancellations of customer orders, the delay of the manufacture, deployment or shipment of our products or interruption or downtime of our services, our business, financial condition and results of operations would be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8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time-consuming research and development processes. For example, we enter into development agreements with third parties. If our contract development projects are not successfully completed, or are not completed in a timely fashion, our product development could be delayed and our business generally could suffer. Costs for contract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2" w:right="25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8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Moreover, business models based on software-as-a-service (“SaaS”), either hosted or cloud-based services, have become increasingly in-demand by our end-customers and adopted by other providers, including our competitors. While we have introduced additional cloud-based products and services and will continue to do so, most of our platform is currently deployed on premise, and therefore, if customers demand that our platform be provided through a SaaS business model, we would be required to make additional investments in our infrastructure and personnel to be able to more fully provide our platform through a SaaS model in order to maintain the competitiveness of our platform. Such investments may involve expanding our data centers, servers and networks, and increasing our technical operations and engineering teams. These risks are compounded by the uncertainty concerning the future viability of SaaS business models and the future demand for such models by customers. Additionally, if we are unable to meet the demand to provide our services through a SaaS model, we may lose customers to competitors.</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18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new products and product enhancements do not achieve sufficient market acceptance, our results of operations and competitive position will suffer.</w:t>
      </w:r>
    </w:p>
    <w:p>
      <w:pPr>
        <w:spacing w:after="0" w:line="260"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spend substantial amounts of time and money to acquire and develop internally new products and enhanced versions of our existing products in order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5620" w:right="5160" w:hanging="4964"/>
        <w:spacing w:after="0" w:line="659" w:lineRule="auto"/>
        <w:tabs>
          <w:tab w:leader="none" w:pos="1301"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delays in releasing our new products or enhancements to the market; 60</w:t>
      </w:r>
    </w:p>
    <w:p>
      <w:pPr>
        <w:sectPr>
          <w:pgSz w:w="11900" w:h="16838" w:orient="portrait"/>
          <w:cols w:equalWidth="0" w:num="1">
            <w:col w:w="11400"/>
          </w:cols>
          <w:pgMar w:left="240" w:top="122" w:right="25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right="440" w:hanging="644"/>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failure to have the appropriate research and development expertise and focus to make our top strategic fabric products successful;</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to the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intense competition in our market and we may lack sufficient financial or other resources to maintain or improve our competitive position.</w:t>
      </w:r>
    </w:p>
    <w:p>
      <w:pPr>
        <w:spacing w:after="0" w:line="248"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market for network security products is intensely competitive and we expect competition to intensify in the future. We face many competitors across the different cybersecurity markets. Our competitors include companies such as Barracuda Networks, Inc., Check Point Software Technologies Ltd., Cisco Systems, Inc. (“Cisco”), CrowdStrike Holdings, Inc., F5 Networks, Inc. (“F5 Networks”), FireEye, Inc., Forcepoint LLC, Imperva, Inc., Juniper Networks, Inc. (“Juniper”), McAfee, LLC, Palo Alto Networks, Inc., Proofpoint, Inc., SonicWALL, Inc., Sophos Group Plc, Trend Micro Incorporated and Zscaler, Inc.</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2" w:right="25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addition, some of our larger competitors have substantially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For example, certain of our competitors are focusing on security services that they deliver from the cloud. Our competitors and potential competitors may also be able to develop products or services, and leverage new business models, that are equal or superior to ours, achieve greater market acceptance of their products and services, and increase sales by utilizing different distribution channels than we do. Our current and potential competitors may also offer point solutions, fabric and/or cloud security services that compete with some of the features present in our platform. They may also establish cooperative relationships among themselves or with third parties that may further enhance their resources.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In addition, our competitors may bundle products and services competitive with ours with other products and services. Customers may accept these bundled products and services rather than separately purchasing our products and services. As our customers refresh the security products bought in prior years, they may seek to consolidate vendors, which may result in current customers choosing to purchase products from our competitors on an ongoing basis.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Large, well-established providers of networking equipment such as Cisco, F5 Networks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2" w:right="25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Our products contain software modules licensed to us by third-party authors under “open source” licenses, including the GNU Public License, the GNU Lesser Public License, the BSD License, the Apache License, the MIT X License and the Mozilla Public License. From time to 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for example,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6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2" w:right="25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construed in a way that, for example,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Patent and other intellectual property disputes are common in the network security industry. Third parties are currently asserting, have asserted and may in the future assert claims of infringement of intellectual property rights against us. Third parties have also asserted such claims against our end-customers or channel partners whom we may indemnify against claims that our products infringe the intellectual property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7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8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From time to time we are subject to lawsuits claiming patent infringement. We are also subject to other litigation in addition to patent infringement claims, such as employment-related litigation and disputes, as well as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17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have several ongoing patent lawsuits, certain companies have sent us demand letters proposing that we license certain of their patents, and organizations have sent letters demanding that we provide indemnification for patent claims. As two examples of the ongoing patent lawsuits against us, one such patent lawsuit by British Telecommunications plc was filed in federal court in Delaware in July 2018, and a second such lawsuit by Finjan, Inc. was filed in federal court in California in October 2018, and additional patent lawsuits have been filed against us since. Given this and the proliferation of lawsuits in our 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 defend such lawsuits and any settlement payment or adverse result in such lawsuits could have a material adverse effect on our results of operations and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2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Many of our products include software or other intellectual property licensed from third parties. It may be necessary in the future to renew licenses relating to various aspects of these products or to seek new licenses for existing or new products. Licensors may claim we owe them additional license fees for past and future use of their software and other intellectual property or that we cannot utilize such software or intellectual property in our products going forward. There can be no assurance that the necessary licenses would be available on acceptable terms, if at all. The inability to obtain certain licenses or other rights or to obtain such licenses or rights on favorable terms or for reasonable pricing, or the need to engage in litigation regarding these matters, could result in delays in product releases until equivalent technology can be identified, licensed or developed, if at all, and integrated into our products and may result in significant license fees and have a material adverse effect on our business, operating results, and financial condition. Moreover, the inclusion in our products of software or other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2" w:right="25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intellectual property licensed from third parties on a non-exclusive basis could limit our ability to differentiate our products from those of our competitors.</w:t>
      </w:r>
    </w:p>
    <w:p>
      <w:pPr>
        <w:spacing w:after="0" w:line="23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We also rely on technologies licensed from third parties in order to operate functions of our business. If any of these third parties allege that we have not properly paid for such licenses or that we have improperly used the technologies under such licenses, we may need to pay additional fees or obtain new licenses, and such licenses may not be available on terms acceptable to us or at all or may be costly. In any such case, or if we were required to redesign our internal operations to function with new technologies, our business, results of operations and financial condition could be harmed.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2018, our internal controls over financial reporting were effective, we cannot predict the outcome of our testing in 2019 or future periods. We may incur additional expenses and commitment of management’s time in connection with further evaluations, both of which could materially increase our operating expenses and accordingly reduce our operating results.</w:t>
      </w:r>
    </w:p>
    <w:p>
      <w:pPr>
        <w:spacing w:after="0" w:line="18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September 2018, California enacted a law that requires publicly held companies headquartered in California to have at least one female director by the end of 2019 and at least three by the end of 2021, depending on the size of the board. The law would impose financial penalties for failure to comply. Though we are currently in compliance with the requirements of the law for 2019, we may incur costs associated with complying with the law in future years, including costs associated with expanding our board of directors or identifying qualified candidates for appointment to our board of directors, or financial penalties or harm to our brand and reputation if we are unable to do 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financial accounting standards may cause adverse unexpected fluctuations and affect our reported results of operations.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change in accounting standards or practices, and varying interpretations of existing or new accounting pronouncements, such as changes to standards related to revenue recognition and accounting for leases (which became effective for us on January 1, 2019), as well as the significant costs incurred or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would have an adverse effect on our business, our ability to meet our reporting obligations and compliance with internal control requirements.</w:t>
      </w:r>
    </w:p>
    <w:p>
      <w:pPr>
        <w:spacing w:after="0" w:line="15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have adopted the new lease accounting standard as of January 1, 2019. Refer to Note 1 to our condensed consolidated financial statements included in this Quarterly Report on Form 10-Q for additional information on the new standard and its impact on us.</w:t>
      </w:r>
    </w:p>
    <w:p>
      <w:pPr>
        <w:spacing w:after="0" w:line="170"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new revenue and lease standards are principles based and interpretation of those principles may vary from company to company based on their unique circumstances. Management will continue to make judgments and assumptions based on our interpretation of the new standard. It is possible that interpretation, industry practice and guidance may evolve as we work toward implementing the new revenue recognition standard. If our circumstances change or if actual circumstances differ from our assumptions, our operating result may be adversely affected and could fall below our publicly announced guidance or the expectations of securities analysts and investors, resulting in a decline in the market price of our common stock. Further, equity investments are now required to be measured at fair value (with subsequent changes in fair value recognized in net income), which may increase the volatility of our earnings.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 us downgrades our stock or publishes inaccurate or unfavorable research about our business, our stock price could decline. If one or more of these analysts ceases coverage of our company or fails to publish reports on us regularly, demand for our stock could decrease, which could cause our stock price and trading volume to decline.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be volatile.</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market price of our common stock may be subject to wide fluctuations in response to, among other things, the risk factors described in this periodic report, news about us and our financial results, news about our competitors and their results, and other factors such as rumors or fluctuations in the valuation of companies perceived by investors to be comparable to us. For example, during the nine months ended September 30, 2019, the closing price of our common stock ranged from $66.91 to $95.22 per share.</w:t>
      </w:r>
    </w:p>
    <w:p>
      <w:pPr>
        <w:spacing w:after="0" w:line="187" w:lineRule="exact"/>
        <w:rPr>
          <w:sz w:val="20"/>
          <w:szCs w:val="20"/>
          <w:color w:val="auto"/>
        </w:rPr>
      </w:pPr>
    </w:p>
    <w:p>
      <w:pPr>
        <w:ind w:firstLine="693"/>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Share repurchases under the Repurchase Program could increase the volatility of the trading price of our common stock, could diminish our cash reserves, could occur at non-optimal prices and may not result in the most effective use of our capital.</w:t>
      </w:r>
    </w:p>
    <w:p>
      <w:pPr>
        <w:spacing w:after="0" w:line="14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2018, our board of directors approved the increase in the aggregate authorized repurchase amount under the Repurchase Program by $500.0 million, bringing the total authorization to $1.5 billion. Share repurchases under the Repurchase Program could affect the price of our common stock, increase stock price volatility and diminish our cash reserves. In addition, an announcement of the reduction, suspension or termination of the Repurchase Program could result in a decrease in the trading price of our common stock. Moreover, despite analyses we perform in connection with repurchases under the Repurchase Program to determine the appropriate prices for repurchases of our stock, our stock price could decline, resulting in repurchases made at non-optimal prices. Our failure to repurchase our stock at optimal prices may be perceived by investors as an inefficient use of our cash and cash equivalents, which could result in litigation that may have an adverse effect on our business, operating results and financial condition. In addition, while our board of directors carefully considers various alternative uses of our cash and cash equivalents in determining whether to authorize stock repurchases, there can be no assurance that the decision by our board of directors to repurchase stock would result in in the most effective uses of our cash and cash equivalents, and there may be alternative uses of our cash and cash equivalents that would be more effective, such as investing in growing our business organically or through acquisitions.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260"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47" w:lineRule="exact"/>
        <w:rPr>
          <w:sz w:val="20"/>
          <w:szCs w:val="20"/>
          <w:color w:val="auto"/>
        </w:rPr>
      </w:pPr>
    </w:p>
    <w:p>
      <w:pPr>
        <w:ind w:left="1300" w:right="520" w:hanging="644"/>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providing that certain litigation matters may only be brought against us in state or federal courts in the State of Delaware;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640" w:hanging="644"/>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stockholders holding more than 15% of our outstanding common stock from engaging in certain business combinations without approval of the holders of a substantial majority of all of our outstanding common stock.</w:t>
      </w:r>
    </w:p>
    <w:p>
      <w:pPr>
        <w:spacing w:after="0" w:line="18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However, these anti-takeover provisions will not have the effect of preventing activist stockholders from seeking to increase short-term stockholder value through actions such as nominating board candidates and requesting that we pursue strategic combinations or other transactions. These actions could disrupt our operations, be costly and time-consuming and divert the attention of our management and employees. In addition, perceived uncertainties as to our future direction as a result of activist stockholder actions could result in the loss of potential business opportunities, as well as other negative business consequences. Actions of an activist stockholder may also cause fluctuations in our stock price based on speculative market perceptions or other factors that do not necessarily reflect our business. Further, we may incur significant expenses in retaining professionals to advise and assist us on activist stockholder matters, including legal, financial, communications advisors and solicitation experts, which may negatively impact our future financial results.</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provides information with respect to the shares of common stock we repurchased under the Repurchase Program during the three months ended September 30, 2019 (in millions, except share and per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1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Average Price</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100" w:type="dxa"/>
            <w:vAlign w:val="bottom"/>
          </w:tcPr>
          <w:p>
            <w:pPr>
              <w:spacing w:after="0"/>
              <w:rPr>
                <w:sz w:val="12"/>
                <w:szCs w:val="12"/>
                <w:color w:val="auto"/>
              </w:rPr>
            </w:pPr>
          </w:p>
        </w:tc>
        <w:tc>
          <w:tcPr>
            <w:tcW w:w="2060" w:type="dxa"/>
            <w:vAlign w:val="bottom"/>
            <w:gridSpan w:val="2"/>
          </w:tcPr>
          <w:p>
            <w:pPr>
              <w:jc w:val="right"/>
              <w:ind w:right="19"/>
              <w:spacing w:after="0" w:line="149" w:lineRule="exact"/>
              <w:rPr>
                <w:sz w:val="20"/>
                <w:szCs w:val="20"/>
                <w:color w:val="auto"/>
              </w:rPr>
            </w:pPr>
            <w:r>
              <w:rPr>
                <w:rFonts w:ascii="Arial" w:cs="Arial" w:eastAsia="Arial" w:hAnsi="Arial"/>
                <w:sz w:val="14"/>
                <w:szCs w:val="14"/>
                <w:b w:val="1"/>
                <w:bCs w:val="1"/>
                <w:color w:val="auto"/>
                <w:w w:val="97"/>
              </w:rPr>
              <w:t>Purchased Under the Plans or</w:t>
            </w:r>
          </w:p>
        </w:tc>
        <w:tc>
          <w:tcPr>
            <w:tcW w:w="0" w:type="dxa"/>
            <w:vAlign w:val="bottom"/>
          </w:tcPr>
          <w:p>
            <w:pPr>
              <w:spacing w:after="0"/>
              <w:rPr>
                <w:sz w:val="1"/>
                <w:szCs w:val="1"/>
                <w:color w:val="auto"/>
              </w:rPr>
            </w:pPr>
          </w:p>
        </w:tc>
      </w:tr>
      <w:tr>
        <w:trPr>
          <w:trHeight w:val="81"/>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Announced Plan or Program</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92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105"/>
        </w:trPr>
        <w:tc>
          <w:tcPr>
            <w:tcW w:w="378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9"/>
                <w:szCs w:val="9"/>
                <w:color w:val="auto"/>
              </w:rPr>
            </w:pPr>
          </w:p>
        </w:tc>
        <w:tc>
          <w:tcPr>
            <w:tcW w:w="2060" w:type="dxa"/>
            <w:vAlign w:val="bottom"/>
            <w:vMerge w:val="restart"/>
          </w:tcPr>
          <w:p>
            <w:pPr>
              <w:jc w:val="right"/>
              <w:ind w:right="615"/>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9"/>
                <w:szCs w:val="9"/>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Paid per Share</w:t>
            </w:r>
          </w:p>
        </w:tc>
        <w:tc>
          <w:tcPr>
            <w:tcW w:w="100" w:type="dxa"/>
            <w:vAlign w:val="bottom"/>
            <w:vMerge w:val="restart"/>
          </w:tcPr>
          <w:p>
            <w:pPr>
              <w:spacing w:after="0"/>
              <w:rPr>
                <w:sz w:val="9"/>
                <w:szCs w:val="9"/>
                <w:color w:val="auto"/>
              </w:rPr>
            </w:pPr>
          </w:p>
        </w:tc>
        <w:tc>
          <w:tcPr>
            <w:tcW w:w="2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7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20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4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 July 31, 2019</w:t>
            </w:r>
          </w:p>
        </w:tc>
        <w:tc>
          <w:tcPr>
            <w:tcW w:w="2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77.59</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641.6</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August 1 - August 31, 2019</w:t>
            </w:r>
          </w:p>
        </w:tc>
        <w:tc>
          <w:tcPr>
            <w:tcW w:w="2060" w:type="dxa"/>
            <w:vAlign w:val="bottom"/>
          </w:tcPr>
          <w:p>
            <w:pPr>
              <w:jc w:val="right"/>
              <w:ind w:right="35"/>
              <w:spacing w:after="0"/>
              <w:rPr>
                <w:sz w:val="20"/>
                <w:szCs w:val="20"/>
                <w:color w:val="auto"/>
              </w:rPr>
            </w:pPr>
            <w:r>
              <w:rPr>
                <w:rFonts w:ascii="Arial" w:cs="Arial" w:eastAsia="Arial" w:hAnsi="Arial"/>
                <w:sz w:val="18"/>
                <w:szCs w:val="18"/>
                <w:color w:val="auto"/>
              </w:rPr>
              <w:t>0.1</w:t>
            </w:r>
          </w:p>
        </w:tc>
        <w:tc>
          <w:tcPr>
            <w:tcW w:w="44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79.66</w:t>
            </w:r>
          </w:p>
        </w:tc>
        <w:tc>
          <w:tcPr>
            <w:tcW w:w="100" w:type="dxa"/>
            <w:vAlign w:val="bottom"/>
          </w:tcPr>
          <w:p>
            <w:pPr>
              <w:spacing w:after="0"/>
              <w:rPr>
                <w:sz w:val="21"/>
                <w:szCs w:val="21"/>
                <w:color w:val="auto"/>
              </w:rPr>
            </w:pPr>
          </w:p>
        </w:tc>
        <w:tc>
          <w:tcPr>
            <w:tcW w:w="2040" w:type="dxa"/>
            <w:vAlign w:val="bottom"/>
          </w:tcPr>
          <w:p>
            <w:pPr>
              <w:jc w:val="right"/>
              <w:ind w:right="18"/>
              <w:spacing w:after="0"/>
              <w:rPr>
                <w:sz w:val="20"/>
                <w:szCs w:val="20"/>
                <w:color w:val="auto"/>
              </w:rPr>
            </w:pPr>
            <w:r>
              <w:rPr>
                <w:rFonts w:ascii="Arial" w:cs="Arial" w:eastAsia="Arial" w:hAnsi="Arial"/>
                <w:sz w:val="18"/>
                <w:szCs w:val="18"/>
                <w:color w:val="auto"/>
              </w:rPr>
              <w:t>0.1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9"/>
              <w:spacing w:after="0"/>
              <w:rPr>
                <w:sz w:val="20"/>
                <w:szCs w:val="20"/>
                <w:color w:val="auto"/>
              </w:rPr>
            </w:pPr>
            <w:r>
              <w:rPr>
                <w:rFonts w:ascii="Arial" w:cs="Arial" w:eastAsia="Arial" w:hAnsi="Arial"/>
                <w:sz w:val="18"/>
                <w:szCs w:val="18"/>
                <w:color w:val="auto"/>
              </w:rPr>
              <w:t>635.1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 September 30, 2019</w:t>
            </w:r>
          </w:p>
        </w:tc>
        <w:tc>
          <w:tcPr>
            <w:tcW w:w="2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0.2</w:t>
            </w:r>
          </w:p>
        </w:tc>
        <w:tc>
          <w:tcPr>
            <w:tcW w:w="4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78.40</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616.3</w:t>
            </w:r>
          </w:p>
        </w:tc>
        <w:tc>
          <w:tcPr>
            <w:tcW w:w="0" w:type="dxa"/>
            <w:vAlign w:val="bottom"/>
          </w:tcPr>
          <w:p>
            <w:pPr>
              <w:spacing w:after="0"/>
              <w:rPr>
                <w:sz w:val="1"/>
                <w:szCs w:val="1"/>
                <w:color w:val="auto"/>
              </w:rPr>
            </w:pPr>
          </w:p>
        </w:tc>
      </w:tr>
      <w:tr>
        <w:trPr>
          <w:trHeight w:val="257"/>
        </w:trPr>
        <w:tc>
          <w:tcPr>
            <w:tcW w:w="3900" w:type="dxa"/>
            <w:vAlign w:val="bottom"/>
            <w:gridSpan w:val="2"/>
          </w:tcPr>
          <w:p>
            <w:pPr>
              <w:ind w:left="1700"/>
              <w:spacing w:after="0"/>
              <w:rPr>
                <w:sz w:val="20"/>
                <w:szCs w:val="20"/>
                <w:color w:val="auto"/>
              </w:rPr>
            </w:pPr>
            <w:r>
              <w:rPr>
                <w:rFonts w:ascii="Arial" w:cs="Arial" w:eastAsia="Arial" w:hAnsi="Arial"/>
                <w:sz w:val="18"/>
                <w:szCs w:val="18"/>
                <w:color w:val="auto"/>
              </w:rPr>
              <w:t>Total</w:t>
            </w:r>
          </w:p>
        </w:tc>
        <w:tc>
          <w:tcPr>
            <w:tcW w:w="20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0.3</w:t>
            </w:r>
          </w:p>
        </w:tc>
        <w:tc>
          <w:tcPr>
            <w:tcW w:w="44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78.67</w:t>
            </w:r>
          </w:p>
        </w:tc>
        <w:tc>
          <w:tcPr>
            <w:tcW w:w="100" w:type="dxa"/>
            <w:vAlign w:val="bottom"/>
          </w:tcPr>
          <w:p>
            <w:pPr>
              <w:spacing w:after="0"/>
              <w:rPr>
                <w:sz w:val="22"/>
                <w:szCs w:val="22"/>
                <w:color w:val="auto"/>
              </w:rPr>
            </w:pPr>
          </w:p>
        </w:tc>
        <w:tc>
          <w:tcPr>
            <w:tcW w:w="20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jc w:val="right"/>
              <w:ind w:right="75"/>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Financial Statement Schedules</w:t>
      </w:r>
    </w:p>
    <w:p>
      <w:pPr>
        <w:spacing w:after="0" w:line="229"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The exhibits listed in the accompanying Exhibit Index are filed or incorporated by reference as part of this Quarterly Report on Form 10-Q.</w:t>
      </w:r>
    </w:p>
    <w:p>
      <w:pPr>
        <w:spacing w:after="0" w:line="23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EXHIBIT INDEX</w:t>
      </w:r>
    </w:p>
    <w:p>
      <w:pPr>
        <w:spacing w:after="0" w:line="167" w:lineRule="exact"/>
        <w:rPr>
          <w:sz w:val="20"/>
          <w:szCs w:val="20"/>
          <w:color w:val="auto"/>
        </w:rPr>
      </w:pPr>
    </w:p>
    <w:p>
      <w:pPr>
        <w:ind w:left="6400"/>
        <w:spacing w:after="0"/>
        <w:rPr>
          <w:sz w:val="20"/>
          <w:szCs w:val="20"/>
          <w:color w:val="auto"/>
        </w:rPr>
      </w:pPr>
      <w:r>
        <w:rPr>
          <w:rFonts w:ascii="Arial" w:cs="Arial" w:eastAsia="Arial" w:hAnsi="Arial"/>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66675</wp:posOffset>
            </wp:positionV>
            <wp:extent cx="32073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103" w:lineRule="exact"/>
        <w:rPr>
          <w:sz w:val="20"/>
          <w:szCs w:val="20"/>
          <w:color w:val="auto"/>
        </w:rPr>
      </w:pPr>
    </w:p>
    <w:p>
      <w:pPr>
        <w:jc w:val="both"/>
        <w:ind w:left="6400"/>
        <w:spacing w:after="0"/>
        <w:tabs>
          <w:tab w:leader="none" w:pos="8620" w:val="left"/>
          <w:tab w:leader="none" w:pos="10080" w:val="left"/>
        </w:tabs>
        <w:rPr>
          <w:sz w:val="20"/>
          <w:szCs w:val="20"/>
          <w:color w:val="auto"/>
        </w:rPr>
      </w:pP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Date</w:t>
      </w:r>
      <w:r>
        <w:rPr>
          <w:sz w:val="20"/>
          <w:szCs w:val="20"/>
          <w:color w:val="auto"/>
        </w:rPr>
        <w:tab/>
      </w:r>
      <w:r>
        <w:rPr>
          <w:rFonts w:ascii="Arial" w:cs="Arial" w:eastAsia="Arial" w:hAnsi="Arial"/>
          <w:sz w:val="13"/>
          <w:szCs w:val="13"/>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66675</wp:posOffset>
            </wp:positionV>
            <wp:extent cx="32073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ectPr>
          <w:pgSz w:w="11900" w:h="16838" w:orient="portrait"/>
          <w:cols w:equalWidth="0" w:num="1">
            <w:col w:w="11100"/>
          </w:cols>
          <w:pgMar w:left="240" w:top="122" w:right="559" w:bottom="1440" w:gutter="0" w:footer="0" w:header="0"/>
        </w:sect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0" w:type="dxa"/>
            <w:vAlign w:val="bottom"/>
            <w:gridSpan w:val="2"/>
          </w:tcPr>
          <w:p>
            <w:pPr>
              <w:spacing w:after="0"/>
              <w:rPr>
                <w:rFonts w:ascii="Arial" w:cs="Arial" w:eastAsia="Arial" w:hAnsi="Arial"/>
                <w:sz w:val="14"/>
                <w:szCs w:val="14"/>
                <w:color w:val="0000FF"/>
              </w:rPr>
            </w:pPr>
            <w:hyperlink r:id="rId23">
              <w:r>
                <w:rPr>
                  <w:rFonts w:ascii="Arial" w:cs="Arial" w:eastAsia="Arial" w:hAnsi="Arial"/>
                  <w:sz w:val="14"/>
                  <w:szCs w:val="14"/>
                  <w:color w:val="0000FF"/>
                </w:rPr>
                <w:t>10.</w:t>
              </w:r>
              <w:r>
                <w:rPr>
                  <w:rFonts w:ascii="Arial" w:cs="Arial" w:eastAsia="Arial" w:hAnsi="Arial"/>
                  <w:sz w:val="14"/>
                  <w:szCs w:val="14"/>
                  <w:u w:val="single" w:color="auto"/>
                  <w:color w:val="0000FF"/>
                </w:rPr>
                <w:t>1</w:t>
              </w:r>
            </w:hyperlink>
          </w:p>
        </w:tc>
        <w:tc>
          <w:tcPr>
            <w:tcW w:w="5560" w:type="dxa"/>
            <w:vAlign w:val="bottom"/>
          </w:tcPr>
          <w:p>
            <w:pPr>
              <w:ind w:left="240"/>
              <w:spacing w:after="0"/>
              <w:rPr>
                <w:sz w:val="20"/>
                <w:szCs w:val="20"/>
                <w:color w:val="auto"/>
              </w:rPr>
            </w:pPr>
            <w:r>
              <w:rPr>
                <w:rFonts w:ascii="Arial" w:cs="Arial" w:eastAsia="Arial" w:hAnsi="Arial"/>
                <w:sz w:val="14"/>
                <w:szCs w:val="14"/>
                <w:color w:val="auto"/>
                <w:w w:val="93"/>
              </w:rPr>
              <w:t>Amended and Restated Change of Control Severance Agreement, effective as of August 7,</w:t>
            </w:r>
          </w:p>
        </w:tc>
      </w:tr>
      <w:tr>
        <w:trPr>
          <w:trHeight w:val="162"/>
        </w:trPr>
        <w:tc>
          <w:tcPr>
            <w:tcW w:w="240" w:type="dxa"/>
            <w:vAlign w:val="bottom"/>
            <w:tcBorders>
              <w:top w:val="single" w:sz="8" w:color="0000FF"/>
            </w:tcBorders>
          </w:tcPr>
          <w:p>
            <w:pPr>
              <w:spacing w:after="0"/>
              <w:rPr>
                <w:sz w:val="14"/>
                <w:szCs w:val="14"/>
                <w:color w:val="auto"/>
              </w:rPr>
            </w:pPr>
          </w:p>
        </w:tc>
        <w:tc>
          <w:tcPr>
            <w:tcW w:w="300" w:type="dxa"/>
            <w:vAlign w:val="bottom"/>
          </w:tcPr>
          <w:p>
            <w:pPr>
              <w:spacing w:after="0"/>
              <w:rPr>
                <w:sz w:val="14"/>
                <w:szCs w:val="14"/>
                <w:color w:val="auto"/>
              </w:rPr>
            </w:pPr>
          </w:p>
        </w:tc>
        <w:tc>
          <w:tcPr>
            <w:tcW w:w="5560" w:type="dxa"/>
            <w:vAlign w:val="bottom"/>
          </w:tcPr>
          <w:p>
            <w:pPr>
              <w:ind w:left="240"/>
              <w:spacing w:after="0"/>
              <w:rPr>
                <w:sz w:val="20"/>
                <w:szCs w:val="20"/>
                <w:color w:val="auto"/>
              </w:rPr>
            </w:pPr>
            <w:r>
              <w:rPr>
                <w:rFonts w:ascii="Arial" w:cs="Arial" w:eastAsia="Arial" w:hAnsi="Arial"/>
                <w:sz w:val="14"/>
                <w:szCs w:val="14"/>
                <w:color w:val="auto"/>
              </w:rPr>
              <w:t>2019, between the Company and Ken Xie</w:t>
            </w:r>
          </w:p>
        </w:tc>
      </w:tr>
      <w:tr>
        <w:trPr>
          <w:trHeight w:val="290"/>
        </w:trPr>
        <w:tc>
          <w:tcPr>
            <w:tcW w:w="540" w:type="dxa"/>
            <w:vAlign w:val="bottom"/>
            <w:gridSpan w:val="2"/>
          </w:tcPr>
          <w:p>
            <w:pPr>
              <w:spacing w:after="0"/>
              <w:rPr>
                <w:rFonts w:ascii="Arial" w:cs="Arial" w:eastAsia="Arial" w:hAnsi="Arial"/>
                <w:sz w:val="14"/>
                <w:szCs w:val="14"/>
                <w:color w:val="0000FF"/>
              </w:rPr>
            </w:pPr>
            <w:hyperlink r:id="rId24">
              <w:r>
                <w:rPr>
                  <w:rFonts w:ascii="Arial" w:cs="Arial" w:eastAsia="Arial" w:hAnsi="Arial"/>
                  <w:sz w:val="14"/>
                  <w:szCs w:val="14"/>
                  <w:color w:val="0000FF"/>
                </w:rPr>
                <w:t>10.</w:t>
              </w:r>
              <w:r>
                <w:rPr>
                  <w:rFonts w:ascii="Arial" w:cs="Arial" w:eastAsia="Arial" w:hAnsi="Arial"/>
                  <w:sz w:val="14"/>
                  <w:szCs w:val="14"/>
                  <w:u w:val="single" w:color="auto"/>
                  <w:color w:val="0000FF"/>
                </w:rPr>
                <w:t>2</w:t>
              </w:r>
            </w:hyperlink>
          </w:p>
        </w:tc>
        <w:tc>
          <w:tcPr>
            <w:tcW w:w="5560" w:type="dxa"/>
            <w:vAlign w:val="bottom"/>
          </w:tcPr>
          <w:p>
            <w:pPr>
              <w:ind w:left="240"/>
              <w:spacing w:after="0"/>
              <w:rPr>
                <w:sz w:val="20"/>
                <w:szCs w:val="20"/>
                <w:color w:val="auto"/>
              </w:rPr>
            </w:pPr>
            <w:r>
              <w:rPr>
                <w:rFonts w:ascii="Arial" w:cs="Arial" w:eastAsia="Arial" w:hAnsi="Arial"/>
                <w:sz w:val="14"/>
                <w:szCs w:val="14"/>
                <w:color w:val="auto"/>
                <w:w w:val="93"/>
              </w:rPr>
              <w:t>Amended and Restated Change of Control Severance Agreement, effective as of August 7,</w:t>
            </w:r>
          </w:p>
        </w:tc>
      </w:tr>
      <w:tr>
        <w:trPr>
          <w:trHeight w:val="162"/>
        </w:trPr>
        <w:tc>
          <w:tcPr>
            <w:tcW w:w="240" w:type="dxa"/>
            <w:vAlign w:val="bottom"/>
            <w:tcBorders>
              <w:top w:val="single" w:sz="8" w:color="0000FF"/>
            </w:tcBorders>
          </w:tcPr>
          <w:p>
            <w:pPr>
              <w:spacing w:after="0"/>
              <w:rPr>
                <w:sz w:val="14"/>
                <w:szCs w:val="14"/>
                <w:color w:val="auto"/>
              </w:rPr>
            </w:pPr>
          </w:p>
        </w:tc>
        <w:tc>
          <w:tcPr>
            <w:tcW w:w="300" w:type="dxa"/>
            <w:vAlign w:val="bottom"/>
          </w:tcPr>
          <w:p>
            <w:pPr>
              <w:spacing w:after="0"/>
              <w:rPr>
                <w:sz w:val="14"/>
                <w:szCs w:val="14"/>
                <w:color w:val="auto"/>
              </w:rPr>
            </w:pPr>
          </w:p>
        </w:tc>
        <w:tc>
          <w:tcPr>
            <w:tcW w:w="5560" w:type="dxa"/>
            <w:vAlign w:val="bottom"/>
          </w:tcPr>
          <w:p>
            <w:pPr>
              <w:ind w:left="240"/>
              <w:spacing w:after="0"/>
              <w:rPr>
                <w:sz w:val="20"/>
                <w:szCs w:val="20"/>
                <w:color w:val="auto"/>
              </w:rPr>
            </w:pPr>
            <w:r>
              <w:rPr>
                <w:rFonts w:ascii="Arial" w:cs="Arial" w:eastAsia="Arial" w:hAnsi="Arial"/>
                <w:sz w:val="14"/>
                <w:szCs w:val="14"/>
                <w:color w:val="auto"/>
              </w:rPr>
              <w:t>2019, between the Company and Michael Xie</w:t>
            </w:r>
          </w:p>
        </w:tc>
      </w:tr>
      <w:tr>
        <w:trPr>
          <w:trHeight w:val="290"/>
        </w:trPr>
        <w:tc>
          <w:tcPr>
            <w:tcW w:w="540" w:type="dxa"/>
            <w:vAlign w:val="bottom"/>
            <w:gridSpan w:val="2"/>
          </w:tcPr>
          <w:p>
            <w:pPr>
              <w:spacing w:after="0"/>
              <w:rPr>
                <w:rFonts w:ascii="Arial" w:cs="Arial" w:eastAsia="Arial" w:hAnsi="Arial"/>
                <w:sz w:val="14"/>
                <w:szCs w:val="14"/>
                <w:color w:val="0000FF"/>
              </w:rPr>
            </w:pPr>
            <w:hyperlink r:id="rId25">
              <w:r>
                <w:rPr>
                  <w:rFonts w:ascii="Arial" w:cs="Arial" w:eastAsia="Arial" w:hAnsi="Arial"/>
                  <w:sz w:val="14"/>
                  <w:szCs w:val="14"/>
                  <w:color w:val="0000FF"/>
                </w:rPr>
                <w:t>10.</w:t>
              </w:r>
              <w:r>
                <w:rPr>
                  <w:rFonts w:ascii="Arial" w:cs="Arial" w:eastAsia="Arial" w:hAnsi="Arial"/>
                  <w:sz w:val="14"/>
                  <w:szCs w:val="14"/>
                  <w:u w:val="single" w:color="auto"/>
                  <w:color w:val="0000FF"/>
                </w:rPr>
                <w:t>3</w:t>
              </w:r>
            </w:hyperlink>
          </w:p>
        </w:tc>
        <w:tc>
          <w:tcPr>
            <w:tcW w:w="5560" w:type="dxa"/>
            <w:vAlign w:val="bottom"/>
          </w:tcPr>
          <w:p>
            <w:pPr>
              <w:ind w:left="240"/>
              <w:spacing w:after="0"/>
              <w:rPr>
                <w:sz w:val="20"/>
                <w:szCs w:val="20"/>
                <w:color w:val="auto"/>
              </w:rPr>
            </w:pPr>
            <w:r>
              <w:rPr>
                <w:rFonts w:ascii="Arial" w:cs="Arial" w:eastAsia="Arial" w:hAnsi="Arial"/>
                <w:sz w:val="14"/>
                <w:szCs w:val="14"/>
                <w:color w:val="auto"/>
                <w:w w:val="93"/>
              </w:rPr>
              <w:t>Amended and Restated Change of Control Severance Agreement, effective as of August 7,</w:t>
            </w:r>
          </w:p>
        </w:tc>
      </w:tr>
      <w:tr>
        <w:trPr>
          <w:trHeight w:val="162"/>
        </w:trPr>
        <w:tc>
          <w:tcPr>
            <w:tcW w:w="240" w:type="dxa"/>
            <w:vAlign w:val="bottom"/>
            <w:tcBorders>
              <w:top w:val="single" w:sz="8" w:color="0000FF"/>
            </w:tcBorders>
          </w:tcPr>
          <w:p>
            <w:pPr>
              <w:spacing w:after="0"/>
              <w:rPr>
                <w:sz w:val="14"/>
                <w:szCs w:val="14"/>
                <w:color w:val="auto"/>
              </w:rPr>
            </w:pPr>
          </w:p>
        </w:tc>
        <w:tc>
          <w:tcPr>
            <w:tcW w:w="300" w:type="dxa"/>
            <w:vAlign w:val="bottom"/>
          </w:tcPr>
          <w:p>
            <w:pPr>
              <w:spacing w:after="0"/>
              <w:rPr>
                <w:sz w:val="14"/>
                <w:szCs w:val="14"/>
                <w:color w:val="auto"/>
              </w:rPr>
            </w:pPr>
          </w:p>
        </w:tc>
        <w:tc>
          <w:tcPr>
            <w:tcW w:w="5560" w:type="dxa"/>
            <w:vAlign w:val="bottom"/>
          </w:tcPr>
          <w:p>
            <w:pPr>
              <w:ind w:left="240"/>
              <w:spacing w:after="0"/>
              <w:rPr>
                <w:sz w:val="20"/>
                <w:szCs w:val="20"/>
                <w:color w:val="auto"/>
              </w:rPr>
            </w:pPr>
            <w:r>
              <w:rPr>
                <w:rFonts w:ascii="Arial" w:cs="Arial" w:eastAsia="Arial" w:hAnsi="Arial"/>
                <w:sz w:val="14"/>
                <w:szCs w:val="14"/>
                <w:color w:val="auto"/>
              </w:rPr>
              <w:t>2019, between the Company and John Whittle</w:t>
            </w:r>
          </w:p>
        </w:tc>
      </w:tr>
      <w:tr>
        <w:trPr>
          <w:trHeight w:val="290"/>
        </w:trPr>
        <w:tc>
          <w:tcPr>
            <w:tcW w:w="540" w:type="dxa"/>
            <w:vAlign w:val="bottom"/>
            <w:gridSpan w:val="2"/>
          </w:tcPr>
          <w:p>
            <w:pPr>
              <w:spacing w:after="0"/>
              <w:rPr>
                <w:rFonts w:ascii="Arial" w:cs="Arial" w:eastAsia="Arial" w:hAnsi="Arial"/>
                <w:sz w:val="14"/>
                <w:szCs w:val="14"/>
                <w:color w:val="0000FF"/>
              </w:rPr>
            </w:pPr>
            <w:hyperlink r:id="rId26">
              <w:r>
                <w:rPr>
                  <w:rFonts w:ascii="Arial" w:cs="Arial" w:eastAsia="Arial" w:hAnsi="Arial"/>
                  <w:sz w:val="14"/>
                  <w:szCs w:val="14"/>
                  <w:color w:val="0000FF"/>
                </w:rPr>
                <w:t>10.</w:t>
              </w:r>
              <w:r>
                <w:rPr>
                  <w:rFonts w:ascii="Arial" w:cs="Arial" w:eastAsia="Arial" w:hAnsi="Arial"/>
                  <w:sz w:val="14"/>
                  <w:szCs w:val="14"/>
                  <w:u w:val="single" w:color="auto"/>
                  <w:color w:val="0000FF"/>
                </w:rPr>
                <w:t>4</w:t>
              </w:r>
            </w:hyperlink>
          </w:p>
        </w:tc>
        <w:tc>
          <w:tcPr>
            <w:tcW w:w="5560" w:type="dxa"/>
            <w:vAlign w:val="bottom"/>
          </w:tcPr>
          <w:p>
            <w:pPr>
              <w:ind w:left="240"/>
              <w:spacing w:after="0"/>
              <w:rPr>
                <w:sz w:val="20"/>
                <w:szCs w:val="20"/>
                <w:color w:val="auto"/>
              </w:rPr>
            </w:pPr>
            <w:r>
              <w:rPr>
                <w:rFonts w:ascii="Arial" w:cs="Arial" w:eastAsia="Arial" w:hAnsi="Arial"/>
                <w:sz w:val="14"/>
                <w:szCs w:val="14"/>
                <w:color w:val="auto"/>
                <w:w w:val="93"/>
              </w:rPr>
              <w:t>Amended and Restated Change of Control Severance Agreement, effective as of August 7,</w:t>
            </w:r>
          </w:p>
        </w:tc>
      </w:tr>
      <w:tr>
        <w:trPr>
          <w:trHeight w:val="162"/>
        </w:trPr>
        <w:tc>
          <w:tcPr>
            <w:tcW w:w="240" w:type="dxa"/>
            <w:vAlign w:val="bottom"/>
            <w:tcBorders>
              <w:top w:val="single" w:sz="8" w:color="0000FF"/>
            </w:tcBorders>
          </w:tcPr>
          <w:p>
            <w:pPr>
              <w:spacing w:after="0"/>
              <w:rPr>
                <w:sz w:val="14"/>
                <w:szCs w:val="14"/>
                <w:color w:val="auto"/>
              </w:rPr>
            </w:pPr>
          </w:p>
        </w:tc>
        <w:tc>
          <w:tcPr>
            <w:tcW w:w="300" w:type="dxa"/>
            <w:vAlign w:val="bottom"/>
          </w:tcPr>
          <w:p>
            <w:pPr>
              <w:spacing w:after="0"/>
              <w:rPr>
                <w:sz w:val="14"/>
                <w:szCs w:val="14"/>
                <w:color w:val="auto"/>
              </w:rPr>
            </w:pPr>
          </w:p>
        </w:tc>
        <w:tc>
          <w:tcPr>
            <w:tcW w:w="5560" w:type="dxa"/>
            <w:vAlign w:val="bottom"/>
          </w:tcPr>
          <w:p>
            <w:pPr>
              <w:ind w:left="240"/>
              <w:spacing w:after="0"/>
              <w:rPr>
                <w:sz w:val="20"/>
                <w:szCs w:val="20"/>
                <w:color w:val="auto"/>
              </w:rPr>
            </w:pPr>
            <w:r>
              <w:rPr>
                <w:rFonts w:ascii="Arial" w:cs="Arial" w:eastAsia="Arial" w:hAnsi="Arial"/>
                <w:sz w:val="14"/>
                <w:szCs w:val="14"/>
                <w:color w:val="auto"/>
              </w:rPr>
              <w:t>2019, between the Company and Keith Jensen</w:t>
            </w:r>
          </w:p>
        </w:tc>
      </w:tr>
      <w:tr>
        <w:trPr>
          <w:trHeight w:val="290"/>
        </w:trPr>
        <w:tc>
          <w:tcPr>
            <w:tcW w:w="540" w:type="dxa"/>
            <w:vAlign w:val="bottom"/>
            <w:gridSpan w:val="2"/>
          </w:tcPr>
          <w:p>
            <w:pPr>
              <w:spacing w:after="0"/>
              <w:rPr>
                <w:rFonts w:ascii="Arial" w:cs="Arial" w:eastAsia="Arial" w:hAnsi="Arial"/>
                <w:sz w:val="14"/>
                <w:szCs w:val="14"/>
                <w:color w:val="0000FF"/>
              </w:rPr>
            </w:pPr>
            <w:hyperlink w:anchor="page73">
              <w:r>
                <w:rPr>
                  <w:rFonts w:ascii="Arial" w:cs="Arial" w:eastAsia="Arial" w:hAnsi="Arial"/>
                  <w:sz w:val="14"/>
                  <w:szCs w:val="14"/>
                  <w:color w:val="0000FF"/>
                </w:rPr>
                <w:t>31.</w:t>
              </w:r>
              <w:r>
                <w:rPr>
                  <w:rFonts w:ascii="Arial" w:cs="Arial" w:eastAsia="Arial" w:hAnsi="Arial"/>
                  <w:sz w:val="14"/>
                  <w:szCs w:val="14"/>
                  <w:u w:val="single" w:color="auto"/>
                  <w:color w:val="0000FF"/>
                </w:rPr>
                <w:t>1</w:t>
              </w:r>
            </w:hyperlink>
            <w:r>
              <w:rPr>
                <w:rFonts w:ascii="Arial" w:cs="Arial" w:eastAsia="Arial" w:hAnsi="Arial"/>
                <w:sz w:val="14"/>
                <w:szCs w:val="14"/>
                <w:color w:val="000000"/>
              </w:rPr>
              <w:t>*</w:t>
            </w:r>
          </w:p>
        </w:tc>
        <w:tc>
          <w:tcPr>
            <w:tcW w:w="5560" w:type="dxa"/>
            <w:vAlign w:val="bottom"/>
          </w:tcPr>
          <w:p>
            <w:pPr>
              <w:ind w:left="240"/>
              <w:spacing w:after="0"/>
              <w:rPr>
                <w:sz w:val="20"/>
                <w:szCs w:val="20"/>
                <w:color w:val="auto"/>
              </w:rPr>
            </w:pPr>
            <w:r>
              <w:rPr>
                <w:rFonts w:ascii="Arial" w:cs="Arial" w:eastAsia="Arial" w:hAnsi="Arial"/>
                <w:sz w:val="14"/>
                <w:szCs w:val="14"/>
                <w:color w:val="auto"/>
                <w:w w:val="94"/>
              </w:rPr>
              <w:t>Certification of Chief Executive Officer pursuant to Exchange Act Rules 13a-14(a) and 15d-</w:t>
            </w:r>
          </w:p>
        </w:tc>
      </w:tr>
      <w:tr>
        <w:trPr>
          <w:trHeight w:val="162"/>
        </w:trPr>
        <w:tc>
          <w:tcPr>
            <w:tcW w:w="240" w:type="dxa"/>
            <w:vAlign w:val="bottom"/>
            <w:tcBorders>
              <w:top w:val="single" w:sz="8" w:color="0000FF"/>
            </w:tcBorders>
          </w:tcPr>
          <w:p>
            <w:pPr>
              <w:spacing w:after="0"/>
              <w:rPr>
                <w:sz w:val="14"/>
                <w:szCs w:val="14"/>
                <w:color w:val="auto"/>
              </w:rPr>
            </w:pPr>
          </w:p>
        </w:tc>
        <w:tc>
          <w:tcPr>
            <w:tcW w:w="300" w:type="dxa"/>
            <w:vAlign w:val="bottom"/>
          </w:tcPr>
          <w:p>
            <w:pPr>
              <w:spacing w:after="0"/>
              <w:rPr>
                <w:sz w:val="14"/>
                <w:szCs w:val="14"/>
                <w:color w:val="auto"/>
              </w:rPr>
            </w:pPr>
          </w:p>
        </w:tc>
        <w:tc>
          <w:tcPr>
            <w:tcW w:w="5560" w:type="dxa"/>
            <w:vAlign w:val="bottom"/>
          </w:tcPr>
          <w:p>
            <w:pPr>
              <w:ind w:left="240"/>
              <w:spacing w:after="0"/>
              <w:rPr>
                <w:sz w:val="20"/>
                <w:szCs w:val="20"/>
                <w:color w:val="auto"/>
              </w:rPr>
            </w:pPr>
            <w:r>
              <w:rPr>
                <w:rFonts w:ascii="Arial" w:cs="Arial" w:eastAsia="Arial" w:hAnsi="Arial"/>
                <w:sz w:val="14"/>
                <w:szCs w:val="14"/>
                <w:color w:val="auto"/>
              </w:rPr>
              <w:t>14(a), as adopted pursuant to Section 302 of the Sarbanes-Oxley Act of 2002</w:t>
            </w:r>
          </w:p>
        </w:tc>
      </w:tr>
    </w:tbl>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20"/>
                <w:szCs w:val="20"/>
                <w:color w:val="auto"/>
              </w:rPr>
            </w:pPr>
            <w:r>
              <w:rPr>
                <w:rFonts w:ascii="Arial" w:cs="Arial" w:eastAsia="Arial" w:hAnsi="Arial"/>
                <w:sz w:val="14"/>
                <w:szCs w:val="14"/>
                <w:color w:val="auto"/>
              </w:rPr>
              <w:t>Quarterly Report on Form 10-Q</w:t>
            </w:r>
          </w:p>
        </w:tc>
        <w:tc>
          <w:tcPr>
            <w:tcW w:w="1360" w:type="dxa"/>
            <w:vAlign w:val="bottom"/>
          </w:tcPr>
          <w:p>
            <w:pPr>
              <w:ind w:left="200"/>
              <w:spacing w:after="0"/>
              <w:rPr>
                <w:sz w:val="20"/>
                <w:szCs w:val="20"/>
                <w:color w:val="auto"/>
              </w:rPr>
            </w:pPr>
            <w:r>
              <w:rPr>
                <w:rFonts w:ascii="Arial" w:cs="Arial" w:eastAsia="Arial" w:hAnsi="Arial"/>
                <w:sz w:val="14"/>
                <w:szCs w:val="14"/>
                <w:color w:val="auto"/>
              </w:rPr>
              <w:t>August 1, 2019</w:t>
            </w:r>
          </w:p>
        </w:tc>
        <w:tc>
          <w:tcPr>
            <w:tcW w:w="54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182"/>
        </w:trPr>
        <w:tc>
          <w:tcPr>
            <w:tcW w:w="2040" w:type="dxa"/>
            <w:vAlign w:val="bottom"/>
          </w:tcPr>
          <w:p>
            <w:pPr>
              <w:spacing w:after="0"/>
              <w:rPr>
                <w:sz w:val="20"/>
                <w:szCs w:val="20"/>
                <w:color w:val="auto"/>
              </w:rPr>
            </w:pPr>
            <w:r>
              <w:rPr>
                <w:rFonts w:ascii="Arial" w:cs="Arial" w:eastAsia="Arial" w:hAnsi="Arial"/>
                <w:sz w:val="14"/>
                <w:szCs w:val="14"/>
                <w:color w:val="auto"/>
              </w:rPr>
              <w:t>(File No. 001-34511)</w:t>
            </w:r>
          </w:p>
        </w:tc>
        <w:tc>
          <w:tcPr>
            <w:tcW w:w="13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90"/>
        </w:trPr>
        <w:tc>
          <w:tcPr>
            <w:tcW w:w="2040" w:type="dxa"/>
            <w:vAlign w:val="bottom"/>
          </w:tcPr>
          <w:p>
            <w:pPr>
              <w:spacing w:after="0"/>
              <w:rPr>
                <w:sz w:val="20"/>
                <w:szCs w:val="20"/>
                <w:color w:val="auto"/>
              </w:rPr>
            </w:pPr>
            <w:r>
              <w:rPr>
                <w:rFonts w:ascii="Arial" w:cs="Arial" w:eastAsia="Arial" w:hAnsi="Arial"/>
                <w:sz w:val="14"/>
                <w:szCs w:val="14"/>
                <w:color w:val="auto"/>
              </w:rPr>
              <w:t>Quarterly Report on Form 10-Q</w:t>
            </w:r>
          </w:p>
        </w:tc>
        <w:tc>
          <w:tcPr>
            <w:tcW w:w="1360" w:type="dxa"/>
            <w:vAlign w:val="bottom"/>
          </w:tcPr>
          <w:p>
            <w:pPr>
              <w:ind w:left="200"/>
              <w:spacing w:after="0"/>
              <w:rPr>
                <w:sz w:val="20"/>
                <w:szCs w:val="20"/>
                <w:color w:val="auto"/>
              </w:rPr>
            </w:pPr>
            <w:r>
              <w:rPr>
                <w:rFonts w:ascii="Arial" w:cs="Arial" w:eastAsia="Arial" w:hAnsi="Arial"/>
                <w:sz w:val="14"/>
                <w:szCs w:val="14"/>
                <w:color w:val="auto"/>
              </w:rPr>
              <w:t>August 1, 2019</w:t>
            </w:r>
          </w:p>
        </w:tc>
        <w:tc>
          <w:tcPr>
            <w:tcW w:w="540" w:type="dxa"/>
            <w:vAlign w:val="bottom"/>
          </w:tcPr>
          <w:p>
            <w:pPr>
              <w:jc w:val="right"/>
              <w:spacing w:after="0"/>
              <w:rPr>
                <w:sz w:val="20"/>
                <w:szCs w:val="20"/>
                <w:color w:val="auto"/>
              </w:rPr>
            </w:pPr>
            <w:r>
              <w:rPr>
                <w:rFonts w:ascii="Arial" w:cs="Arial" w:eastAsia="Arial" w:hAnsi="Arial"/>
                <w:sz w:val="14"/>
                <w:szCs w:val="14"/>
                <w:color w:val="auto"/>
              </w:rPr>
              <w:t>10.3</w:t>
            </w:r>
          </w:p>
        </w:tc>
      </w:tr>
      <w:tr>
        <w:trPr>
          <w:trHeight w:val="182"/>
        </w:trPr>
        <w:tc>
          <w:tcPr>
            <w:tcW w:w="2040" w:type="dxa"/>
            <w:vAlign w:val="bottom"/>
          </w:tcPr>
          <w:p>
            <w:pPr>
              <w:spacing w:after="0"/>
              <w:rPr>
                <w:sz w:val="20"/>
                <w:szCs w:val="20"/>
                <w:color w:val="auto"/>
              </w:rPr>
            </w:pPr>
            <w:r>
              <w:rPr>
                <w:rFonts w:ascii="Arial" w:cs="Arial" w:eastAsia="Arial" w:hAnsi="Arial"/>
                <w:sz w:val="14"/>
                <w:szCs w:val="14"/>
                <w:color w:val="auto"/>
              </w:rPr>
              <w:t>(File No. 001-34511)</w:t>
            </w:r>
          </w:p>
        </w:tc>
        <w:tc>
          <w:tcPr>
            <w:tcW w:w="13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90"/>
        </w:trPr>
        <w:tc>
          <w:tcPr>
            <w:tcW w:w="2040" w:type="dxa"/>
            <w:vAlign w:val="bottom"/>
          </w:tcPr>
          <w:p>
            <w:pPr>
              <w:spacing w:after="0"/>
              <w:rPr>
                <w:sz w:val="20"/>
                <w:szCs w:val="20"/>
                <w:color w:val="auto"/>
              </w:rPr>
            </w:pPr>
            <w:r>
              <w:rPr>
                <w:rFonts w:ascii="Arial" w:cs="Arial" w:eastAsia="Arial" w:hAnsi="Arial"/>
                <w:sz w:val="14"/>
                <w:szCs w:val="14"/>
                <w:color w:val="auto"/>
              </w:rPr>
              <w:t>Quarterly Report on Form 10-Q</w:t>
            </w:r>
          </w:p>
        </w:tc>
        <w:tc>
          <w:tcPr>
            <w:tcW w:w="1360" w:type="dxa"/>
            <w:vAlign w:val="bottom"/>
          </w:tcPr>
          <w:p>
            <w:pPr>
              <w:ind w:left="200"/>
              <w:spacing w:after="0"/>
              <w:rPr>
                <w:sz w:val="20"/>
                <w:szCs w:val="20"/>
                <w:color w:val="auto"/>
              </w:rPr>
            </w:pPr>
            <w:r>
              <w:rPr>
                <w:rFonts w:ascii="Arial" w:cs="Arial" w:eastAsia="Arial" w:hAnsi="Arial"/>
                <w:sz w:val="14"/>
                <w:szCs w:val="14"/>
                <w:color w:val="auto"/>
              </w:rPr>
              <w:t>August 1, 2019</w:t>
            </w:r>
          </w:p>
        </w:tc>
        <w:tc>
          <w:tcPr>
            <w:tcW w:w="540" w:type="dxa"/>
            <w:vAlign w:val="bottom"/>
          </w:tcPr>
          <w:p>
            <w:pPr>
              <w:jc w:val="right"/>
              <w:spacing w:after="0"/>
              <w:rPr>
                <w:sz w:val="20"/>
                <w:szCs w:val="20"/>
                <w:color w:val="auto"/>
              </w:rPr>
            </w:pPr>
            <w:r>
              <w:rPr>
                <w:rFonts w:ascii="Arial" w:cs="Arial" w:eastAsia="Arial" w:hAnsi="Arial"/>
                <w:sz w:val="14"/>
                <w:szCs w:val="14"/>
                <w:color w:val="auto"/>
              </w:rPr>
              <w:t>10.4</w:t>
            </w:r>
          </w:p>
        </w:tc>
      </w:tr>
      <w:tr>
        <w:trPr>
          <w:trHeight w:val="182"/>
        </w:trPr>
        <w:tc>
          <w:tcPr>
            <w:tcW w:w="2040" w:type="dxa"/>
            <w:vAlign w:val="bottom"/>
          </w:tcPr>
          <w:p>
            <w:pPr>
              <w:spacing w:after="0"/>
              <w:rPr>
                <w:sz w:val="20"/>
                <w:szCs w:val="20"/>
                <w:color w:val="auto"/>
              </w:rPr>
            </w:pPr>
            <w:r>
              <w:rPr>
                <w:rFonts w:ascii="Arial" w:cs="Arial" w:eastAsia="Arial" w:hAnsi="Arial"/>
                <w:sz w:val="14"/>
                <w:szCs w:val="14"/>
                <w:color w:val="auto"/>
              </w:rPr>
              <w:t>(File No. 001-34511)</w:t>
            </w:r>
          </w:p>
        </w:tc>
        <w:tc>
          <w:tcPr>
            <w:tcW w:w="13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90"/>
        </w:trPr>
        <w:tc>
          <w:tcPr>
            <w:tcW w:w="2040" w:type="dxa"/>
            <w:vAlign w:val="bottom"/>
          </w:tcPr>
          <w:p>
            <w:pPr>
              <w:spacing w:after="0"/>
              <w:rPr>
                <w:sz w:val="20"/>
                <w:szCs w:val="20"/>
                <w:color w:val="auto"/>
              </w:rPr>
            </w:pPr>
            <w:r>
              <w:rPr>
                <w:rFonts w:ascii="Arial" w:cs="Arial" w:eastAsia="Arial" w:hAnsi="Arial"/>
                <w:sz w:val="14"/>
                <w:szCs w:val="14"/>
                <w:color w:val="auto"/>
              </w:rPr>
              <w:t>Quarterly Report on Form 10-Q</w:t>
            </w:r>
          </w:p>
        </w:tc>
        <w:tc>
          <w:tcPr>
            <w:tcW w:w="1360" w:type="dxa"/>
            <w:vAlign w:val="bottom"/>
          </w:tcPr>
          <w:p>
            <w:pPr>
              <w:ind w:left="200"/>
              <w:spacing w:after="0"/>
              <w:rPr>
                <w:sz w:val="20"/>
                <w:szCs w:val="20"/>
                <w:color w:val="auto"/>
              </w:rPr>
            </w:pPr>
            <w:r>
              <w:rPr>
                <w:rFonts w:ascii="Arial" w:cs="Arial" w:eastAsia="Arial" w:hAnsi="Arial"/>
                <w:sz w:val="14"/>
                <w:szCs w:val="14"/>
                <w:color w:val="auto"/>
              </w:rPr>
              <w:t>August 1, 2019</w:t>
            </w:r>
          </w:p>
        </w:tc>
        <w:tc>
          <w:tcPr>
            <w:tcW w:w="540" w:type="dxa"/>
            <w:vAlign w:val="bottom"/>
          </w:tcPr>
          <w:p>
            <w:pPr>
              <w:jc w:val="right"/>
              <w:spacing w:after="0"/>
              <w:rPr>
                <w:sz w:val="20"/>
                <w:szCs w:val="20"/>
                <w:color w:val="auto"/>
              </w:rPr>
            </w:pPr>
            <w:r>
              <w:rPr>
                <w:rFonts w:ascii="Arial" w:cs="Arial" w:eastAsia="Arial" w:hAnsi="Arial"/>
                <w:sz w:val="14"/>
                <w:szCs w:val="14"/>
                <w:color w:val="auto"/>
              </w:rPr>
              <w:t>10.5</w:t>
            </w:r>
          </w:p>
        </w:tc>
      </w:tr>
      <w:tr>
        <w:trPr>
          <w:trHeight w:val="182"/>
        </w:trPr>
        <w:tc>
          <w:tcPr>
            <w:tcW w:w="2040" w:type="dxa"/>
            <w:vAlign w:val="bottom"/>
          </w:tcPr>
          <w:p>
            <w:pPr>
              <w:spacing w:after="0"/>
              <w:rPr>
                <w:sz w:val="20"/>
                <w:szCs w:val="20"/>
                <w:color w:val="auto"/>
              </w:rPr>
            </w:pPr>
            <w:r>
              <w:rPr>
                <w:rFonts w:ascii="Arial" w:cs="Arial" w:eastAsia="Arial" w:hAnsi="Arial"/>
                <w:sz w:val="14"/>
                <w:szCs w:val="14"/>
                <w:color w:val="auto"/>
              </w:rPr>
              <w:t>(File No. 001-34511)</w:t>
            </w:r>
          </w:p>
        </w:tc>
        <w:tc>
          <w:tcPr>
            <w:tcW w:w="1360" w:type="dxa"/>
            <w:vAlign w:val="bottom"/>
          </w:tcPr>
          <w:p>
            <w:pPr>
              <w:spacing w:after="0"/>
              <w:rPr>
                <w:sz w:val="15"/>
                <w:szCs w:val="15"/>
                <w:color w:val="auto"/>
              </w:rPr>
            </w:pPr>
          </w:p>
        </w:tc>
        <w:tc>
          <w:tcPr>
            <w:tcW w:w="540" w:type="dxa"/>
            <w:vAlign w:val="bottom"/>
          </w:tcPr>
          <w:p>
            <w:pPr>
              <w:spacing w:after="0"/>
              <w:rPr>
                <w:sz w:val="15"/>
                <w:szCs w:val="15"/>
                <w:color w:val="auto"/>
              </w:rPr>
            </w:pPr>
          </w:p>
        </w:tc>
      </w:tr>
    </w:tbl>
    <w:p>
      <w:pPr>
        <w:spacing w:after="0" w:line="606" w:lineRule="exact"/>
        <w:rPr>
          <w:sz w:val="20"/>
          <w:szCs w:val="20"/>
          <w:color w:val="auto"/>
        </w:rPr>
      </w:pPr>
    </w:p>
    <w:p>
      <w:pPr>
        <w:sectPr>
          <w:pgSz w:w="11900" w:h="16838" w:orient="portrait"/>
          <w:cols w:equalWidth="0" w:num="2">
            <w:col w:w="6140" w:space="260"/>
            <w:col w:w="4700"/>
          </w:cols>
          <w:pgMar w:left="240" w:top="122" w:right="559" w:bottom="1440" w:gutter="0" w:footer="0" w:header="0"/>
          <w:type w:val="continuous"/>
        </w:sectPr>
      </w:pPr>
    </w:p>
    <w:tbl>
      <w:tblPr>
        <w:tblLayout w:type="fixed"/>
        <w:tblInd w:w="40" w:type="dxa"/>
        <w:tblCellMar>
          <w:top w:w="0" w:type="dxa"/>
          <w:left w:w="0" w:type="dxa"/>
          <w:bottom w:w="0" w:type="dxa"/>
          <w:right w:w="0" w:type="dxa"/>
        </w:tblCellMar>
      </w:tblPr>
      <w:tr>
        <w:trPr>
          <w:trHeight w:val="161"/>
        </w:trPr>
        <w:tc>
          <w:tcPr>
            <w:tcW w:w="700" w:type="dxa"/>
            <w:vAlign w:val="bottom"/>
            <w:gridSpan w:val="2"/>
          </w:tcPr>
          <w:p>
            <w:pPr>
              <w:spacing w:after="0"/>
              <w:rPr>
                <w:rFonts w:ascii="Arial" w:cs="Arial" w:eastAsia="Arial" w:hAnsi="Arial"/>
                <w:sz w:val="14"/>
                <w:szCs w:val="14"/>
                <w:color w:val="0000FF"/>
              </w:rPr>
            </w:pPr>
            <w:hyperlink w:anchor="page74">
              <w:r>
                <w:rPr>
                  <w:rFonts w:ascii="Arial" w:cs="Arial" w:eastAsia="Arial" w:hAnsi="Arial"/>
                  <w:sz w:val="14"/>
                  <w:szCs w:val="14"/>
                  <w:color w:val="0000FF"/>
                </w:rPr>
                <w:t>31.</w:t>
              </w:r>
              <w:r>
                <w:rPr>
                  <w:rFonts w:ascii="Arial" w:cs="Arial" w:eastAsia="Arial" w:hAnsi="Arial"/>
                  <w:sz w:val="14"/>
                  <w:szCs w:val="14"/>
                  <w:u w:val="single" w:color="auto"/>
                  <w:color w:val="0000FF"/>
                </w:rPr>
                <w:t>2</w:t>
              </w:r>
            </w:hyperlink>
            <w:r>
              <w:rPr>
                <w:rFonts w:ascii="Arial" w:cs="Arial" w:eastAsia="Arial" w:hAnsi="Arial"/>
                <w:sz w:val="14"/>
                <w:szCs w:val="14"/>
                <w:color w:val="000000"/>
              </w:rPr>
              <w:t>*</w:t>
            </w:r>
          </w:p>
        </w:tc>
        <w:tc>
          <w:tcPr>
            <w:tcW w:w="5360" w:type="dxa"/>
            <w:vAlign w:val="bottom"/>
          </w:tcPr>
          <w:p>
            <w:pPr>
              <w:ind w:left="80"/>
              <w:spacing w:after="0"/>
              <w:rPr>
                <w:sz w:val="20"/>
                <w:szCs w:val="20"/>
                <w:color w:val="auto"/>
              </w:rPr>
            </w:pPr>
            <w:r>
              <w:rPr>
                <w:rFonts w:ascii="Arial" w:cs="Arial" w:eastAsia="Arial" w:hAnsi="Arial"/>
                <w:sz w:val="14"/>
                <w:szCs w:val="14"/>
                <w:color w:val="auto"/>
                <w:w w:val="94"/>
              </w:rPr>
              <w:t>Certification of Chief Financial Officer pursuant to Exchange Act Rules 13a-14(a) and 15d-</w:t>
            </w:r>
          </w:p>
        </w:tc>
      </w:tr>
      <w:tr>
        <w:trPr>
          <w:trHeight w:val="162"/>
        </w:trPr>
        <w:tc>
          <w:tcPr>
            <w:tcW w:w="240" w:type="dxa"/>
            <w:vAlign w:val="bottom"/>
            <w:tcBorders>
              <w:top w:val="single" w:sz="8" w:color="0000FF"/>
            </w:tcBorders>
          </w:tcPr>
          <w:p>
            <w:pPr>
              <w:spacing w:after="0"/>
              <w:rPr>
                <w:sz w:val="14"/>
                <w:szCs w:val="14"/>
                <w:color w:val="auto"/>
              </w:rPr>
            </w:pPr>
          </w:p>
        </w:tc>
        <w:tc>
          <w:tcPr>
            <w:tcW w:w="460" w:type="dxa"/>
            <w:vAlign w:val="bottom"/>
          </w:tcPr>
          <w:p>
            <w:pPr>
              <w:spacing w:after="0"/>
              <w:rPr>
                <w:sz w:val="14"/>
                <w:szCs w:val="14"/>
                <w:color w:val="auto"/>
              </w:rPr>
            </w:pPr>
          </w:p>
        </w:tc>
        <w:tc>
          <w:tcPr>
            <w:tcW w:w="5360" w:type="dxa"/>
            <w:vAlign w:val="bottom"/>
          </w:tcPr>
          <w:p>
            <w:pPr>
              <w:ind w:left="80"/>
              <w:spacing w:after="0"/>
              <w:rPr>
                <w:sz w:val="20"/>
                <w:szCs w:val="20"/>
                <w:color w:val="auto"/>
              </w:rPr>
            </w:pPr>
            <w:r>
              <w:rPr>
                <w:rFonts w:ascii="Arial" w:cs="Arial" w:eastAsia="Arial" w:hAnsi="Arial"/>
                <w:sz w:val="14"/>
                <w:szCs w:val="14"/>
                <w:color w:val="auto"/>
              </w:rPr>
              <w:t>14(a), as adopted pursuant to Section 302 of the Sarbanes-Oxley Act of 2002</w:t>
            </w:r>
          </w:p>
        </w:tc>
      </w:tr>
      <w:tr>
        <w:trPr>
          <w:trHeight w:val="290"/>
        </w:trPr>
        <w:tc>
          <w:tcPr>
            <w:tcW w:w="700" w:type="dxa"/>
            <w:vAlign w:val="bottom"/>
            <w:gridSpan w:val="2"/>
          </w:tcPr>
          <w:p>
            <w:pPr>
              <w:spacing w:after="0"/>
              <w:rPr>
                <w:rFonts w:ascii="Arial" w:cs="Arial" w:eastAsia="Arial" w:hAnsi="Arial"/>
                <w:sz w:val="14"/>
                <w:szCs w:val="14"/>
                <w:color w:val="0000FF"/>
              </w:rPr>
            </w:pPr>
            <w:hyperlink w:anchor="page75">
              <w:r>
                <w:rPr>
                  <w:rFonts w:ascii="Arial" w:cs="Arial" w:eastAsia="Arial" w:hAnsi="Arial"/>
                  <w:sz w:val="14"/>
                  <w:szCs w:val="14"/>
                  <w:color w:val="0000FF"/>
                </w:rPr>
                <w:t>32.</w:t>
              </w:r>
              <w:r>
                <w:rPr>
                  <w:rFonts w:ascii="Arial" w:cs="Arial" w:eastAsia="Arial" w:hAnsi="Arial"/>
                  <w:sz w:val="14"/>
                  <w:szCs w:val="14"/>
                  <w:u w:val="single" w:color="auto"/>
                  <w:color w:val="0000FF"/>
                </w:rPr>
                <w:t>1</w:t>
              </w:r>
            </w:hyperlink>
            <w:r>
              <w:rPr>
                <w:rFonts w:ascii="Arial" w:cs="Arial" w:eastAsia="Arial" w:hAnsi="Arial"/>
                <w:sz w:val="14"/>
                <w:szCs w:val="14"/>
                <w:color w:val="000000"/>
              </w:rPr>
              <w:t>#</w:t>
            </w:r>
          </w:p>
        </w:tc>
        <w:tc>
          <w:tcPr>
            <w:tcW w:w="5360" w:type="dxa"/>
            <w:vAlign w:val="bottom"/>
          </w:tcPr>
          <w:p>
            <w:pPr>
              <w:ind w:left="80"/>
              <w:spacing w:after="0"/>
              <w:rPr>
                <w:sz w:val="20"/>
                <w:szCs w:val="20"/>
                <w:color w:val="auto"/>
              </w:rPr>
            </w:pPr>
            <w:r>
              <w:rPr>
                <w:rFonts w:ascii="Arial" w:cs="Arial" w:eastAsia="Arial" w:hAnsi="Arial"/>
                <w:sz w:val="14"/>
                <w:szCs w:val="14"/>
                <w:color w:val="auto"/>
                <w:w w:val="95"/>
              </w:rPr>
              <w:t>Certifications of Chief Executive Officer and Chief Financial Officer pursuant to 18 U.S.C.</w:t>
            </w:r>
          </w:p>
        </w:tc>
      </w:tr>
      <w:tr>
        <w:trPr>
          <w:trHeight w:val="162"/>
        </w:trPr>
        <w:tc>
          <w:tcPr>
            <w:tcW w:w="240" w:type="dxa"/>
            <w:vAlign w:val="bottom"/>
            <w:tcBorders>
              <w:top w:val="single" w:sz="8" w:color="0000FF"/>
            </w:tcBorders>
          </w:tcPr>
          <w:p>
            <w:pPr>
              <w:spacing w:after="0"/>
              <w:rPr>
                <w:sz w:val="14"/>
                <w:szCs w:val="14"/>
                <w:color w:val="auto"/>
              </w:rPr>
            </w:pPr>
          </w:p>
        </w:tc>
        <w:tc>
          <w:tcPr>
            <w:tcW w:w="460" w:type="dxa"/>
            <w:vAlign w:val="bottom"/>
          </w:tcPr>
          <w:p>
            <w:pPr>
              <w:spacing w:after="0"/>
              <w:rPr>
                <w:sz w:val="14"/>
                <w:szCs w:val="14"/>
                <w:color w:val="auto"/>
              </w:rPr>
            </w:pPr>
          </w:p>
        </w:tc>
        <w:tc>
          <w:tcPr>
            <w:tcW w:w="5360" w:type="dxa"/>
            <w:vAlign w:val="bottom"/>
          </w:tcPr>
          <w:p>
            <w:pPr>
              <w:ind w:left="80"/>
              <w:spacing w:after="0"/>
              <w:rPr>
                <w:sz w:val="20"/>
                <w:szCs w:val="20"/>
                <w:color w:val="auto"/>
              </w:rPr>
            </w:pPr>
            <w:r>
              <w:rPr>
                <w:rFonts w:ascii="Arial" w:cs="Arial" w:eastAsia="Arial" w:hAnsi="Arial"/>
                <w:sz w:val="14"/>
                <w:szCs w:val="14"/>
                <w:color w:val="auto"/>
                <w:w w:val="99"/>
              </w:rPr>
              <w:t>Section 1350, as adopted pursuant to Section 906 of the Sarbanes-Oxley Act of 2002</w:t>
            </w:r>
          </w:p>
        </w:tc>
      </w:tr>
      <w:tr>
        <w:trPr>
          <w:trHeight w:val="285"/>
        </w:trPr>
        <w:tc>
          <w:tcPr>
            <w:tcW w:w="700" w:type="dxa"/>
            <w:vAlign w:val="bottom"/>
            <w:gridSpan w:val="2"/>
          </w:tcPr>
          <w:p>
            <w:pPr>
              <w:spacing w:after="0"/>
              <w:rPr>
                <w:sz w:val="20"/>
                <w:szCs w:val="20"/>
                <w:color w:val="auto"/>
              </w:rPr>
            </w:pPr>
            <w:r>
              <w:rPr>
                <w:rFonts w:ascii="Arial" w:cs="Arial" w:eastAsia="Arial" w:hAnsi="Arial"/>
                <w:sz w:val="14"/>
                <w:szCs w:val="14"/>
                <w:color w:val="auto"/>
              </w:rPr>
              <w:t>101.INS*</w:t>
            </w:r>
          </w:p>
        </w:tc>
        <w:tc>
          <w:tcPr>
            <w:tcW w:w="5360" w:type="dxa"/>
            <w:vAlign w:val="bottom"/>
          </w:tcPr>
          <w:p>
            <w:pPr>
              <w:ind w:left="80"/>
              <w:spacing w:after="0"/>
              <w:rPr>
                <w:sz w:val="20"/>
                <w:szCs w:val="20"/>
                <w:color w:val="auto"/>
              </w:rPr>
            </w:pPr>
            <w:r>
              <w:rPr>
                <w:rFonts w:ascii="Arial" w:cs="Arial" w:eastAsia="Arial" w:hAnsi="Arial"/>
                <w:sz w:val="14"/>
                <w:szCs w:val="14"/>
                <w:color w:val="auto"/>
                <w:w w:val="93"/>
              </w:rPr>
              <w:t>Inline XBRL Instance Document - the instance document does not appear in the interactive</w:t>
            </w:r>
          </w:p>
        </w:tc>
      </w:tr>
      <w:tr>
        <w:trPr>
          <w:trHeight w:val="182"/>
        </w:trPr>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360" w:type="dxa"/>
            <w:vAlign w:val="bottom"/>
          </w:tcPr>
          <w:p>
            <w:pPr>
              <w:ind w:left="80"/>
              <w:spacing w:after="0"/>
              <w:rPr>
                <w:sz w:val="20"/>
                <w:szCs w:val="20"/>
                <w:color w:val="auto"/>
              </w:rPr>
            </w:pPr>
            <w:r>
              <w:rPr>
                <w:rFonts w:ascii="Arial" w:cs="Arial" w:eastAsia="Arial" w:hAnsi="Arial"/>
                <w:sz w:val="14"/>
                <w:szCs w:val="14"/>
                <w:color w:val="auto"/>
              </w:rPr>
              <w:t>data file because its XBRL tags are embedded within the inline XBRL document.</w:t>
            </w:r>
          </w:p>
        </w:tc>
      </w:tr>
      <w:tr>
        <w:trPr>
          <w:trHeight w:val="324"/>
        </w:trPr>
        <w:tc>
          <w:tcPr>
            <w:tcW w:w="700" w:type="dxa"/>
            <w:vAlign w:val="bottom"/>
            <w:gridSpan w:val="2"/>
          </w:tcPr>
          <w:p>
            <w:pPr>
              <w:spacing w:after="0"/>
              <w:rPr>
                <w:sz w:val="20"/>
                <w:szCs w:val="20"/>
                <w:color w:val="auto"/>
              </w:rPr>
            </w:pPr>
            <w:r>
              <w:rPr>
                <w:rFonts w:ascii="Arial" w:cs="Arial" w:eastAsia="Arial" w:hAnsi="Arial"/>
                <w:sz w:val="14"/>
                <w:szCs w:val="14"/>
                <w:color w:val="auto"/>
              </w:rPr>
              <w:t>101.SCH*</w:t>
            </w:r>
          </w:p>
        </w:tc>
        <w:tc>
          <w:tcPr>
            <w:tcW w:w="5360" w:type="dxa"/>
            <w:vAlign w:val="bottom"/>
          </w:tcPr>
          <w:p>
            <w:pPr>
              <w:ind w:left="80"/>
              <w:spacing w:after="0"/>
              <w:rPr>
                <w:sz w:val="20"/>
                <w:szCs w:val="20"/>
                <w:color w:val="auto"/>
              </w:rPr>
            </w:pPr>
            <w:r>
              <w:rPr>
                <w:rFonts w:ascii="Arial" w:cs="Arial" w:eastAsia="Arial" w:hAnsi="Arial"/>
                <w:sz w:val="14"/>
                <w:szCs w:val="14"/>
                <w:color w:val="auto"/>
              </w:rPr>
              <w:t>Inline XBRL Taxonomy Extension Schema Document</w:t>
            </w:r>
          </w:p>
        </w:tc>
      </w:tr>
      <w:tr>
        <w:trPr>
          <w:trHeight w:val="392"/>
        </w:trPr>
        <w:tc>
          <w:tcPr>
            <w:tcW w:w="700" w:type="dxa"/>
            <w:vAlign w:val="bottom"/>
            <w:gridSpan w:val="2"/>
          </w:tcPr>
          <w:p>
            <w:pPr>
              <w:spacing w:after="0"/>
              <w:rPr>
                <w:sz w:val="20"/>
                <w:szCs w:val="20"/>
                <w:color w:val="auto"/>
              </w:rPr>
            </w:pPr>
            <w:r>
              <w:rPr>
                <w:rFonts w:ascii="Arial" w:cs="Arial" w:eastAsia="Arial" w:hAnsi="Arial"/>
                <w:sz w:val="14"/>
                <w:szCs w:val="14"/>
                <w:color w:val="auto"/>
              </w:rPr>
              <w:t>101.CAL*</w:t>
            </w:r>
          </w:p>
        </w:tc>
        <w:tc>
          <w:tcPr>
            <w:tcW w:w="5360" w:type="dxa"/>
            <w:vAlign w:val="bottom"/>
          </w:tcPr>
          <w:p>
            <w:pPr>
              <w:ind w:left="80"/>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392"/>
        </w:trPr>
        <w:tc>
          <w:tcPr>
            <w:tcW w:w="700" w:type="dxa"/>
            <w:vAlign w:val="bottom"/>
            <w:gridSpan w:val="2"/>
          </w:tcPr>
          <w:p>
            <w:pPr>
              <w:spacing w:after="0"/>
              <w:rPr>
                <w:sz w:val="20"/>
                <w:szCs w:val="20"/>
                <w:color w:val="auto"/>
              </w:rPr>
            </w:pPr>
            <w:r>
              <w:rPr>
                <w:rFonts w:ascii="Arial" w:cs="Arial" w:eastAsia="Arial" w:hAnsi="Arial"/>
                <w:sz w:val="14"/>
                <w:szCs w:val="14"/>
                <w:color w:val="auto"/>
              </w:rPr>
              <w:t>101.DEF*</w:t>
            </w:r>
          </w:p>
        </w:tc>
        <w:tc>
          <w:tcPr>
            <w:tcW w:w="5360" w:type="dxa"/>
            <w:vAlign w:val="bottom"/>
          </w:tcPr>
          <w:p>
            <w:pPr>
              <w:ind w:left="80"/>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392"/>
        </w:trPr>
        <w:tc>
          <w:tcPr>
            <w:tcW w:w="700" w:type="dxa"/>
            <w:vAlign w:val="bottom"/>
            <w:gridSpan w:val="2"/>
          </w:tcPr>
          <w:p>
            <w:pPr>
              <w:spacing w:after="0"/>
              <w:rPr>
                <w:sz w:val="20"/>
                <w:szCs w:val="20"/>
                <w:color w:val="auto"/>
              </w:rPr>
            </w:pPr>
            <w:r>
              <w:rPr>
                <w:rFonts w:ascii="Arial" w:cs="Arial" w:eastAsia="Arial" w:hAnsi="Arial"/>
                <w:sz w:val="14"/>
                <w:szCs w:val="14"/>
                <w:color w:val="auto"/>
              </w:rPr>
              <w:t>101.LAB*</w:t>
            </w:r>
          </w:p>
        </w:tc>
        <w:tc>
          <w:tcPr>
            <w:tcW w:w="5360" w:type="dxa"/>
            <w:vAlign w:val="bottom"/>
          </w:tcPr>
          <w:p>
            <w:pPr>
              <w:ind w:left="80"/>
              <w:spacing w:after="0"/>
              <w:rPr>
                <w:sz w:val="20"/>
                <w:szCs w:val="20"/>
                <w:color w:val="auto"/>
              </w:rPr>
            </w:pPr>
            <w:r>
              <w:rPr>
                <w:rFonts w:ascii="Arial" w:cs="Arial" w:eastAsia="Arial" w:hAnsi="Arial"/>
                <w:sz w:val="14"/>
                <w:szCs w:val="14"/>
                <w:color w:val="auto"/>
              </w:rPr>
              <w:t>Inline XBRL Taxonomy Extension Label Linkbase Document</w:t>
            </w:r>
          </w:p>
        </w:tc>
      </w:tr>
      <w:tr>
        <w:trPr>
          <w:trHeight w:val="392"/>
        </w:trPr>
        <w:tc>
          <w:tcPr>
            <w:tcW w:w="700" w:type="dxa"/>
            <w:vAlign w:val="bottom"/>
            <w:gridSpan w:val="2"/>
          </w:tcPr>
          <w:p>
            <w:pPr>
              <w:spacing w:after="0"/>
              <w:rPr>
                <w:sz w:val="20"/>
                <w:szCs w:val="20"/>
                <w:color w:val="auto"/>
              </w:rPr>
            </w:pPr>
            <w:r>
              <w:rPr>
                <w:rFonts w:ascii="Arial" w:cs="Arial" w:eastAsia="Arial" w:hAnsi="Arial"/>
                <w:sz w:val="14"/>
                <w:szCs w:val="14"/>
                <w:color w:val="auto"/>
              </w:rPr>
              <w:t>101.PRE*</w:t>
            </w:r>
          </w:p>
        </w:tc>
        <w:tc>
          <w:tcPr>
            <w:tcW w:w="5360" w:type="dxa"/>
            <w:vAlign w:val="bottom"/>
          </w:tcPr>
          <w:p>
            <w:pPr>
              <w:ind w:left="80"/>
              <w:spacing w:after="0"/>
              <w:rPr>
                <w:sz w:val="20"/>
                <w:szCs w:val="20"/>
                <w:color w:val="auto"/>
              </w:rPr>
            </w:pPr>
            <w:r>
              <w:rPr>
                <w:rFonts w:ascii="Arial" w:cs="Arial" w:eastAsia="Arial" w:hAnsi="Arial"/>
                <w:sz w:val="14"/>
                <w:szCs w:val="14"/>
                <w:color w:val="auto"/>
              </w:rPr>
              <w:t>Inline XBRL Taxonomy Extension Presentation Linkbase Document</w:t>
            </w:r>
          </w:p>
        </w:tc>
      </w:tr>
      <w:tr>
        <w:trPr>
          <w:trHeight w:val="358"/>
        </w:trPr>
        <w:tc>
          <w:tcPr>
            <w:tcW w:w="700" w:type="dxa"/>
            <w:vAlign w:val="bottom"/>
            <w:gridSpan w:val="2"/>
          </w:tcPr>
          <w:p>
            <w:pPr>
              <w:spacing w:after="0"/>
              <w:rPr>
                <w:sz w:val="20"/>
                <w:szCs w:val="20"/>
                <w:color w:val="auto"/>
              </w:rPr>
            </w:pPr>
            <w:r>
              <w:rPr>
                <w:rFonts w:ascii="Arial" w:cs="Arial" w:eastAsia="Arial" w:hAnsi="Arial"/>
                <w:sz w:val="14"/>
                <w:szCs w:val="14"/>
                <w:color w:val="auto"/>
              </w:rPr>
              <w:t>104*</w:t>
            </w:r>
          </w:p>
        </w:tc>
        <w:tc>
          <w:tcPr>
            <w:tcW w:w="5360" w:type="dxa"/>
            <w:vAlign w:val="bottom"/>
          </w:tcPr>
          <w:p>
            <w:pPr>
              <w:ind w:left="80"/>
              <w:spacing w:after="0"/>
              <w:rPr>
                <w:sz w:val="20"/>
                <w:szCs w:val="20"/>
                <w:color w:val="auto"/>
              </w:rPr>
            </w:pPr>
            <w:r>
              <w:rPr>
                <w:rFonts w:ascii="Arial" w:cs="Arial" w:eastAsia="Arial" w:hAnsi="Arial"/>
                <w:sz w:val="14"/>
                <w:szCs w:val="14"/>
                <w:color w:val="auto"/>
                <w:w w:val="93"/>
              </w:rPr>
              <w:t>Cover Page Interactive Data File - the cover page from the Company’s Quarterly Report on</w:t>
            </w:r>
          </w:p>
        </w:tc>
      </w:tr>
      <w:tr>
        <w:trPr>
          <w:trHeight w:val="182"/>
        </w:trPr>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360" w:type="dxa"/>
            <w:vAlign w:val="bottom"/>
          </w:tcPr>
          <w:p>
            <w:pPr>
              <w:ind w:left="80"/>
              <w:spacing w:after="0"/>
              <w:rPr>
                <w:sz w:val="20"/>
                <w:szCs w:val="20"/>
                <w:color w:val="auto"/>
              </w:rPr>
            </w:pPr>
            <w:r>
              <w:rPr>
                <w:rFonts w:ascii="Arial" w:cs="Arial" w:eastAsia="Arial" w:hAnsi="Arial"/>
                <w:sz w:val="14"/>
                <w:szCs w:val="14"/>
                <w:color w:val="auto"/>
              </w:rPr>
              <w:t>Form 10-Q for the quarter ended September 30, 2019 is formatted in inline XBRL.</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179" w:lineRule="exact"/>
        <w:rPr>
          <w:sz w:val="20"/>
          <w:szCs w:val="20"/>
          <w:color w:val="auto"/>
        </w:rPr>
      </w:pPr>
    </w:p>
    <w:p>
      <w:pPr>
        <w:ind w:left="140" w:hanging="132"/>
        <w:spacing w:after="0"/>
        <w:tabs>
          <w:tab w:leader="none" w:pos="140" w:val="left"/>
        </w:tabs>
        <w:numPr>
          <w:ilvl w:val="0"/>
          <w:numId w:val="46"/>
        </w:numPr>
        <w:rPr>
          <w:rFonts w:ascii="Arial" w:cs="Arial" w:eastAsia="Arial" w:hAnsi="Arial"/>
          <w:sz w:val="18"/>
          <w:szCs w:val="18"/>
          <w:color w:val="auto"/>
        </w:rPr>
      </w:pPr>
      <w:r>
        <w:rPr>
          <w:rFonts w:ascii="Arial" w:cs="Arial" w:eastAsia="Arial" w:hAnsi="Arial"/>
          <w:sz w:val="14"/>
          <w:szCs w:val="14"/>
          <w:color w:val="auto"/>
        </w:rPr>
        <w:t>Filed herewith.</w:t>
      </w:r>
    </w:p>
    <w:p>
      <w:pPr>
        <w:ind w:left="100" w:hanging="92"/>
        <w:spacing w:after="0" w:line="187" w:lineRule="auto"/>
        <w:tabs>
          <w:tab w:leader="none" w:pos="100" w:val="left"/>
        </w:tabs>
        <w:numPr>
          <w:ilvl w:val="0"/>
          <w:numId w:val="47"/>
        </w:numPr>
        <w:rPr>
          <w:rFonts w:ascii="Arial" w:cs="Arial" w:eastAsia="Arial" w:hAnsi="Arial"/>
          <w:sz w:val="24"/>
          <w:szCs w:val="24"/>
          <w:color w:val="auto"/>
          <w:vertAlign w:val="superscript"/>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240" w:top="122" w:right="559" w:bottom="1440" w:gutter="0" w:footer="0" w:header="0"/>
          <w:type w:val="continuous"/>
        </w:sectPr>
      </w:pPr>
    </w:p>
    <w:bookmarkStart w:id="71" w:name="page72"/>
    <w:bookmarkEnd w:id="7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2019</w:t>
      </w:r>
    </w:p>
    <w:p>
      <w:pPr>
        <w:spacing w:after="0" w:line="35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80"/>
        <w:spacing w:after="0"/>
        <w:tabs>
          <w:tab w:leader="none" w:pos="7280" w:val="left"/>
          <w:tab w:leader="none" w:pos="7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Ken Xie, Chief Executive Officer and Chairman</w:t>
      </w:r>
    </w:p>
    <w:p>
      <w:pPr>
        <w:spacing w:after="0" w:line="154"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(Duly Authorized Officer and Principal Executive Officer)</w:t>
      </w:r>
    </w:p>
    <w:p>
      <w:pPr>
        <w:spacing w:after="0" w:line="200" w:lineRule="exact"/>
        <w:rPr>
          <w:sz w:val="20"/>
          <w:szCs w:val="20"/>
          <w:color w:val="auto"/>
        </w:rPr>
      </w:pPr>
    </w:p>
    <w:p>
      <w:pPr>
        <w:spacing w:after="0" w:line="30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80"/>
        <w:spacing w:after="0"/>
        <w:tabs>
          <w:tab w:leader="none" w:pos="6940" w:val="left"/>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Keith Jensen, Chief Financial Officer</w:t>
      </w:r>
    </w:p>
    <w:p>
      <w:pPr>
        <w:spacing w:after="0" w:line="154"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(Duly Authorized Officer and Principal Financial Officer and Principal Accounting Officer)</w:t>
      </w:r>
    </w:p>
    <w:p>
      <w:pPr>
        <w:spacing w:after="0" w:line="200" w:lineRule="exact"/>
        <w:rPr>
          <w:sz w:val="20"/>
          <w:szCs w:val="20"/>
          <w:color w:val="auto"/>
        </w:rPr>
      </w:pPr>
    </w:p>
    <w:p>
      <w:pPr>
        <w:spacing w:after="0" w:line="3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80"/>
          </w:cols>
          <w:pgMar w:left="240" w:top="122" w:right="47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Ken Xie</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 and Chairman</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Keith Jensen, certify that:</w:t>
      </w:r>
    </w:p>
    <w:p>
      <w:pPr>
        <w:spacing w:after="0" w:line="171"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31750</wp:posOffset>
            </wp:positionV>
            <wp:extent cx="29673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Keith Jensen</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580"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7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Quarterly Report on Form 10-Q of Fortinet, Inc. for the quarter ended September 30, 2019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Ken Xie</w:t>
            </w:r>
          </w:p>
        </w:tc>
      </w:tr>
      <w:tr>
        <w:trPr>
          <w:trHeight w:val="27"/>
        </w:trPr>
        <w:tc>
          <w:tcPr>
            <w:tcW w:w="5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460" w:type="dxa"/>
            <w:vAlign w:val="bottom"/>
          </w:tcPr>
          <w:p>
            <w:pPr>
              <w:ind w:left="140"/>
              <w:spacing w:after="0"/>
              <w:rPr>
                <w:sz w:val="20"/>
                <w:szCs w:val="20"/>
                <w:color w:val="auto"/>
              </w:rPr>
            </w:pPr>
            <w:r>
              <w:rPr>
                <w:rFonts w:ascii="Arial" w:cs="Arial" w:eastAsia="Arial" w:hAnsi="Arial"/>
                <w:sz w:val="18"/>
                <w:szCs w:val="18"/>
                <w:color w:val="auto"/>
              </w:rPr>
              <w:t>October 31, 2019</w:t>
            </w:r>
          </w:p>
        </w:tc>
        <w:tc>
          <w:tcPr>
            <w:tcW w:w="2700" w:type="dxa"/>
            <w:vAlign w:val="bottom"/>
          </w:tcPr>
          <w:p>
            <w:pPr>
              <w:ind w:left="206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Ken Xie</w:t>
            </w:r>
          </w:p>
        </w:tc>
      </w:tr>
      <w:tr>
        <w:trPr>
          <w:trHeight w:val="256"/>
        </w:trPr>
        <w:tc>
          <w:tcPr>
            <w:tcW w:w="54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Chief Executive Officer and Chairman</w:t>
            </w:r>
          </w:p>
        </w:tc>
      </w:tr>
      <w:tr>
        <w:trPr>
          <w:trHeight w:val="230"/>
        </w:trPr>
        <w:tc>
          <w:tcPr>
            <w:tcW w:w="5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pacing w:after="0" w:line="175"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I, Keith Jensen, certify, pursuant to 18 U.S.C. Section 1350, as adopted pursuant to Section 906 of the Sarbanes-Oxley Act of 2002, that the Quarterly Report on Form 10-Q of Fortinet, Inc. for the quarter ended September 30, 2019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Keith Jensen</w:t>
            </w:r>
          </w:p>
        </w:tc>
      </w:tr>
      <w:tr>
        <w:trPr>
          <w:trHeight w:val="27"/>
        </w:trPr>
        <w:tc>
          <w:tcPr>
            <w:tcW w:w="5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460" w:type="dxa"/>
            <w:vAlign w:val="bottom"/>
          </w:tcPr>
          <w:p>
            <w:pPr>
              <w:ind w:left="140"/>
              <w:spacing w:after="0"/>
              <w:rPr>
                <w:sz w:val="20"/>
                <w:szCs w:val="20"/>
                <w:color w:val="auto"/>
              </w:rPr>
            </w:pPr>
            <w:r>
              <w:rPr>
                <w:rFonts w:ascii="Arial" w:cs="Arial" w:eastAsia="Arial" w:hAnsi="Arial"/>
                <w:sz w:val="18"/>
                <w:szCs w:val="18"/>
                <w:color w:val="auto"/>
              </w:rPr>
              <w:t>October 31, 2019</w:t>
            </w:r>
          </w:p>
        </w:tc>
        <w:tc>
          <w:tcPr>
            <w:tcW w:w="2700" w:type="dxa"/>
            <w:vAlign w:val="bottom"/>
          </w:tcPr>
          <w:p>
            <w:pPr>
              <w:ind w:left="206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Keith Jensen</w:t>
            </w:r>
          </w:p>
        </w:tc>
      </w:tr>
      <w:tr>
        <w:trPr>
          <w:trHeight w:val="256"/>
        </w:trPr>
        <w:tc>
          <w:tcPr>
            <w:tcW w:w="54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5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w w:val="96"/>
              </w:rPr>
              <w:t>(Principal Financial Officer and Principal Accounting Officer)</w:t>
            </w:r>
          </w:p>
        </w:tc>
      </w:tr>
    </w:tbl>
    <w:p>
      <w:pPr>
        <w:spacing w:after="0" w:line="39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326"/>
    </w:lvl>
  </w:abstractNum>
  <w:abstractNum w:abstractNumId="4">
    <w:nsid w:val="54E49EB4"/>
    <w:multiLevelType w:val="hybridMultilevel"/>
    <w:lvl w:ilvl="0">
      <w:lvlJc w:val="left"/>
      <w:lvlText w:val="%1."/>
      <w:numFmt w:val="decimal"/>
      <w:start w:val="2"/>
    </w:lvl>
  </w:abstractNum>
  <w:abstractNum w:abstractNumId="5">
    <w:nsid w:val="71F32454"/>
    <w:multiLevelType w:val="hybridMultilevel"/>
    <w:lvl w:ilvl="0">
      <w:lvlJc w:val="left"/>
      <w:lvlText w:val="%1."/>
      <w:numFmt w:val="decimal"/>
      <w:start w:val="3"/>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1."/>
      <w:numFmt w:val="decimal"/>
      <w:start w:val="4"/>
    </w:lvl>
  </w:abstractNum>
  <w:abstractNum w:abstractNumId="8">
    <w:nsid w:val="2901D82"/>
    <w:multiLevelType w:val="hybridMultilevel"/>
    <w:lvl w:ilvl="0">
      <w:lvlJc w:val="left"/>
      <w:lvlText w:val="%1."/>
      <w:numFmt w:val="decimal"/>
      <w:start w:val="5"/>
    </w:lvl>
  </w:abstractNum>
  <w:abstractNum w:abstractNumId="9">
    <w:nsid w:val="3A95F874"/>
    <w:multiLevelType w:val="hybridMultilevel"/>
    <w:lvl w:ilvl="0">
      <w:lvlJc w:val="left"/>
      <w:lvlText w:val="%1."/>
      <w:numFmt w:val="decimal"/>
      <w:start w:val="6"/>
    </w:lvl>
  </w:abstractNum>
  <w:abstractNum w:abstractNumId="10">
    <w:nsid w:val="8138641"/>
    <w:multiLevelType w:val="hybridMultilevel"/>
    <w:lvl w:ilvl="0">
      <w:lvlJc w:val="left"/>
      <w:lvlText w:val="%1."/>
      <w:numFmt w:val="decimal"/>
      <w:start w:val="7"/>
    </w:lvl>
  </w:abstractNum>
  <w:abstractNum w:abstractNumId="11">
    <w:nsid w:val="1E7FF521"/>
    <w:multiLevelType w:val="hybridMultilevel"/>
    <w:lvl w:ilvl="0">
      <w:lvlJc w:val="left"/>
      <w:lvlText w:val="%1."/>
      <w:numFmt w:val="decimal"/>
      <w:start w:val="8"/>
    </w:lvl>
  </w:abstractNum>
  <w:abstractNum w:abstractNumId="12">
    <w:nsid w:val="7C3DBD3D"/>
    <w:multiLevelType w:val="hybridMultilevel"/>
    <w:lvl w:ilvl="0">
      <w:lvlJc w:val="left"/>
      <w:lvlText w:val="%1."/>
      <w:numFmt w:val="decimal"/>
      <w:start w:val="9"/>
    </w:lvl>
  </w:abstractNum>
  <w:abstractNum w:abstractNumId="13">
    <w:nsid w:val="737B8DDC"/>
    <w:multiLevelType w:val="hybridMultilevel"/>
    <w:lvl w:ilvl="0">
      <w:lvlJc w:val="left"/>
      <w:lvlText w:val="%1."/>
      <w:numFmt w:val="decimal"/>
      <w:start w:val="10"/>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11"/>
    </w:lvl>
  </w:abstractNum>
  <w:abstractNum w:abstractNumId="16">
    <w:nsid w:val="4516DDE9"/>
    <w:multiLevelType w:val="hybridMultilevel"/>
    <w:lvl w:ilvl="0">
      <w:lvlJc w:val="left"/>
      <w:lvlText w:val="%1."/>
      <w:numFmt w:val="decimal"/>
      <w:start w:val="12"/>
    </w:lvl>
  </w:abstractNum>
  <w:abstractNum w:abstractNumId="17">
    <w:nsid w:val="3006C83E"/>
    <w:multiLevelType w:val="hybridMultilevel"/>
    <w:lvl w:ilvl="0">
      <w:lvlJc w:val="left"/>
      <w:lvlText w:val="%1."/>
      <w:numFmt w:val="decimal"/>
      <w:start w:val="13"/>
    </w:lvl>
  </w:abstractNum>
  <w:abstractNum w:abstractNumId="18">
    <w:nsid w:val="614FD4A1"/>
    <w:multiLevelType w:val="hybridMultilevel"/>
    <w:lvl w:ilvl="0">
      <w:lvlJc w:val="left"/>
      <w:lvlText w:val="%1."/>
      <w:numFmt w:val="decimal"/>
      <w:start w:val="14"/>
    </w:lvl>
  </w:abstractNum>
  <w:abstractNum w:abstractNumId="19">
    <w:nsid w:val="419AC241"/>
    <w:multiLevelType w:val="hybridMultilevel"/>
    <w:lvl w:ilvl="0">
      <w:lvlJc w:val="left"/>
      <w:lvlText w:val="%1."/>
      <w:numFmt w:val="decimal"/>
      <w:start w:val="15"/>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16"/>
    </w:lvl>
  </w:abstractNum>
  <w:abstractNum w:abstractNumId="23">
    <w:nsid w:val="3804823E"/>
    <w:multiLevelType w:val="hybridMultilevel"/>
    <w:lvl w:ilvl="0">
      <w:lvlJc w:val="left"/>
      <w:lvlText w:val="%1."/>
      <w:numFmt w:val="decimal"/>
      <w:start w:val="17"/>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23" Type="http://schemas.openxmlformats.org/officeDocument/2006/relationships/hyperlink" Target="http://www.sec.gov/Archives/edgar/data/1262039/000126203919000023/ftnt-ex102changeofctrl.htm" TargetMode="External"/><Relationship Id="rId24" Type="http://schemas.openxmlformats.org/officeDocument/2006/relationships/hyperlink" Target="http://www.sec.gov/Archives/edgar/data/1262039/000126203919000023/ftnt-ex103changeofctrl.htm" TargetMode="External"/><Relationship Id="rId25" Type="http://schemas.openxmlformats.org/officeDocument/2006/relationships/hyperlink" Target="http://www.sec.gov/Archives/edgar/data/1262039/000126203919000023/ftnt-ex104changeofctrl.htm" TargetMode="External"/><Relationship Id="rId26" Type="http://schemas.openxmlformats.org/officeDocument/2006/relationships/hyperlink" Target="http://www.sec.gov/Archives/edgar/data/1262039/000126203919000023/ftnt-ex105changeofctr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2019-12-28T03:49:41Z</dcterms:created>
  <dcterms:modified xsi:type="dcterms:W3CDTF">2019-12-28T03:49:41Z</dcterms:modified>
</cp:coreProperties>
</file>