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880" w:right="1660" w:hanging="3854"/>
        <w:spacing w:after="0" w:line="393" w:lineRule="auto"/>
        <w:tabs>
          <w:tab w:leader="none" w:pos="399"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00"/>
          </w:cols>
          <w:pgMar w:left="320" w:top="225"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5" w:right="379" w:bottom="1440" w:gutter="0" w:footer="0" w:header="0"/>
          <w:type w:val="continuous"/>
        </w:sectPr>
      </w:pPr>
    </w:p>
    <w:p>
      <w:pPr>
        <w:spacing w:after="0" w:line="128" w:lineRule="exact"/>
        <w:rPr>
          <w:sz w:val="24"/>
          <w:szCs w:val="24"/>
          <w:color w:val="auto"/>
        </w:rPr>
      </w:pPr>
    </w:p>
    <w:p>
      <w:pPr>
        <w:ind w:right="220"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4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August 2, 2024, there were 764,907,985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30, 2024 and 2023</w:t>
            </w:r>
          </w:p>
        </w:tc>
        <w:tc>
          <w:tcPr>
            <w:tcW w:w="180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2024 and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and Six Months Ended June 30, 2024 and 2023</w:t>
            </w:r>
          </w:p>
        </w:tc>
        <w:tc>
          <w:tcPr>
            <w:tcW w:w="1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28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2"/>
          </w:tcPr>
          <w:p>
            <w:pPr>
              <w:spacing w:after="0"/>
              <w:rPr>
                <w:sz w:val="18"/>
                <w:szCs w:val="18"/>
                <w:color w:val="auto"/>
              </w:rPr>
            </w:pPr>
          </w:p>
        </w:tc>
        <w:tc>
          <w:tcPr>
            <w:tcW w:w="320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increasing or decreasing interest rates, changes in government spending or reduced information technology spending, including firewall spending, may adversely impact our business.</w:t>
      </w:r>
    </w:p>
    <w:p>
      <w:pPr>
        <w:spacing w:after="0" w:line="203"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as a result, may be required to accept or pay for components and finished goods regardless of our level of sales in a particular period, which may negatively impact our operating results and financial condition.</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further or may not continue, and our operating margins may decline.</w:t>
      </w:r>
    </w:p>
    <w:p>
      <w:pPr>
        <w:spacing w:after="0" w:line="252"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and ongoing maintenance and management of office buildings, warehouses, data centers and points of presence, as well as data center expansions or enhancements, could involve significant risks to our business.</w:t>
      </w:r>
    </w:p>
    <w:p>
      <w:pPr>
        <w:spacing w:after="0" w:line="189" w:lineRule="exact"/>
        <w:rPr>
          <w:rFonts w:ascii="Times New Roman" w:cs="Times New Roman" w:eastAsia="Times New Roman" w:hAnsi="Times New Roman"/>
          <w:sz w:val="18"/>
          <w:szCs w:val="18"/>
          <w:color w:val="auto"/>
        </w:rPr>
      </w:pPr>
    </w:p>
    <w:p>
      <w:pPr>
        <w:jc w:val="both"/>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our backlog may increase, which will negatively impact our aggregate billings and revenue in such quarter.</w:t>
      </w:r>
    </w:p>
    <w:p>
      <w:pPr>
        <w:spacing w:after="0" w:line="182"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our product revenue growth rate may be lower versus prior quarters where delivery from backlog contributed more to billings. We expect billings growth to normalize and lower impact from backlog fluctuations. For the first half of 2024, the comparably lower backlog contribution to billings has resulted in decreased year-over-year quarterly growth rate.</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18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52"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customers, which are subject to a number of regulatory requirements, their own supply chain and contractual requirements, challenges and risks.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328" w:right="140"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from third-party manufacturers based on our forecasts of future demand and targeted inventory levels, which exposes us to the risk of both product shortages, may result in lost sales and higher expenses, including excess inventory charges and costs related to future purchase commitments, and may require us to sell our products at discounts or offer various other incentives.</w:t>
      </w:r>
    </w:p>
    <w:p>
      <w:pPr>
        <w:spacing w:after="0" w:line="182"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and cost increases.</w:t>
      </w:r>
    </w:p>
    <w:p>
      <w:pPr>
        <w:spacing w:after="0" w:line="189" w:lineRule="exact"/>
        <w:rPr>
          <w:rFonts w:ascii="Times New Roman" w:cs="Times New Roman" w:eastAsia="Times New Roman" w:hAnsi="Times New Roman"/>
          <w:sz w:val="18"/>
          <w:szCs w:val="18"/>
          <w:color w:val="auto"/>
        </w:rPr>
      </w:pPr>
    </w:p>
    <w:p>
      <w:pPr>
        <w:ind w:left="328" w:hanging="328"/>
        <w:spacing w:after="0" w:line="24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w:t>
      </w:r>
    </w:p>
    <w:p>
      <w:pPr>
        <w:spacing w:after="0" w:line="211" w:lineRule="exact"/>
        <w:rPr>
          <w:rFonts w:ascii="Times New Roman" w:cs="Times New Roman" w:eastAsia="Times New Roman" w:hAnsi="Times New Roman"/>
          <w:sz w:val="18"/>
          <w:szCs w:val="18"/>
          <w:color w:val="auto"/>
        </w:rPr>
      </w:pPr>
    </w:p>
    <w:p>
      <w:pPr>
        <w:ind w:left="328" w:right="320" w:hanging="328"/>
        <w:spacing w:after="0" w:line="245"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additional future impairment of the value of our investment in Linksys Holdings, Inc. (“Linksys”) or additional investments in Linksys could negatively affect our financial condition and results of operations.</w:t>
      </w:r>
    </w:p>
    <w:p>
      <w:pPr>
        <w:spacing w:after="0" w:line="207"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regulators’ expectations of our performance relating to environmental, social and governance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38"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75"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and the Israel-Hamas war or tensions between China and Taiwan, could adversely affect our business and financial performance.</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3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7,722.3</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80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764.2 and 761.0 shares issued and</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outstanding on June 30, 2024 and December 31, 2023, respectively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2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80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6"/>
        </w:trPr>
        <w:tc>
          <w:tcPr>
            <w:tcW w:w="49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tax provision (benefit) related to items of other</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84"/>
        </w:trPr>
        <w:tc>
          <w:tcPr>
            <w:tcW w:w="50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84"/>
        </w:trPr>
        <w:tc>
          <w:tcPr>
            <w:tcW w:w="50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48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(1,861.7)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76"/>
        </w:trPr>
        <w:tc>
          <w:tcPr>
            <w:tcW w:w="48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(1,182.6)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8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48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(1,546.4)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176"/>
        </w:trPr>
        <w:tc>
          <w:tcPr>
            <w:tcW w:w="48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(1,032.4)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3"/>
                <w:szCs w:val="13"/>
                <w:color w:val="auto"/>
              </w:rPr>
            </w:pPr>
          </w:p>
        </w:tc>
        <w:tc>
          <w:tcPr>
            <w:tcW w:w="1140" w:type="dxa"/>
            <w:vAlign w:val="bottom"/>
          </w:tcPr>
          <w:p>
            <w:pPr>
              <w:jc w:val="right"/>
              <w:ind w:right="328"/>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 made in connection with a business combination, net of cash acquired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2023, contained in our Annual Report on Form 10-K filed with the SEC on February 26, 2024. In the opinion of management, all adjustments, which include normal recurring adjustments, considered necessary for a fair presentation, have been included. The results of operations for the three and six months ended June 30,</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2024 are not necessarily indicative of the results to be expected for the full year or for any future periods. The condensed consolidated balance sheet as of December 31, 2023 is derived from the audited consolidated financial statements for the year ended December 31, 2023.</w:t>
      </w:r>
    </w:p>
    <w:p>
      <w:pPr>
        <w:spacing w:after="0" w:line="20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and six months ended June 30, 2024, as compared to the significant accounting policies described in our Annual Report on Form 10-K for the fiscal year ended December 31, 2023 filed with the SEC.</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1"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 requirements, primarily through enhanced disclosures about significant expenses. The amendments are effective for our annual reporting for fiscal year 2024, and for our interim period reporting starting in fiscal year 2025 retrospectively, with early adoption permitted. We are currently evaluating the ASU to determine its impact on our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r>
      <w:tr>
        <w:trPr>
          <w:trHeight w:val="23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23"/>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$764.3 million and $1.62 billion in revenue that was included in the deferred revenue balance as of December 31, 2023, respectively. During the three and six months ended June 30, 2023, we recognized $609.8 million and $1.29 billion in revenue that was included in the deferred revenue balance as of December 31,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remaining performance obligations was $5.92 billion, which was substantially comprised of deferred security subscription and technical support services revenue that will be recognized in future periods. We expect to recognize approximately $2.99 billion as revenue over the next 12 months and the remainder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condensed consolidated statements of income.</w:t>
      </w:r>
    </w:p>
    <w:p>
      <w:pPr>
        <w:spacing w:after="0" w:line="19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allowance for credit losses was $5.7 million and $8.2 million as of June 30, 2024 and December 31, 2023, respectively. Provisions, write-offs and recoveries were not material during the six months ended June 30,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deferred contract costs during the three months ended June 30, 2024 and 2023 were $72.7 million and $65.4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contract costs during the six months ended June 30, 2024 and 2023 were $144.7 million and $127.9 million,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investments (in millions):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5"/>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12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Our marketable equity securities were $21.2 million and $21.0 million as of June 30, 2024 and December 31, 2023. The changes in fair value of our marketable equity securities are recorded in other expense—net on the condensed consolidated statements of income. We recognized a $0.2 million loss and $0.1 million gain during the three and six months ended June 30, 2024, respectively. We recognized a $4.0 million loss and $3.4 million loss during the three and six months ended June 30,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10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2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6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36"/>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60" w:type="dxa"/>
            <w:vAlign w:val="bottom"/>
          </w:tcPr>
          <w:p>
            <w:pPr>
              <w:spacing w:after="0"/>
              <w:rPr>
                <w:sz w:val="10"/>
                <w:szCs w:val="10"/>
                <w:color w:val="auto"/>
              </w:rPr>
            </w:pPr>
          </w:p>
        </w:tc>
        <w:tc>
          <w:tcPr>
            <w:tcW w:w="760" w:type="dxa"/>
            <w:vAlign w:val="bottom"/>
          </w:tcPr>
          <w:p>
            <w:pPr>
              <w:jc w:val="center"/>
              <w:ind w:right="76"/>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6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six months ended June 30, 2024 and year ended December 31, 2023.</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1"/>
        </w:trPr>
        <w:tc>
          <w:tcPr>
            <w:tcW w:w="7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8"/>
          <w:szCs w:val="18"/>
          <w:color w:val="auto"/>
        </w:rPr>
        <w:t>The excess and obsolete inventory reserve was $128.0 million and $89.2 million as of June 30, 2024 and December 31, 2023, respectively. Inventory write-downs related to excess and obsolete inventory were $10.7 million and $28.8 million for the three and six months ended June 30, 2024, respectively, and were $7.2 million and $12.3 million for the three and six months ended June 30, 2023, respectively. These were recorded in cost of product revenue on the condensed consolidated statements of income.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1"/>
        </w:trPr>
        <w:tc>
          <w:tcPr>
            <w:tcW w:w="7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During the three months ended March 31, 2024, we purchased certain real estate properties in California for a total purchase price of</w:t>
      </w:r>
    </w:p>
    <w:p>
      <w:pPr>
        <w:spacing w:after="0" w:line="16"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$207.1 million to be used predominantly for research and development and warehousing operations. The purchases were accounted for under the asset acquisition method. The cost of the assets allocated to land, buildings and improvements, and furniture and fixtures were $101.4 million, $104.8 million, and $0.9 million, respectively, based on their relative fair values.</w:t>
      </w:r>
    </w:p>
    <w:p>
      <w:pPr>
        <w:spacing w:after="0" w:line="21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$25.9 million and $22.9 million during the three months ended June 30, 2024 and 2023, respectively. Depreciation expense was $51.5 million and $45.7 million during the six months ended June 30, 2024 and 2023, respectively.</w:t>
      </w:r>
    </w:p>
    <w:p>
      <w:pPr>
        <w:spacing w:after="0" w:line="199"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PRIVATELY HELD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During 2021, we invested $160.0 million in cash for shares of the Series A Preferred Stock of privately held Linksys Holdings, Inc. (“Linksys”), for a 50.8% ownership interest in outstanding equity of Linksys. As of June 30, 2024 and December 31, 2023, our ownership interest remained the same. Linksys provides router connectivity solutions to the consumer and small business markets.</w:t>
      </w:r>
    </w:p>
    <w:p>
      <w:pPr>
        <w:spacing w:after="0" w:line="20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211"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current expected performance relative to expected performance as of the most recent previous quarter, organizational and go to market changes, performance relative to peers and the results of a discounted cash flows analysis, we evaluated our equity method investment for an other-than-temporary impairment (“OTTI”) during the second quarter of 2024. We considered various factors in determining whether an OTTI has occurred, including Linksys’ financial results, operating history, our ability and intent to hold the investment until its fair value recovers, the discounted cash flows analysis, Linksys’ ability to achieve milestones and any notable operational and strategic changes. After this evaluation, we noted that certain factors were present that indicate that the equity method investment’s decline in value is other-than-temporary, primarily driven by Linksys’ continuous losses, decrease in revenue and operating results, current forecasted results for the foreseeable future as compared to the expected performance as of the most recent previous quarter, and the results of a discounted cash flows analysis. To determine the fair value of our investment in Linksys, we utilized a market approach referencing revenue multiples from publicly traded peer companies and concluded that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investment was lower than its carrying value. During the three months ended June 30, 2024, we recorded a non-cash charge of $8.0 million related to impairment recognized on our equity method investment in Linksys.</w:t>
      </w:r>
    </w:p>
    <w:p>
      <w:pPr>
        <w:spacing w:after="0" w:line="189" w:lineRule="exact"/>
        <w:rPr>
          <w:sz w:val="20"/>
          <w:szCs w:val="20"/>
          <w:color w:val="auto"/>
        </w:rPr>
      </w:pPr>
    </w:p>
    <w:p>
      <w:pPr>
        <w:ind w:right="420" w:firstLine="648"/>
        <w:spacing w:after="0" w:line="260" w:lineRule="auto"/>
        <w:rPr>
          <w:sz w:val="20"/>
          <w:szCs w:val="20"/>
          <w:color w:val="auto"/>
        </w:rPr>
      </w:pPr>
      <w:r>
        <w:rPr>
          <w:rFonts w:ascii="Times New Roman" w:cs="Times New Roman" w:eastAsia="Times New Roman" w:hAnsi="Times New Roman"/>
          <w:sz w:val="17"/>
          <w:szCs w:val="17"/>
          <w:color w:val="auto"/>
        </w:rPr>
        <w:t>Our loss from our Linksys investment totaled $11.8 million and $18.2 million for the three and six months ended June 30, 2024, respectively, which comprised of our proportionate share of Linksys' financial results as well as the amortization of the basis differences of $3.8 million and</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$10.2 million for the three and six months ended June 30, 2024, respectively, and an OTTI charge of $8.0 million. Our share of loss of Linksys’ financial results, as well as our share of the amortization of the basis differences, totaled $5.3 million and $27.4 million for the three and six months ended June 30, 2023, respectively. These losses and the OTTI charge were recorded in loss from equity method investments on the condensed consolidated statements of income. The carrying amount of our Linksys investment was $24.0 million and $42.2 million as of June 30, 2024 and December 31, 2023, respectively, and the investment was included in other assets on our condensed consolidated balance sheets.</w:t>
      </w:r>
    </w:p>
    <w:p>
      <w:pPr>
        <w:spacing w:after="0" w:line="2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business combination</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six months ended June 30, 2024 or during prior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$3.3 million and $4.5 million during the three months ended June 30, 2024 and 2023, respectively. Amortization expense was $6.3 million and $9.2 million during the six months ended June 30, 2024 and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(the remainder of 2024)</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25"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64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64"/>
        </w:trPr>
        <w:tc>
          <w:tcPr>
            <w:tcW w:w="5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7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60" w:type="dxa"/>
            <w:vAlign w:val="bottom"/>
            <w:tcBorders>
              <w:bottom w:val="single" w:sz="8" w:color="auto"/>
            </w:tcBorders>
          </w:tcPr>
          <w:p>
            <w:pPr>
              <w:spacing w:after="0"/>
              <w:rPr>
                <w:sz w:val="18"/>
                <w:szCs w:val="18"/>
                <w:color w:val="auto"/>
              </w:rPr>
            </w:pPr>
          </w:p>
        </w:tc>
      </w:tr>
      <w:tr>
        <w:trPr>
          <w:trHeight w:val="158"/>
        </w:trPr>
        <w:tc>
          <w:tcPr>
            <w:tcW w:w="5120" w:type="dxa"/>
            <w:vAlign w:val="bottom"/>
          </w:tcPr>
          <w:p>
            <w:pPr>
              <w:spacing w:after="0"/>
              <w:rPr>
                <w:sz w:val="13"/>
                <w:szCs w:val="13"/>
                <w:color w:val="auto"/>
              </w:rPr>
            </w:pPr>
          </w:p>
        </w:tc>
        <w:tc>
          <w:tcPr>
            <w:tcW w:w="1120" w:type="dxa"/>
            <w:vAlign w:val="bottom"/>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7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5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Pr>
          <w:p>
            <w:pPr>
              <w:spacing w:after="0"/>
              <w:rPr>
                <w:sz w:val="13"/>
                <w:szCs w:val="13"/>
                <w:color w:val="auto"/>
              </w:rPr>
            </w:pPr>
          </w:p>
        </w:tc>
      </w:tr>
      <w:tr>
        <w:trPr>
          <w:trHeight w:val="214"/>
        </w:trPr>
        <w:tc>
          <w:tcPr>
            <w:tcW w:w="6240" w:type="dxa"/>
            <w:vAlign w:val="bottom"/>
            <w:gridSpan w:val="2"/>
          </w:tcPr>
          <w:p>
            <w:pPr>
              <w:ind w:left="5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8"/>
                <w:szCs w:val="18"/>
                <w:color w:val="auto"/>
              </w:rPr>
            </w:pP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
        </w:trPr>
        <w:tc>
          <w:tcPr>
            <w:tcW w:w="5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June 30, 2024 and December 31, 2023,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As of June 30, 2024 and December 31, 2023, we accrued interest payable of $4.7 million, and there are no financial covenants with which we must comply. During the three months ended June 30, 2024 and 2023, we recorded $4.5 million of total interest expense in relation to these Senior Notes in each period. During the six months ended June 30, 2024 and 2023, we recorded $9.0 million of total interest expense in relation to these Senior Notes in each period. No interest costs were capitalized for the six months ended June 30, 2024 and 2023, as the costs that qualified for capitalization were not material.</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$880.6 million, including accrued and unpaid interest, as of June 30, 2024.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June 30, 2024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bl>
    <w:p>
      <w:pPr>
        <w:spacing w:after="0" w:line="30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of June 30, 2024, we had $566.7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June 30, 2024 and December 31, 2023, the liability for these inventory purchase commitments was $105.2 million and $84.7 million, respectively, and was recorded in accrued liabilities on our condensed consolidated balance sheets. The expense related to such accrued liability for inventory purchase commitments was $7.0 million and $12.0 million during the three months ended June 30, 2024 and 2023, respectively, and was recorded in cost of product revenue on the condensed consolidated statements of income. The expense related to such accrued liability for inventory purchase commitments was $38.6 million and $22.4 million during the six months ended June 30, 2024 and 2023, respectively, and was recorded in cost of product revenue on the condensed consolidated statements of income.</w:t>
      </w:r>
    </w:p>
    <w:p>
      <w:pPr>
        <w:spacing w:after="0" w:line="224"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June 30, 2024, we had $40.4 million in other contractual commitments having a remaining term in excess of one year that are non-cancelable.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had $82.9 million in contractual commitments related to payments for operating leases.</w:t>
      </w:r>
    </w:p>
    <w:p>
      <w:pPr>
        <w:spacing w:after="0" w:line="23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June 30, 2024, and December 31, 2023.</w:t>
      </w:r>
    </w:p>
    <w:p>
      <w:pPr>
        <w:spacing w:after="0" w:line="22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has alleged breach of warranty and misrepresentation claims, which we deny. Fact discovery closed during the quarter ended June 30, 2023 and trial is currently set for September 2024. Although we believe that the ultimate outcome of this matter will not materially impact our financial position, results of operations or cash flows, legal proceedings are subject to inherent uncertainties, and an unfavorable ruling could occur, which may result in a material adverse impact on our business, financial position, results of operations and cash flows. No loss accrual had been recorded as of June 30, 2024 or December 31, 2023 related to this litigation.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June 30, 2024, there were a total of 51.2 million shares of common stock available for grant under the Amended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June 30, 2024, total compensation expense related to unvested RSUs granted to employees and non-employees under the Amended Plan, but not yet recognized, was $477.6 million, with a weighted-average remaining vesting period of 2.7 years.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7"/>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0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0"/>
                <w:szCs w:val="20"/>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38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660" w:type="dxa"/>
            <w:vAlign w:val="bottom"/>
          </w:tcPr>
          <w:p>
            <w:pPr>
              <w:spacing w:after="0"/>
              <w:rPr>
                <w:sz w:val="13"/>
                <w:szCs w:val="13"/>
                <w:color w:val="auto"/>
              </w:rPr>
            </w:pPr>
          </w:p>
        </w:tc>
        <w:tc>
          <w:tcPr>
            <w:tcW w:w="1700" w:type="dxa"/>
            <w:vAlign w:val="bottom"/>
            <w:tcBorders>
              <w:top w:val="single" w:sz="8" w:color="auto"/>
            </w:tcBorders>
            <w:gridSpan w:val="2"/>
          </w:tcPr>
          <w:p>
            <w:pPr>
              <w:ind w:left="5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80" w:type="dxa"/>
            <w:vAlign w:val="bottom"/>
            <w:tcBorders>
              <w:top w:val="single" w:sz="8" w:color="auto"/>
            </w:tcBorders>
          </w:tcPr>
          <w:p>
            <w:pPr>
              <w:jc w:val="right"/>
              <w:ind w:right="41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1640" w:type="dxa"/>
            <w:vAlign w:val="bottom"/>
            <w:tcBorders>
              <w:top w:val="single" w:sz="8" w:color="auto"/>
            </w:tcBorders>
            <w:gridSpan w:val="2"/>
          </w:tcPr>
          <w:p>
            <w:pPr>
              <w:ind w:left="4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60" w:type="dxa"/>
            <w:vAlign w:val="bottom"/>
            <w:tcBorders>
              <w:top w:val="single" w:sz="8" w:color="auto"/>
            </w:tcBorders>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6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4"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vest—June 30, 2024</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exercisable—June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June 30, 2024, total compensation expense related to unvested stock options granted to employees but not yet recognized was $55.7 million, with a weighted-average remaining vesting period of 2.6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5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7"/>
          <w:szCs w:val="17"/>
          <w:color w:val="auto"/>
        </w:rPr>
        <w:t>We granted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20" w:type="dxa"/>
            <w:vAlign w:val="bottom"/>
            <w:gridSpan w:val="3"/>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700" w:type="dxa"/>
            <w:vAlign w:val="bottom"/>
          </w:tcPr>
          <w:p>
            <w:pPr>
              <w:spacing w:after="0"/>
              <w:rPr>
                <w:sz w:val="13"/>
                <w:szCs w:val="13"/>
                <w:color w:val="auto"/>
              </w:rPr>
            </w:pPr>
          </w:p>
        </w:tc>
        <w:tc>
          <w:tcPr>
            <w:tcW w:w="1660" w:type="dxa"/>
            <w:vAlign w:val="bottom"/>
            <w:tcBorders>
              <w:top w:val="single" w:sz="8" w:color="auto"/>
            </w:tcBorders>
            <w:gridSpan w:val="2"/>
          </w:tcPr>
          <w:p>
            <w:pPr>
              <w:ind w:left="4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40" w:type="dxa"/>
            <w:vAlign w:val="bottom"/>
            <w:tcBorders>
              <w:top w:val="single" w:sz="8" w:color="auto"/>
            </w:tcBorders>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1660" w:type="dxa"/>
            <w:vAlign w:val="bottom"/>
            <w:tcBorders>
              <w:top w:val="single" w:sz="8" w:color="auto"/>
            </w:tcBorders>
            <w:gridSpan w:val="2"/>
          </w:tcPr>
          <w:p>
            <w:pPr>
              <w:ind w:left="4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60" w:type="dxa"/>
            <w:vAlign w:val="bottom"/>
            <w:tcBorders>
              <w:top w:val="single" w:sz="8" w:color="auto"/>
            </w:tcBorders>
          </w:tcPr>
          <w:p>
            <w:pPr>
              <w:jc w:val="right"/>
              <w:ind w:right="41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7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granted less than 0.1 million shares of PSU awards and approximately 0.3 million shares of PSU awards with a weighted-average grant date fair value of $73.00 and $97.22 per share to certain of our executives during the three and six months ended June 30, 2024, respectively. We granted approximately 0.3 million shares of PSU awards with a weighted-average grant date fair value of $90.96 per share to certain of our executives during the three and six months ended June 30, 2023. The grant date fair value of these awards was determined using a Monte Carlo simulation pricing model. Approximately 0.1 million shares of PSU awards vested during the first quarter of 2024. No shares of PSU awards vested during the second quarter of 2024 or the six months ended June 30, 2023. Approximately 0.1 million shares of PSU awards were forfeited during the three and six months ended June 30, 2024. None of these PSU awards were forfeited during the six months ended June 30, 2023.</w:t>
      </w:r>
    </w:p>
    <w:p>
      <w:pPr>
        <w:spacing w:after="0" w:line="225"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As of June 30, 2024, total compensation expense related to unvested PSUs that were granted to certain of our executives, but not yet recognized, was $31.6 million. This expense is expected to be amortized on a graded vesting method over a weighted-average vesting period of 2.4 years.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0"/>
        </w:trPr>
        <w:tc>
          <w:tcPr>
            <w:tcW w:w="4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center"/>
              <w:ind w:right="17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1"/>
        </w:trPr>
        <w:tc>
          <w:tcPr>
            <w:tcW w:w="49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12"/>
          </w:tcPr>
          <w:p>
            <w:pPr>
              <w:jc w:val="right"/>
              <w:ind w:right="154"/>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5"/>
        </w:trPr>
        <w:tc>
          <w:tcPr>
            <w:tcW w:w="4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center"/>
              <w:ind w:right="17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six months ended June 30, 2024. As of June 30, 2024, $1.03 billion remained available for future share repurchases under the Repurchase Program.</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Our effective tax rate was 16% for the three months ended June 30, 2024, compared to an effective tax rate of 9% for the same period last year. Our effective tax rate was 14% for the six months ended June 30, 2024, compared to an effective tax rate of 8% for the same period last year. The tax rates for the three months ended June 30, 2024 and 2023 were composed of U.S. federal and state taxes, withholding taxes and foreign taxes that amounted to $109.9 million and $84.8 million, respectively. The tax rate for the three months ended June 30, 2024 was impacted by a tax benefit of $27.2 million from the foreign-derived intangible income (“FDII”) deduction, and excess tax benefits from stock-based compensation expense of $6.2 million. The tax rate for the three months ended June 30, 2023 was impacted by a tax benefit of $25.8 million from the FDII deduction, excess tax benefits from stock-based compensation expense of $13.3 million, and the release of reserves of $18.1 million on uncertain tax positions and the accrued interest thereon due to the expiration of statues of limitations.</w:t>
      </w:r>
    </w:p>
    <w:p>
      <w:pPr>
        <w:spacing w:after="0" w:line="20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tax rates for the six months ended June 30, 2024 and 2023 were composed of U.S. federal and state taxes, withholding taxes and foreign taxes that amounted to $191.3 million and $170.6 million, respectively. The tax rate for the six months ended June 30, 2024 was impacted by a tax benefit of $50.8 million from the FDII deduction, and excess tax benefits from stock-based compensation expense of $24.5 million. The tax rate for the six months ended June 30, 2023 was impacted by a tax benefit of $64.0 million from the FDII deduction, excess tax benefits from stock-based compensation expense of $39.6 million, and the release of reserves of $18.1 million on uncertain tax positions and the accrued interest thereon due to the expiration of statutes of limitations.</w:t>
      </w:r>
    </w:p>
    <w:p>
      <w:pPr>
        <w:spacing w:after="0" w:line="21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As of June 30, 2024 and December 31, 2023, unrecognized tax benefits were $68.3 million and $65.8 million, respectively. If recognized, $57.4 million of the unrecognized tax benefits as of June 30, 2024 would favorably affect our effective tax rate. It is our policy to include accrued interest and penalties related to unrecognized tax benefits in income tax expense. As of June 30, 2024 and December 31, 2023, accrued interest and penalties were $7.5 million and $6.4 million, respectively. It is reasonably possible that our gross unrecognized tax benefits will decrease by up to $3.9 million in the next 12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months, due to the lapse of statutes of limitation in various jurisdictions. This decrease, if recognized, would favorably impact our effective tax rate, and would be recognized as an additional tax benefit.</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and several other foreign jurisdictions. The focus of these audits is the inter-company profit allocation.</w:t>
      </w:r>
    </w:p>
    <w:p>
      <w:pPr>
        <w:spacing w:after="0" w:line="19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six months ended June 30, 2024. We will continue to evaluate the impact of these tax law changes on future reporting periods.</w:t>
      </w:r>
    </w:p>
    <w:p>
      <w:pPr>
        <w:spacing w:after="0" w:line="217"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June 30, 2024 and 2023 were $4.3 million and $5.7 million, respectively. Our matching contributions to our 401(k) Plan and the RRSP for the six months ended June 30, 2024 and 2023 were $10.6 million and $10.1 million, respectively.</w:t>
      </w:r>
    </w:p>
    <w:p>
      <w:pPr>
        <w:spacing w:after="0" w:line="21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3"/>
                <w:szCs w:val="13"/>
                <w:color w:val="auto"/>
              </w:rPr>
            </w:pPr>
          </w:p>
        </w:tc>
        <w:tc>
          <w:tcPr>
            <w:tcW w:w="1440" w:type="dxa"/>
            <w:vAlign w:val="bottom"/>
            <w:gridSpan w:val="4"/>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3"/>
                <w:szCs w:val="13"/>
                <w:color w:val="auto"/>
              </w:rPr>
            </w:pPr>
          </w:p>
        </w:tc>
        <w:tc>
          <w:tcPr>
            <w:tcW w:w="1300" w:type="dxa"/>
            <w:vAlign w:val="bottom"/>
            <w:gridSpan w:val="4"/>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31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3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7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404.7</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842.8</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530.7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2,787.6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8380" w:hanging="652"/>
        <w:spacing w:after="0" w:line="549" w:lineRule="auto"/>
        <w:tabs>
          <w:tab w:leader="none" w:pos="46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Acquisition of Lacework, Inc.</w:t>
      </w:r>
    </w:p>
    <w:p>
      <w:pPr>
        <w:spacing w:after="0" w:line="1"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18"/>
          <w:szCs w:val="18"/>
          <w:color w:val="auto"/>
        </w:rPr>
        <w:t>On August 1, 2024 (“Lacework Acquisition Date”), we completed the acquisition of Lacework, Inc. (“Lacework”), a privately held data-driven cloud security company, for approximately $149 million in cash, net of cash acquired. We intend to integrate Lacework’s Cloud-Native Application Protection Platform solution into our existing portfolio. Given the short period of time between the Lacework Acquisition Date and the condensed consolidated financial statements in this Quarterly Report on Form 10-Q, the preliminary allocation of the cash purchase price to the fair value of assets acquired and liabilities assumed has not yet been completed.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Next DLP Holdings Limited</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On August 5, 2024 (“Next DLP Acquisition Date”), we completed the acquisition of Next DLP Holdings Limited (“Next DLP”), a privately-held company that focuses on insider risk and data loss protection (“DLP”), for approximately $96 million in cash, net of cash acquired. With this acquisition, we will improve our position in the standalone enterprise DLP market and strengthen our leadership in integrated DLP markets within endpoint and SASE in alignment with our business strategy. Given the short period of time between the Next DLP Acquisition Date and the issuance of the condensed consolidated financial statements in this Quarterly Report on Form 10-Q, the preliminary allocation of the cash purchase price to the fair value of assets acquired and liabilities assumed has not yet been completed.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Real Property Purchases</w:t>
      </w:r>
    </w:p>
    <w:p>
      <w:pPr>
        <w:spacing w:after="0" w:line="243"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July and August 2024, we signed definitive agreements to purchase real property in Calgary, Canada, and Union City, California, for $6.5 million and $16.2 million in cash, respectively.</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2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tariffs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46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42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growth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points of presence (“PoP”)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year over year in absolute dollars during the remainder of 2024;</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20" w:hanging="644"/>
        <w:spacing w:after="0" w:line="259"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2024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68"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Fortinet is a leader in cybersecurity and the convergence of networking and security. Our mission is to secure people, devices and data everywhere. Our integrated platform, the Fortinet Security Fabric, spans secure networking, unified SASE and AI-driven security operations to deliver cybersecurity where our customers need it. As of June 30, 2024, over a half million customers trusted our solutions, including enterprises such as in the financial services, retail, healthcare and operational technology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June 30, 2024, we held 985 U.S. patents and 1,323 global patents and we are recognized in over 100 enterprise analyst reports demonstrating both our vision and execution across security and networking products.</w:t>
      </w:r>
    </w:p>
    <w:p>
      <w:pPr>
        <w:spacing w:after="0" w:line="198" w:lineRule="exact"/>
        <w:rPr>
          <w:sz w:val="20"/>
          <w:szCs w:val="20"/>
          <w:color w:val="auto"/>
        </w:rPr>
      </w:pPr>
    </w:p>
    <w:p>
      <w:pPr>
        <w:ind w:left="660" w:right="20" w:hanging="328"/>
        <w:spacing w:after="0" w:line="237" w:lineRule="auto"/>
        <w:tabs>
          <w:tab w:leader="none" w:pos="655" w:val="left"/>
        </w:tabs>
        <w:numPr>
          <w:ilvl w:val="0"/>
          <w:numId w:val="18"/>
        </w:numPr>
        <w:rPr>
          <w:rFonts w:ascii="Arial" w:cs="Arial" w:eastAsia="Arial" w:hAnsi="Arial"/>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software as a service (“SaaS”) solution. When delivered via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The Network Firewall solution consists of FortiGate data centers, hyperscale and distributed firewalls, as well as encrypted applications (SSL inspection, Virtual Private Network and IPsec connectivity). Our ability to converge networking and security also enables the ethernet to become an extension of a company’s security infrastructure through FortiSwitch and FortiLink. Our wireless LAN solution leverages secure networking to provide secure wireless access for the enterprise LAN edge. FortiExtender secures 5G/LTE and remote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600"/>
        <w:spacing w:after="0" w:line="266" w:lineRule="auto"/>
        <w:rPr>
          <w:sz w:val="20"/>
          <w:szCs w:val="20"/>
          <w:color w:val="auto"/>
        </w:rPr>
      </w:pPr>
      <w:r>
        <w:rPr>
          <w:rFonts w:ascii="Times New Roman" w:cs="Times New Roman" w:eastAsia="Times New Roman" w:hAnsi="Times New Roman"/>
          <w:sz w:val="18"/>
          <w:szCs w:val="18"/>
          <w:color w:val="auto"/>
        </w:rPr>
        <w:t>ethernet extenders to connect and secure any branch environment. The Secure Connectivity solution includes FortiSwitch Secure Ethernet Switches, FortiAP Wireless Local Area Network Access Points and FortiExtender 5G Connectivity Gateways.</w:t>
      </w:r>
    </w:p>
    <w:p>
      <w:pPr>
        <w:spacing w:after="0" w:line="185" w:lineRule="exact"/>
        <w:rPr>
          <w:sz w:val="20"/>
          <w:szCs w:val="20"/>
          <w:color w:val="auto"/>
        </w:rPr>
      </w:pPr>
    </w:p>
    <w:p>
      <w:pPr>
        <w:ind w:left="660" w:right="100" w:hanging="328"/>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work from anywhere becomes established, cloud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enables secure access to applications on any cloud. The Fortinet Unified SASE solution is a single-vendor SASE solution that includes Firewall, SD-WAN, Secure Web Gateway, Cloud Access Services Broker, Data Loss Prevention, Zero Trust Network Access and cloud security, including Web Application Firewalls, Virtualized Firewalls and Cloud-Native Firewalls, among other products. These functions are delivered through our FortiOS operating systems, which can deploy the full SASE stack through the cloud or on our ASIC-driven appliances. All functions can be managed through a unified management console.</w:t>
      </w:r>
    </w:p>
    <w:p>
      <w:pPr>
        <w:spacing w:after="0" w:line="207" w:lineRule="exact"/>
        <w:rPr>
          <w:rFonts w:ascii="Times New Roman" w:cs="Times New Roman" w:eastAsia="Times New Roman" w:hAnsi="Times New Roman"/>
          <w:sz w:val="18"/>
          <w:szCs w:val="18"/>
          <w:color w:val="auto"/>
        </w:rPr>
      </w:pPr>
    </w:p>
    <w:p>
      <w:pPr>
        <w:ind w:left="660" w:right="140" w:hanging="328"/>
        <w:spacing w:after="0" w:line="259"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Security Operations (SecOps)</w:t>
      </w:r>
      <w:r>
        <w:rPr>
          <w:rFonts w:ascii="Times New Roman" w:cs="Times New Roman" w:eastAsia="Times New Roman" w:hAnsi="Times New Roman"/>
          <w:sz w:val="17"/>
          <w:szCs w:val="17"/>
          <w:color w:val="auto"/>
        </w:rPr>
        <w:t>—Fortinet’s Security Operations portfolio is comprised of cybersecurity solutions that identify, protect, detect,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respond and recover, and are delivered as a platform that automates detection and response to accelerate discovery and remediation. The SecOps so</w:t>
      </w:r>
      <w:r>
        <w:rPr>
          <w:rFonts w:ascii="Times New Roman" w:cs="Times New Roman" w:eastAsia="Times New Roman" w:hAnsi="Times New Roman"/>
          <w:sz w:val="17"/>
          <w:szCs w:val="17"/>
          <w:color w:val="333333"/>
        </w:rPr>
        <w:t>lution includes FortiAI generative AI assistant,</w:t>
      </w:r>
      <w:r>
        <w:rPr>
          <w:rFonts w:ascii="Times New Roman" w:cs="Times New Roman" w:eastAsia="Times New Roman" w:hAnsi="Times New Roman"/>
          <w:sz w:val="17"/>
          <w:szCs w:val="17"/>
          <w:color w:val="auto"/>
        </w:rPr>
        <w:t xml:space="preserve"> FortiSIEM Security Information and Event Management, FortiSOAR Security Orchestration, Automation and Response, FortiEDR Endpoint Detection and Response, FortiXDR Extended Detection and Response, FortiMDR Managed Detection and Response Service, FortiNDR Network Detection and Response, FortiRecon Digital Risk Protection, FortiDeceptor Deception technology, FortiGuard SoCaaS, FortiSandbox Sandboxing Services and FortiGuard Incident Response Services, among other products.</w:t>
      </w:r>
    </w:p>
    <w:p>
      <w:pPr>
        <w:spacing w:after="0" w:line="19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FortiGuard Security Services 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12"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17"/>
          <w:szCs w:val="17"/>
          <w:color w:val="auto"/>
        </w:rPr>
        <w:t>FortiCare Technical Support Service is a per-device technical support service, which provides customers access to experts to ensure efficient and effective operations and maintenance of their Fortinet capabilities. Global technical support is offered 24x7 with flexible add-ons, including enhanced SLAs and premium hardware replacement through in-country depots. 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FortiCare Elite service aims to provide 15-minute response times for key product families.</w:t>
      </w:r>
    </w:p>
    <w:p>
      <w:pPr>
        <w:spacing w:after="0" w:line="205"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Additionally, Fortinet is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1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12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$1.43 billion and $2.79 billion during the three and six months ended June 30, 2024, an increase of 11% and 9%, respectively, compared to $1.29 billion and $2.56 billion in the same periods last year. Our revenue growth was driven by the growth in service revenue. Product revenue was $451.9 million and $860.8 million during the three and six months ended June 30, 2024, a decrease of 4% and 12%, respectively, compared to $472.6 million and $973.3 million in the same periods last year. Service revenue was $982.4 million and $1.93 billion during the three and six months ended June 30, 2024, an increase of 20% and 22%, respectively, compared to $820.2 million and $1.58 billion in the same periods last year.</w:t>
      </w:r>
    </w:p>
    <w:p>
      <w:pPr>
        <w:spacing w:after="0" w:line="214"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$1.16 billion and $2.21 billion during the three and six months ended June 30, 2024, an increase of 16% and 13%, respectively, compared to $997.0 million and $1.95 billion in the same periods last year.</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80.8% and 79.2% during the three and six months ended June 30, 2024, an increase of 3.7 and 2.8 percentage points, respectively, compared to 77.1% and 76.4% in the same periods last year.</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$437.2 million and $758.4 million during the three and six months ended June 30, 2024, an increase of 57% and 37%, respectively, compared to $279.0 million and $552.5 million in the same periods last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5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30.5% and 27.2% during the three and six months ended June 30, 2024, an increase of 8.9 and 5.6 percentage points, respectively, compared to 21.6%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and marketable equity securities were $3.34 billion as of June 30,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$5.90 billion, including short-term deferred revenue of $2.98 billion, as of June 30, 2024.</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$1.17 billion during the six months ended June 30, 2024, a decrease of $20.2 million, or 2%, compared to the same period last year.</w:t>
      </w:r>
    </w:p>
    <w:p>
      <w:pPr>
        <w:spacing w:after="0" w:line="18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On a geographic basis, revenue continues to be diversified globally, which remains a key strength of our business. During the three months ended June 30, 2024, the Americas region, the Europe, Middle East and Africa (“EMEA”) region, and the Asia Pacific (“APAC”) region contributed 42%, 39% and 19% of our total revenue, respectively and increased 11%, 12%, and 10% compared to the same period last year, respectively. During the six months ended June 30, 2024, the Americas, EMEA, and APAC regions contributed 41%, 40% and 19% of our total revenue, respectively, and increased by 9%, 12% and 4% compared to the same period last year, respectively.</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Product revenue decreased 4% and 12%, respectively, during the three and six months ended June 30, 2024 compared to the same periods last year, due to the decrease in hardware revenue, partially offset by the increase in software revenue. The decrease in hardware revenue was impacted by the change in backlog from hardware shipped in the prior periods, reduced net prices on certain products and macroeconomic conditions. When we fulfill, ship and bill during a quarter to satisfy backlog, this increases our aggregate billings and revenue during any particular quarter. As the supply chain challenges normalize, our product revenue growth rate may be lower versus prior quarters where delivery from backlog contributed more to billings. For the remainder of 2024, we expect product revenue growth rates will continue to be impacted by drawdown of backlog and pricing actions in earlier periods.</w:t>
      </w:r>
    </w:p>
    <w:p>
      <w:pPr>
        <w:spacing w:after="0" w:line="21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Service revenue growth during the three and six months ended June 30, 2024 was 20% and 22%, respectively, as compared to the same periods last year, was primarily driven by the strength of our security subscription revenue, which grew 22% and 25%, respectively.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for the remainder of 2024, with growth opportunities that include unified SASE and SecOps offerings. While service revenue is expected to grow, we anticipate that the growth rates will ease for the remainder of 2024.</w:t>
      </w:r>
    </w:p>
    <w:p>
      <w:pPr>
        <w:spacing w:after="0" w:line="22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June 30, 2024, seven countries represented approximately 50% of our billings and the remaining 50% in the aggregate were from over 100 countries that each individually contributed less than 3% of our billings.</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Operating expenses as a percentage of revenue decreased 5.2 and 2.8 percentage points, respectively, during the three and six months ended June 30, 2024 compared to the same periods last year, mainly driven by a decrease in personnel-related costs in sales and marking and a decrease in marketing expenses. Headcount decreased to 13,527 employees and contractors as of June 30, 2024, comparatively flat compared to 13,568 as of December 31,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43"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GDP growth, the war in Ukraine and the Israel-Hamas war or tensions between China and Taiwan, and their impact on customer behavior. Worsening economic conditions, including inflation, higher interest rates, slower growth, any recession, fluctuations in foreign exchange rates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p>
    <w:p>
      <w:pPr>
        <w:spacing w:after="0" w:line="211"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certain large enterprise customers, large service providers and major systems integrators. In addition, we sell our software licenses and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depending on the end-customer’s size and security requirements.</w:t>
      </w:r>
    </w:p>
    <w:p>
      <w:pPr>
        <w:spacing w:after="0" w:line="214"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and cloud-delivered solutions,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certain transactions.</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also offer our products hosted in our own data centers, PoPs and through co-locations and major cloud service providers, including Amazon Web Services, Microsoft Azure and Google Cloud. We have also recognized revenue from customers who deploy our products in a bring-your-own-license (“BYOL”) arrangements at cloud service providers or at private clouds. In a BYOL arrangement, a customer purchases a software license through our channel partners and deploys the software in a cloud provider’s environment, in third-party clouds or in their private cloud.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1,434.3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5,896.2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5,128.6</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bl>
    <w:p>
      <w:pPr>
        <w:spacing w:after="0" w:line="290"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$5.90 billion as of June 30, 2024, an increase of $161.2 million, or 3%, from December 31, 2023. Short term deferred revenue was $2.98 billion as of June 30, 2024, an increase of $126.6 million, or 4%, from December 31, 2023.</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 recognized as revenue and are impacted by the term of FortiGuard security subscription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$1.54 billion for the three months ended June 30, 2024, remained flat compared to $1.54 billion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our backlog may increase, which will negatively impact our aggregate billings and revenue in such quarter, and as the supply chain challenges normalized, our product revenue growth rate may be lower versus prior quarters where delivery from backlog contributed more to billings.</w:t>
      </w:r>
    </w:p>
    <w:p>
      <w:pPr>
        <w:spacing w:after="0" w:line="221"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860"/>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and six months ended June 30, 2024, as compared to the critical accounting policies and estimates described in our Annual Report on Form 10-K filed with the SEC on February 26, 2024 (the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5"/>
              </w:rPr>
              <w:t>11 %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5"/>
              </w:rPr>
              <w:t>11 %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5"/>
              </w:rPr>
              <w:t>11 %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Total revenue increased $141.5 million, or 11%, during the three months ended June 30, 2024 compared to the same period last year. We continued to experience diversification of revenue geographically, and across customer and industry segments. Revenue from all regions grew, with the Americas and EMEA contributing the larger portion of the increase on an absolute dollar basis and EMEA, contributing the largest portion of the increase on a percentage basis.</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Product revenue decreased $20.7 million, or 4%, during the three months ended June 30, 2024 compared to the same period last year, due to the decrease in hardware revenue, partially offset by the increase in software revenue. The decrease in hardware revenue was impacted by the change in backlog from hardware shipped in the prior periods, reduced net prices on certain products and macroeconomic conditions. When we fulfill, ship and bill during a quarter to satisfy backlog, this increases our aggregate billings and revenue during any particular quarter. As the supply chain challenges normalize, our product revenue growth rate may be lower versus prior quarters where delivery from backlog contributed more to billings. For the remainder of 2024, we expect product revenue growth rates will continue to be impacted by drawdown of backlog in earlier periods and earlier pricing actions.</w:t>
      </w:r>
    </w:p>
    <w:p>
      <w:pPr>
        <w:spacing w:after="0" w:line="21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$162.2 million, or 20%, during the three months ended June 30, 2024 compared to the same period last year. Security subscription revenue increased $101.4 million, or 22%, and technical support and other services revenue increased $60.8 million, or 17%, during the three months ended June 30, 2024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SASE and SecOps.</w:t>
      </w:r>
    </w:p>
    <w:p>
      <w:pPr>
        <w:spacing w:after="0" w:line="212"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17"/>
          <w:szCs w:val="17"/>
          <w:color w:val="auto"/>
        </w:rPr>
        <w:t>Of the service revenue recognized during the three months ended June 30, 2024, 90% was included in the deferred revenue balance as of March 31, 2024. Of the service revenue recognized during the three months ended June 30, 2023, 89% was included in the deferred revenue balance as of March</w:t>
      </w:r>
    </w:p>
    <w:p>
      <w:pPr>
        <w:spacing w:after="0" w:line="1"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31, 2023. We expect service revenue growth rates to ease throughout the remainder of 2024 due to slowing deferred revenue and product revenue growth over the past several quarters, partially offset by increases in SaaS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155.1</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174.5</w:t>
            </w:r>
          </w:p>
        </w:tc>
        <w:tc>
          <w:tcPr>
            <w:tcW w:w="12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119.9</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121.3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275.0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295.8</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3.7 percentage points during the three months ended June 30, 2024 compared to the same period last year, primarily driven by increased product and service gross margin and a shift in the revenue mix to higher margin service revenue. Revenue mix shifted by 5.1 percentage points from product revenue to service revenue, as a percentage of total revenue.</w:t>
      </w:r>
    </w:p>
    <w:p>
      <w:pPr>
        <w:spacing w:after="0" w:line="20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increased 2.6 percentage points during the three months ended June 30, 2024 compared to the same period last year, primarily due to lower expedite fees, a shift in revenue mix from hardware to software, lower freight costs and inventory related reserves expense, partially offset by reduced prices on certain products. During the first quarter 2024, we lowered list prices on select products. Cost of product revenue was comprised primarily of third-party contract manufacturers’ costs, costs of materials used in production and inventory reserves.</w:t>
      </w:r>
    </w:p>
    <w:p>
      <w:pPr>
        <w:spacing w:after="0" w:line="204"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2.6 percentage points during the three months ended June 30, 2024 compared to the same period last year, primarily driven by slower labor and other cost growth and a revenue mix shift towards higher margin security subscription services. Cost of service revenue was comprised primarily of personnel-related costs, third-party repair and contract fulfillment, data center costs, colocation and cloud provider fees, supplies and facility-related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 increased $12.1 million, or 8%, during the three months ended June 30, 2024 compared to the same period last year, primarily due to an increase of $8.8 million in personnel-related costs as a result of increased headcount and compensation rates to support the development of new products and continued enhancements to our existing products. In addition, depreciation expense and other occupancy-related expense increased $2.0 million and product development costs increased $1.1 million. We currently intend to continue investing in our research and development organization, and expect research and development expense to increase in absolute dollars year over year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decreased $14.6 million, or 3%, during the three months ended June 30, 2024 compared to the same period last year, primarily due to a decrease of $11.4 million in personnel-related costs, a decrease of $5.5 million in marketing expenses and the favorable impact of foreign currency fluctuations. The decreases were partially offset by an increase of $1.6 million in travel expense. We currently intend to continue making investments in sales and marketing resources critical to support our future growth and expect our sales and marketing expense to increase in absolute dollars year over year during the remainder of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 increased $6.7 million, or 13%, during the three months ended June 30, 2024 compared to the same period last year, primarily due to an increase of $6.3 million in legal related fees and other professional services fees. We currently expect general and administrative expense to increase in absolute dollars year over year during the remainder of 2024.</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generated operating income of $437.2 million during the three months ended June 30, 2024, an increase of $158.2 million, or 57%, compared to $279.0 million in the same period last year. Operating margin was 30.5% during the three months ended June 30, 2024, compared to 21.6% in the same period last year. The increase in operating margin was primarily due to 5.0 percentage points decrease in sales and marketing expense as a percentage of revenue, 3.7 percentage points increase in gross margin and 0.3 percentage points decrease in research and development expense as a percentage of revenue, partially offset by a 0.1 percentage point increase in general and administrative expense as a percentage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6"/>
                <w:szCs w:val="16"/>
                <w:color w:val="auto"/>
              </w:rPr>
            </w:pPr>
          </w:p>
        </w:tc>
        <w:tc>
          <w:tcPr>
            <w:tcW w:w="1440" w:type="dxa"/>
            <w:vAlign w:val="bottom"/>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60" w:type="dxa"/>
            <w:vAlign w:val="bottom"/>
          </w:tcPr>
          <w:p>
            <w:pPr>
              <w:spacing w:after="0"/>
              <w:rPr>
                <w:sz w:val="16"/>
                <w:szCs w:val="16"/>
                <w:color w:val="auto"/>
              </w:rPr>
            </w:pPr>
          </w:p>
        </w:tc>
        <w:tc>
          <w:tcPr>
            <w:tcW w:w="176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38.3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31.6</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income increased $6.7 million during the three months ended June 30, 2024 compared to the same period last year, primarily as a result of higher interest rates and investment balances. Interest income varies depending on our average investment balances during the period, types and mix of investments, and market interest rates. Interest expense remained comparatively flat during the three months ended June 30, 2024 compared to the same period last year. The $4.0 million change in Other expense—net during the three months ended June 30, 2024 compared to the same period last year, was primarily due to a $3.8 million lower loss on marketable equity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260" w:type="dxa"/>
            <w:vAlign w:val="bottom"/>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3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76.5</w:t>
            </w:r>
          </w:p>
        </w:tc>
        <w:tc>
          <w:tcPr>
            <w:tcW w:w="132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13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16% for the three months ended June 30, 2024 compared to an effective tax rate of 9% for the same period last year. The provision for income taxes for the three months ended June 30, 2024 was primarily comprised of U.S. federal and state taxes, withholding taxes and foreign taxes totaling $109.9 million, which were favorably affected by a tax benefit of $27.2 million from the foreign-derived intangible income deduction (the “FDII deduction”) and excess tax benefits from stock-based compensation expense of $6.2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provision for income taxes for the three months ended June 30, 2023 was comprised of U.S. federal and state taxes, withholding taxes, and foreign taxes totaling $84.8 million, which were favorably affected by a tax benefit of $25.8 million from the FDII deduction, excess tax benefits from stock-based compensation expense of $13.3 million, and the release of reserves of $18.1 million on uncertain tax positions and the accrued interest thereon due to the expiration of statues of limitations.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19685</wp:posOffset>
            </wp:positionV>
            <wp:extent cx="2288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Pr>
          <w:p>
            <w:pPr>
              <w:spacing w:after="0"/>
              <w:rPr>
                <w:sz w:val="16"/>
                <w:szCs w:val="16"/>
                <w:color w:val="auto"/>
              </w:rPr>
            </w:pPr>
          </w:p>
        </w:tc>
        <w:tc>
          <w:tcPr>
            <w:tcW w:w="1400" w:type="dxa"/>
            <w:vAlign w:val="bottom"/>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increased $6.7 million during the three months ended June 30, 2024 compared to the same period last year, primarily driven by the OTTI charge of $8.0 million recorded during the three months ended June 30, 2024, partially offset by our proportionate share of Linksys’ financial results including our share of the amortization of the basis differences improved over the same period last year .</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2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-121920</wp:posOffset>
            </wp:positionV>
            <wp:extent cx="4097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$232.5 million, or 9%, during the six months ended June 30, 2024 compared to the same period last year. We continued to experience diversification of revenue geographically, and across customer and industry segments. Revenue from all regions grew, with EMEA contributing the largest portion of the increase on an absolute dollar basis and on a percentage basis.</w:t>
      </w:r>
    </w:p>
    <w:p>
      <w:pPr>
        <w:spacing w:after="0" w:line="189" w:lineRule="exact"/>
        <w:rPr>
          <w:sz w:val="20"/>
          <w:szCs w:val="20"/>
          <w:color w:val="auto"/>
        </w:rPr>
      </w:pPr>
    </w:p>
    <w:p>
      <w:pPr>
        <w:ind w:right="200" w:firstLine="648"/>
        <w:spacing w:after="0" w:line="232" w:lineRule="auto"/>
        <w:rPr>
          <w:sz w:val="20"/>
          <w:szCs w:val="20"/>
          <w:color w:val="auto"/>
        </w:rPr>
      </w:pPr>
      <w:r>
        <w:rPr>
          <w:rFonts w:ascii="Times New Roman" w:cs="Times New Roman" w:eastAsia="Times New Roman" w:hAnsi="Times New Roman"/>
          <w:sz w:val="18"/>
          <w:szCs w:val="18"/>
          <w:color w:val="auto"/>
        </w:rPr>
        <w:t>Product revenue decreased $112.5 million, or 12%, during the six months ended June 30, 2024 compared to the same period last year, due to the decrease in hardware revenue, partially offset by the increase in software revenue. The decrease in hardware revenue was impacted by the change in backlog from hardware shipped in the prior periods, reduced net prices on certain products and macroeconomic conditions. When we fulfill, ship and bill during a quarter to satisfy backlog, this increases our aggregate billings and revenue during any particular quarter. As the supply chain challenges normalize, our product revenue growth rate may be lower versus prior quarters where delivery from backlog contributed more to billings.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$345.0 million, or 22%, during the six months ended June 30, 2024 compared to the same period last year. Security subscription revenue increased $216.6 million, or 25%, and technical support and other services revenue increased $128.4 million, or 18%, during the six months ended June 30, 2024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SASE and SecOps.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service revenue recognized during the six months ended June 30, 2024, 84% was included in the deferred revenue balance as of</w:t>
      </w:r>
    </w:p>
    <w:p>
      <w:pPr>
        <w:spacing w:after="0" w:line="237" w:lineRule="auto"/>
        <w:rPr>
          <w:sz w:val="20"/>
          <w:szCs w:val="20"/>
          <w:color w:val="auto"/>
        </w:rPr>
      </w:pPr>
      <w:r>
        <w:rPr>
          <w:rFonts w:ascii="Times New Roman" w:cs="Times New Roman" w:eastAsia="Times New Roman" w:hAnsi="Times New Roman"/>
          <w:sz w:val="18"/>
          <w:szCs w:val="18"/>
          <w:color w:val="auto"/>
        </w:rPr>
        <w:t>December 31, 2023. Of the service revenue recognized during the six months ended June 30, 2023, 81% was included in the deferred revenue balance as of</w:t>
      </w:r>
    </w:p>
    <w:p>
      <w:pPr>
        <w:spacing w:after="0"/>
        <w:rPr>
          <w:sz w:val="20"/>
          <w:szCs w:val="20"/>
          <w:color w:val="auto"/>
        </w:rPr>
      </w:pPr>
      <w:r>
        <w:rPr>
          <w:rFonts w:ascii="Times New Roman" w:cs="Times New Roman" w:eastAsia="Times New Roman" w:hAnsi="Times New Roman"/>
          <w:sz w:val="18"/>
          <w:szCs w:val="18"/>
          <w:color w:val="auto"/>
        </w:rPr>
        <w:t>December 31, 2022. We expect service revenue growth rates to ease throughout the remainder of 2024 due to slowing deferred revenue and product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over the past several quarters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partially offset by increases in SaaS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8"/>
              </w:rPr>
              <w:t>337.9</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368.1</w:t>
            </w:r>
          </w:p>
        </w:tc>
        <w:tc>
          <w:tcPr>
            <w:tcW w:w="12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8"/>
              </w:rPr>
              <w:t>241.8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235.5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8"/>
              </w:rPr>
              <w:t>579.7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603.6</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2.8 percentage points during the six months ended June 30, 2024 compared to the same period last year, primarily driven by a shift in the revenue mix to higher margin service revenue and increased service gross margin, partially offset by decreased product gross margin. Revenue mix shifted by 7.2 percentage points from product revenue to service revenue, as a percentage of total revenue.</w:t>
      </w:r>
    </w:p>
    <w:p>
      <w:pPr>
        <w:spacing w:after="0" w:line="204"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Product gross margin decreased 1.5 percentage points during the six months ended June 30, 2024 compared to the same period last year, primarily due to inventory related reserves expense and reduced prices on certain products, partially offset by lower expedite fees, a shift in revenue mix from hardware to software and lower freight costs. During the first quarter of 2024, we lowered list prices on select products. Cost of product revenue was comprised primarily of third-party contract manufacturers’ costs, costs of materials used in production and inventory reserves.</w:t>
      </w:r>
    </w:p>
    <w:p>
      <w:pPr>
        <w:spacing w:after="0" w:line="21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2.4 percentage points during the six months ended June 30, 2024 compared to the same period last year, primarily driven by slower labor and other cost growth, pricing actions in earlier periods and a revenue mix shift towards higher margin security subscription services. Cost of service revenue was comprised primarily of personnel-related costs, third-party repair and contract fulfillment, data center costs, colocation and cloud provider fees, supplies and facility-related costs.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6"/>
                <w:szCs w:val="16"/>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$34.0 million, or 11%, during the six months ended June 30, 2024 compared to the same period last year, primarily due to an increase of $24.6 million in personnel-related costs as a result of increased headcount and compensation rates to support the development of new products and continued enhancements to our existing products. In addition, depreciation expense and other occupancy-related expense increased $5.7 million and non-personnel-related product development costs increased $3.1 million, partially offset by the favorable impact of foreign currency fluctuations.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jc w:val="both"/>
        <w:ind w:right="300" w:firstLine="648"/>
        <w:spacing w:after="0" w:line="245" w:lineRule="auto"/>
        <w:rPr>
          <w:sz w:val="20"/>
          <w:szCs w:val="20"/>
          <w:color w:val="auto"/>
        </w:rPr>
      </w:pPr>
      <w:r>
        <w:rPr>
          <w:rFonts w:ascii="Times New Roman" w:cs="Times New Roman" w:eastAsia="Times New Roman" w:hAnsi="Times New Roman"/>
          <w:sz w:val="18"/>
          <w:szCs w:val="18"/>
          <w:color w:val="auto"/>
        </w:rPr>
        <w:t>Sales and marketing expense increased $8.2 million, or 1%, during the six months ended June 30, 2024 compared to the same period last year, primarily due to an increase of $10.3 million in personnel-related costs. In addition, travel expense increased $4.4 million and depreciation expense and other occupancy-related expense increased $1.9 million. The increases were partially offset by a decrease of $10.8 million in marketing-related expense and the favorable impact of foreign currency fluctuations.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$8.3 million, or 8%, during the six months ended June 30, 2024 compared to the same period last year, primarily due to an increase of $10.1 million in legal related fees and other professional services fees, an increase of $2.0 million in depreciation expense and other occupancy-related expense, partially offset by a decrease of $2.9 million in provision for expected credit losses.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We generated operating income of $758.4 million during the six months ended June 30, 2024, an increase of $205.9 million, or 37%, compared to $552.5 million in the same period last year. Operating margin was 27.2% during the six months ended June 30, 2024, compared to 21.6% in the same period last year. The increase in operating margin was primarily due to 3.0 percentage points decrease in sales and marketing expense as a percentage of revenue and 2.8 percentage points increase in gross margin, partially offset by a 0.2 percentage point increase in research and development expense as a percentage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40" w:type="dxa"/>
            <w:vAlign w:val="bottom"/>
            <w:gridSpan w:val="3"/>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70.5</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18.3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0.1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(0.9)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Interest income increased $18.3 million during the six months ended June 30, 2024 compared to the same period last year, primarily as a result of higher interest rates and investment balances. Interest income varies depending on our average investment balances during the period, types and mix of investments, and market interest rates. Interest expense remained comparatively flat during the six months ended June 30, 2024 compared to the same period last year. The $0.9 million change in Other expense—net during the six months ended June 30, 2024 compared to the same period last year, was primarily due to an increase of $4.0 million foreign currency exchange losses, partially offset by a $3.5 million lower loss on marketable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20" w:type="dxa"/>
            <w:vAlign w:val="bottom"/>
          </w:tcPr>
          <w:p>
            <w:pPr>
              <w:jc w:val="center"/>
              <w:ind w:left="55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6"/>
                <w:szCs w:val="16"/>
                <w:color w:val="auto"/>
              </w:rPr>
            </w:pPr>
          </w:p>
        </w:tc>
        <w:tc>
          <w:tcPr>
            <w:tcW w:w="13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Pr>
          <w:p>
            <w:pPr>
              <w:spacing w:after="0"/>
              <w:rPr>
                <w:sz w:val="16"/>
                <w:szCs w:val="16"/>
                <w:color w:val="auto"/>
              </w:rPr>
            </w:pP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6"/>
                <w:szCs w:val="16"/>
                <w:color w:val="auto"/>
              </w:rPr>
            </w:pPr>
          </w:p>
        </w:tc>
        <w:tc>
          <w:tcPr>
            <w:tcW w:w="170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4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116.0</w:t>
            </w:r>
          </w:p>
        </w:tc>
        <w:tc>
          <w:tcPr>
            <w:tcW w:w="132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13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14% for the six months ended June 30, 2024 compared to an effective tax rate of 8% for the same period last year. The provision for income taxes for the six months ended June 30, 2024 was primarily comprised of U.S. federal and state taxes, withholding taxes and foreign taxes that were $191.3 million. This provision for income taxes was favorably affected by a tax benefit of $50.8 million from the FDII deduction, and excess tax benefits from stock-based compensation expense of $24.5 million.</w:t>
      </w:r>
    </w:p>
    <w:p>
      <w:pPr>
        <w:spacing w:after="0" w:line="208"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The provision for income taxes for the six months ended June 30, 2023 was comprised of U.S. federal and state taxes, withholding taxes, and foreign taxes that were $170.6 million, which were offset by a tax benefit of $64.0 million from the FDII deduction, excess tax benefits from stock-based compensation expense of $39.6 million, and the release of reserves of $18.1 million on uncertain tax positions and the accrued interest thereon due to the expiration of statutes of limitations.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1160" w:type="dxa"/>
            <w:vAlign w:val="bottom"/>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decreased $8.8 million during the six months ended June 30, 2024 compared to the same period last year, primarily driven by our proportionate share of Linksys’ financial results including our share of the amortization of the basis differences improved over the same period last year, partially offset by the OTTI charge of $8.0 million recorded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93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6"/>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and other capital expenditures, payment of taxes in connection with the net settlement of equity awards and proceeds from the issuance of common stock and repurchases of our common stock.</w:t>
      </w:r>
    </w:p>
    <w:p>
      <w:pPr>
        <w:spacing w:after="0" w:line="190"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interest rates, economic strength, supply chain capacity and disruptions, international conflicts, including the war in Ukraine and the Israel-Hamas war, and our ability to execute. We expect proceeds from the exercise of stock options in future years to be impacted by the increased mix of restricted stock units and performance stock units versus stock options granted to our employees and to vary based on our share price.</w:t>
      </w:r>
    </w:p>
    <w:p>
      <w:pPr>
        <w:spacing w:after="0" w:line="21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As of June 30, 2024, approximately $1.03 billion remained available for future share repurchases.</w:t>
      </w:r>
    </w:p>
    <w:p>
      <w:pPr>
        <w:spacing w:after="0" w:line="208"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$75.0 million and $115.0 million in the second half of 2024.</w:t>
      </w:r>
    </w:p>
    <w:p>
      <w:pPr>
        <w:spacing w:after="0" w:line="21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As of June 30, 2024, the long-term debt, net of unamortized discount and debt issuance costs, was $993.3 million.</w:t>
      </w:r>
    </w:p>
    <w:p>
      <w:pPr>
        <w:spacing w:after="0" w:line="208"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These inventory purchase commitments as of June 30, 2024 totaled $566.7 million, a decrease of $70.6 million compared to $637.3 million as of December 31, 2023 due to fulfillment of customer demand as our supply availability improved and our continued efforts to work with contract manufacturers and suppliers to optimize our inventory and purchase commitment position. We record a liability for inventory purchase commitments in excess of our future demand forecasts consistent with the valuation of our excess and obsolete inventory. As of June 30, 2024 and December 31, 2023, the liability for these inventory purchase commitments was $105.2 million and $84.7 million, respectively, and was recorded in accrued liabilities on our condensed consolidated balance sheets.</w:t>
      </w:r>
    </w:p>
    <w:p>
      <w:pPr>
        <w:spacing w:after="0" w:line="21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increased our purchase commitments in prior years to address significant supply constraints seen industry-wide due to component shortages. Our agreements secured supply and pricing for certain product components with contract manufacturers to meet customer demand and to address extended lead times.</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1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9" w:lineRule="exact"/>
        <w:rPr>
          <w:sz w:val="20"/>
          <w:szCs w:val="20"/>
          <w:color w:val="auto"/>
        </w:rPr>
      </w:pPr>
    </w:p>
    <w:p>
      <w:pPr>
        <w:ind w:right="620" w:firstLine="648"/>
        <w:spacing w:after="0" w:line="242"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June 30, 2024, we had $40.4 million in other contractual commitments having a remaining term in excess of one year that are non-cancelable.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2023.</w:t>
      </w:r>
    </w:p>
    <w:p>
      <w:pPr>
        <w:spacing w:after="0" w:line="2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our cash, cash equivalents and short-term and long-term investments of $3.32 billion were invested primarily in deposit accounts, commercial paper, corporate debt securities, U.S. government and agency securities, certificates of deposit and term deposits and money market funds. It is our investment policy to invest excess cash in a manner that preserves capital, provides liquidity and generates return without significantly increasing risk. We do not enter into investments for trading or speculative purposes.</w:t>
      </w:r>
    </w:p>
    <w:p>
      <w:pPr>
        <w:spacing w:after="0" w:line="207"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$164.0 million as of June 30, 2024 and $199.9 million as of December 31, 2023.</w:t>
      </w:r>
    </w:p>
    <w:p>
      <w:pPr>
        <w:spacing w:after="0" w:line="175"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interest rates; and the war in Ukraine and the Israel-Hamas war.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1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deferred revenue, deferred contract costs, deferred tax assets, inventory, accounts payable and accrued liabilities.</w:t>
      </w:r>
    </w:p>
    <w:p>
      <w:pPr>
        <w:spacing w:after="0" w:line="20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operating activities during the six months ended June 30, 2024 provided cash flows of $1.17 billion as a result of the continued growth of our business, improved profitability and our ability to successfully manage our working capital. Changes in operating assets and liabilities primarily resulted from an increase in sales of our security subscription services and technical support services to new and existing customers, as reflected by an increase of $161.7 million in our deferred revenue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2024. In addition, changes in operating assets and liabilities were driven by a decrease of $318.9 million in accounts receivable—net, an increase of $136.0 million in deferred contract costs, an increase of $130.3 million in deferred tax assets, a decrease of $85.2 million in inventory, a decrease of $67.2 million in accounts payable and a decrease of $24.9 million in accrued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used in investing activities was $320.4 million, primarily driven by $245.0 million used for the purchases of property and equipment, $69.7 million spent for purchases of investments, net of maturities and sales of investments and $5.7 million used for the acquisitions of certain assets and liabilities in a business combination, net of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Fortinet, Inc. 2009 Equity Incentive Plan.</w:t>
      </w:r>
    </w:p>
    <w:p>
      <w:pPr>
        <w:spacing w:after="0" w:line="20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used in financing activities was $44.3 million, primarily driven by $43.5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six months ended June 30, 2024 compared to the disclosures in Part II, Item 7A of the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June 30, 2024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June 30, 2024, that have materially affected, or are reasonably likely to materially affect, our internal controls over financial reporting.</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1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49" w:lineRule="exact"/>
        <w:rPr>
          <w:sz w:val="20"/>
          <w:szCs w:val="20"/>
          <w:color w:val="auto"/>
        </w:rPr>
      </w:pPr>
    </w:p>
    <w:p>
      <w:pPr>
        <w:ind w:left="1300" w:right="10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Israel-Hamas war, tensions between China and Taiwan, or other factors;</w:t>
      </w:r>
    </w:p>
    <w:p>
      <w:pPr>
        <w:spacing w:after="0" w:line="203"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89" w:lineRule="exact"/>
        <w:rPr>
          <w:rFonts w:ascii="Times New Roman" w:cs="Times New Roman" w:eastAsia="Times New Roman" w:hAnsi="Times New Roman"/>
          <w:sz w:val="18"/>
          <w:szCs w:val="18"/>
          <w:color w:val="auto"/>
        </w:rPr>
      </w:pPr>
    </w:p>
    <w:p>
      <w:pPr>
        <w:ind w:left="1300" w:right="78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9" w:lineRule="exact"/>
        <w:rPr>
          <w:rFonts w:ascii="Times New Roman" w:cs="Times New Roman" w:eastAsia="Times New Roman" w:hAnsi="Times New Roman"/>
          <w:sz w:val="18"/>
          <w:szCs w:val="18"/>
          <w:color w:val="auto"/>
        </w:rPr>
      </w:pPr>
    </w:p>
    <w:p>
      <w:pPr>
        <w:jc w:val="both"/>
        <w:ind w:left="1300" w:right="60" w:hanging="644"/>
        <w:spacing w:after="0"/>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the Israel-Hamas war, and critical infrastructure attacks;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our backlog may increase, which will negatively impact our aggregate billings and revenue in such quarter;</w:t>
      </w:r>
    </w:p>
    <w:p>
      <w:pPr>
        <w:spacing w:after="0" w:line="203" w:lineRule="exact"/>
        <w:rPr>
          <w:rFonts w:ascii="Times New Roman" w:cs="Times New Roman" w:eastAsia="Times New Roman" w:hAnsi="Times New Roman"/>
          <w:sz w:val="18"/>
          <w:szCs w:val="18"/>
          <w:color w:val="auto"/>
        </w:rPr>
      </w:pPr>
    </w:p>
    <w:p>
      <w:pPr>
        <w:ind w:left="1300" w:right="260" w:hanging="644"/>
        <w:spacing w:after="0" w:line="272" w:lineRule="auto"/>
        <w:tabs>
          <w:tab w:leader="none" w:pos="12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supply chain challenges normalize, our product revenue growth rate may be lower versus prior quarters where delivery from backlog contributed more to billings. We expect billings growth to normalize and lower impact from backlog fluctuations. For the first half of 2024, the comparably lower backlog contribution to billings has resulted in decreased year-over-year quarterly growth rate;</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238"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the Israel-Hamas war and other factors;</w:t>
      </w:r>
    </w:p>
    <w:p>
      <w:pPr>
        <w:spacing w:after="0" w:line="203" w:lineRule="exact"/>
        <w:rPr>
          <w:rFonts w:ascii="Times New Roman" w:cs="Times New Roman" w:eastAsia="Times New Roman" w:hAnsi="Times New Roman"/>
          <w:sz w:val="18"/>
          <w:szCs w:val="18"/>
          <w:color w:val="auto"/>
        </w:rPr>
      </w:pPr>
    </w:p>
    <w:p>
      <w:pPr>
        <w:ind w:left="1300" w:right="22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vulnerabilities in our products or services, and any actual or perceived breach of our network or our customers’ networks;</w:t>
      </w:r>
    </w:p>
    <w:p>
      <w:pPr>
        <w:spacing w:after="0" w:line="162"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3"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accounting risks, integration risks related to product plans and products and risks of negative impact by such acquisitions and equity investments on our financial results;</w:t>
      </w:r>
    </w:p>
    <w:p>
      <w:pPr>
        <w:spacing w:after="0" w:line="203" w:lineRule="exact"/>
        <w:rPr>
          <w:rFonts w:ascii="Times New Roman" w:cs="Times New Roman" w:eastAsia="Times New Roman" w:hAnsi="Times New Roman"/>
          <w:sz w:val="18"/>
          <w:szCs w:val="18"/>
          <w:color w:val="auto"/>
        </w:rPr>
      </w:pPr>
    </w:p>
    <w:p>
      <w:pPr>
        <w:ind w:left="1300" w:right="66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performance relating to environmental, social and governance (“ESG”) and commitment to carbon neutrality;</w:t>
      </w:r>
    </w:p>
    <w:p>
      <w:pPr>
        <w:spacing w:after="0" w:line="18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data security requirements and enforcement across certain jurisdictions;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the Israel-Hamas war, and critical infrastructure attacks;</w:t>
      </w:r>
    </w:p>
    <w:p>
      <w:pPr>
        <w:spacing w:after="0" w:line="207" w:lineRule="exact"/>
        <w:rPr>
          <w:rFonts w:ascii="Times New Roman" w:cs="Times New Roman" w:eastAsia="Times New Roman" w:hAnsi="Times New Roman"/>
          <w:sz w:val="18"/>
          <w:szCs w:val="18"/>
          <w:color w:val="auto"/>
        </w:rPr>
      </w:pPr>
    </w:p>
    <w:p>
      <w:pPr>
        <w:ind w:left="1300" w:right="40" w:hanging="644"/>
        <w:spacing w:after="0" w:line="245"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market demand and any negative impact to our sales and the effectiveness of our sales team based on changes to sales compensation or to our sales compensation plan;</w:t>
      </w:r>
    </w:p>
    <w:p>
      <w:pPr>
        <w:spacing w:after="0" w:line="194" w:lineRule="exact"/>
        <w:rPr>
          <w:rFonts w:ascii="Times New Roman" w:cs="Times New Roman" w:eastAsia="Times New Roman" w:hAnsi="Times New Roman"/>
          <w:sz w:val="18"/>
          <w:szCs w:val="18"/>
          <w:color w:val="auto"/>
        </w:rPr>
      </w:pPr>
    </w:p>
    <w:p>
      <w:pPr>
        <w:ind w:left="1300" w:hanging="644"/>
        <w:spacing w:after="0" w:line="24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11" w:lineRule="exact"/>
        <w:rPr>
          <w:rFonts w:ascii="Times New Roman" w:cs="Times New Roman" w:eastAsia="Times New Roman" w:hAnsi="Times New Roman"/>
          <w:sz w:val="18"/>
          <w:szCs w:val="18"/>
          <w:color w:val="auto"/>
        </w:rPr>
      </w:pPr>
    </w:p>
    <w:p>
      <w:pPr>
        <w:ind w:left="1300" w:right="40" w:hanging="644"/>
        <w:spacing w:after="0" w:line="245"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48" w:lineRule="exact"/>
        <w:rPr>
          <w:rFonts w:ascii="Times New Roman" w:cs="Times New Roman" w:eastAsia="Times New Roman" w:hAnsi="Times New Roman"/>
          <w:sz w:val="18"/>
          <w:szCs w:val="18"/>
          <w:color w:val="auto"/>
        </w:rPr>
      </w:pPr>
    </w:p>
    <w:p>
      <w:pPr>
        <w:jc w:val="both"/>
        <w:ind w:left="1300" w:right="3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63"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8"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49"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on our billings, revenue, operating margins and free cash flow;</w:t>
      </w:r>
    </w:p>
    <w:p>
      <w:pPr>
        <w:spacing w:after="0" w:line="198" w:lineRule="exact"/>
        <w:rPr>
          <w:rFonts w:ascii="Times New Roman" w:cs="Times New Roman" w:eastAsia="Times New Roman" w:hAnsi="Times New Roman"/>
          <w:sz w:val="18"/>
          <w:szCs w:val="18"/>
          <w:color w:val="auto"/>
        </w:rPr>
      </w:pPr>
    </w:p>
    <w:p>
      <w:pPr>
        <w:ind w:left="1300" w:right="6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3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38"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and hosted services and the uncertainty associated with transitioning to providing such services;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19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9"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93"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such as that caused by the war in Ukraine, the Israel-Hamas war, tensions between China and Taiwan, and any disruption or negative impact on our ability to sell to, ship product to and support customers in certain regions based on trade restrictions, embargoes and export control law restrictions;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9"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75"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20"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increasing or decreasing interest rates, reduced information technology spending, including firewall and other security spending, or any economic downturn or recession, may adversely impact our business.</w:t>
      </w:r>
    </w:p>
    <w:p>
      <w:pPr>
        <w:spacing w:after="0" w:line="16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and the Israel-Hamas war each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and our operating margins may decline.</w:t>
      </w: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rising interest rates, the war in Ukraine and the Israel-Hamas war,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or acquisition of new data centers, data center expansions or office buildings, could involve significant risks to our business.</w:t>
      </w:r>
    </w:p>
    <w:p>
      <w:pPr>
        <w:spacing w:after="0" w:line="17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1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issues and geological problems;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ESG;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3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30% of our total net accounts receivable as of June 30, 2024.</w:t>
      </w:r>
    </w:p>
    <w:p>
      <w:pPr>
        <w:spacing w:after="0" w:line="16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8"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18"/>
          <w:szCs w:val="18"/>
          <w:color w:val="auto"/>
        </w:rPr>
        <w:t>Six distributor customers accounted for 68% of our total net accounts receivable in the aggregate as of June 30, 2024. See Note 14.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12" w:lineRule="exact"/>
        <w:rPr>
          <w:sz w:val="20"/>
          <w:szCs w:val="20"/>
          <w:color w:val="auto"/>
        </w:rPr>
      </w:pPr>
    </w:p>
    <w:p>
      <w:pPr>
        <w:jc w:val="both"/>
        <w:ind w:right="220" w:firstLine="648"/>
        <w:spacing w:after="0" w:line="256" w:lineRule="auto"/>
        <w:rPr>
          <w:sz w:val="20"/>
          <w:szCs w:val="20"/>
          <w:color w:val="auto"/>
        </w:rPr>
      </w:pPr>
      <w:r>
        <w:rPr>
          <w:rFonts w:ascii="Times New Roman" w:cs="Times New Roman" w:eastAsia="Times New Roman" w:hAnsi="Times New Roman"/>
          <w:sz w:val="17"/>
          <w:szCs w:val="17"/>
          <w:color w:val="auto"/>
        </w:rPr>
        <w:t>We provide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14"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38"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3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19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 and FortiCare technical support service contracts decline, our revenue and revenue growth may decrease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December 2023, our Chief Revenue Officer announced his upcoming retirement after 19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of June 30, 2024, we had an aggregate of $993.3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4"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2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4"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45"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4" w:lineRule="exact"/>
        <w:rPr>
          <w:sz w:val="20"/>
          <w:szCs w:val="20"/>
          <w:color w:val="auto"/>
        </w:rPr>
      </w:pPr>
    </w:p>
    <w:p>
      <w:pPr>
        <w:ind w:left="1300" w:right="140" w:hanging="644"/>
        <w:spacing w:after="0" w:line="24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and the Israel-Hamas war or tensions between China and Taiwan, and critical infrastructure attacks;</w:t>
      </w:r>
    </w:p>
    <w:p>
      <w:pPr>
        <w:spacing w:after="0" w:line="211"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and conflicts such as the war in Ukraine and the Israel-Hamas war, tensions between China and Taiwan and any expansions thereof, could adversely affect our business and financial performance;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4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(“IP”) rights in some countries;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9" w:lineRule="exact"/>
        <w:rPr>
          <w:rFonts w:ascii="Times New Roman" w:cs="Times New Roman" w:eastAsia="Times New Roman" w:hAnsi="Times New Roman"/>
          <w:sz w:val="18"/>
          <w:szCs w:val="18"/>
          <w:color w:val="auto"/>
        </w:rPr>
      </w:pPr>
    </w:p>
    <w:p>
      <w:pPr>
        <w:ind w:left="1300" w:right="94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07"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9" w:lineRule="exact"/>
        <w:rPr>
          <w:rFonts w:ascii="Times New Roman" w:cs="Times New Roman" w:eastAsia="Times New Roman" w:hAnsi="Times New Roman"/>
          <w:sz w:val="18"/>
          <w:szCs w:val="18"/>
          <w:color w:val="auto"/>
        </w:rPr>
      </w:pPr>
    </w:p>
    <w:p>
      <w:pPr>
        <w:ind w:left="1300" w:right="200" w:hanging="644"/>
        <w:spacing w:after="0"/>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19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w:t>
      </w:r>
    </w:p>
    <w:p>
      <w:pPr>
        <w:sectPr>
          <w:pgSz w:w="11900" w:h="16838" w:orient="portrait"/>
          <w:cols w:equalWidth="0" w:num="1">
            <w:col w:w="11200"/>
          </w:cols>
          <w:pgMar w:left="320" w:top="279" w:right="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4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3" w:lineRule="exact"/>
        <w:rPr>
          <w:sz w:val="20"/>
          <w:szCs w:val="20"/>
          <w:color w:val="auto"/>
        </w:rPr>
      </w:pPr>
    </w:p>
    <w:p>
      <w:pPr>
        <w:ind w:left="1300" w:right="22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63" w:lineRule="exact"/>
        <w:rPr>
          <w:rFonts w:ascii="Times New Roman" w:cs="Times New Roman" w:eastAsia="Times New Roman" w:hAnsi="Times New Roman"/>
          <w:sz w:val="18"/>
          <w:szCs w:val="18"/>
          <w:color w:val="auto"/>
        </w:rPr>
      </w:pPr>
    </w:p>
    <w:p>
      <w:pPr>
        <w:ind w:left="1300" w:right="86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19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fabric,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190"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21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and contractual requirements, challenges and risks.</w:t>
      </w:r>
    </w:p>
    <w:p>
      <w:pPr>
        <w:spacing w:after="0" w:line="185"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200" w:hanging="644"/>
        <w:spacing w:after="0" w:line="250"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20" w:hanging="644"/>
        <w:spacing w:after="0" w:line="245"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and the Israel-Hamas war,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8"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1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0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Customers,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Aruba Networks, LLC, Check Point Software Technologies Ltd., Cisco Systems, Inc. (“Cisco”), CrowdStrike Holdings, Inc. (“CrowdStrike”), F5 Networks, Inc., Huawei Technologies Co., Ltd., Juniper Networks, Inc., Palo Alto Networks, Inc., SonicWALL, Inc., Sophos Group Plc, and Zscaler, Inc. (“Zscaler”).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198"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excess inventory charges or write-offs.</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cyber events, pandemics and epidemics or manmade events such as civil unrest, labor disruption, international trade disputes, international conflicts, terrorism, wars or other foreign conflicts, such as the war in Ukraine and the Israel-Hamas war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1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may require us to accept or pay for components and finished goods regardless of our level of sales in a particular period, which may negatively impact our operating results and financial condition. For additional information and a further discussion of impacts and risks related to our purchase commitments with our suppliers, refer to Note 10. Commitments and Contingencies in Part I, Item 1 of this Quarterly Report on Form 10-Q.</w:t>
      </w:r>
    </w:p>
    <w:p>
      <w:pPr>
        <w:spacing w:after="0" w:line="208"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take excess inventory charges and/or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198"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185"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13"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7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There can be no assurance, however, that such posts will be sufficiently timely, accurate or complete or that those customers will take steps to mitigate the risk of vulnerabilities, and certain customers may be negatively impacted.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Additionally, any perception that our products have vulnerabilities, whether or not accurate, and any actual vulnerabilities may harm our operational results and reputation, more significantly as compared to other companies in other industries.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8" w:lineRule="exact"/>
        <w:rPr>
          <w:sz w:val="20"/>
          <w:szCs w:val="20"/>
          <w:color w:val="auto"/>
        </w:rPr>
      </w:pPr>
    </w:p>
    <w:p>
      <w:pPr>
        <w:ind w:left="1300" w:right="12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3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198"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7"/>
          <w:szCs w:val="17"/>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w:t>
      </w:r>
    </w:p>
    <w:p>
      <w:pPr>
        <w:spacing w:after="0" w:line="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18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4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3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 network infrastructure from new vendors or otherwise decide to work with their existing vendors, our business, financial condition and results of operations will be adversely affected.</w:t>
      </w:r>
    </w:p>
    <w:p>
      <w:pPr>
        <w:spacing w:after="0" w:line="19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international conflicts, terrorism, wars, such as the war in Ukraine and the Israel-Hamas war,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82% of our hardware is manufactured in Taiwan. Any increase in tensions between China and Taiwan, including threats of military actions or escalation of military activities, could adversely affect our manufacturing operations in Taiwan.</w:t>
      </w:r>
    </w:p>
    <w:p>
      <w:pPr>
        <w:spacing w:after="0" w:line="17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7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meet customer requirements, such customers may choose to not purchase our products, which could impact our sales and the value of portions of our inventory.</w:t>
      </w:r>
    </w:p>
    <w:p>
      <w:pPr>
        <w:spacing w:after="0" w:line="19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could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198"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18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1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incidents or false identification of spam or spyware could adversely affect our business.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and face additional costs associated with any failure to meet service-level agreements. Any service-level failures could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connect to customers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9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artificial intelligence (“AI”), and malicious parties may use AI to help attack our solutions, systems, and our customers.</w:t>
      </w:r>
    </w:p>
    <w:p>
      <w:pPr>
        <w:spacing w:after="0" w:line="226"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1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19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event remote work environments are not as secure as office environments. Any security incident could negatively impact our reputation and results of operations.</w:t>
      </w:r>
    </w:p>
    <w:p>
      <w:pPr>
        <w:spacing w:after="0" w:line="19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4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3"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4" w:lineRule="exact"/>
        <w:rPr>
          <w:sz w:val="20"/>
          <w:szCs w:val="20"/>
          <w:color w:val="auto"/>
        </w:rPr>
      </w:pPr>
    </w:p>
    <w:p>
      <w:pPr>
        <w:ind w:right="460" w:firstLine="648"/>
        <w:spacing w:after="0" w:line="239"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11" w:lineRule="exact"/>
        <w:rPr>
          <w:sz w:val="20"/>
          <w:szCs w:val="20"/>
          <w:color w:val="auto"/>
        </w:rPr>
      </w:pPr>
    </w:p>
    <w:p>
      <w:pPr>
        <w:jc w:val="both"/>
        <w:ind w:right="40" w:firstLine="648"/>
        <w:spacing w:after="0" w:line="242"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1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r>
        <w:rPr>
          <w:rFonts w:ascii="Times New Roman" w:cs="Times New Roman" w:eastAsia="Times New Roman" w:hAnsi="Times New Roman"/>
          <w:sz w:val="21"/>
          <w:szCs w:val="21"/>
          <w:b w:val="1"/>
          <w:bCs w:val="1"/>
          <w:i w:val="1"/>
          <w:iCs w:val="1"/>
          <w:color w:val="008080"/>
        </w:rPr>
        <w:t>.</w:t>
      </w:r>
    </w:p>
    <w:p>
      <w:pPr>
        <w:spacing w:after="0" w:line="246"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machine learning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products more quickly or more successfully than us, which 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1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45"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6"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analyze whether there should be an OTTI of the value of our investment in Linksys. In evaluating OTTI, we consider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condensed consolidated statements of income. The cost basis of the investment is not adjusted for subsequent recoveries in fair value. We may experience additional volatility to our statements of operations due to the underlying operating results of Linksys, impairments of our Linksys investment or additional investments in Linksys. This volatility could be material to our results in any given quarter and may cause our stock price to decline.</w:t>
      </w:r>
    </w:p>
    <w:p>
      <w:pPr>
        <w:spacing w:after="0" w:line="22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result in a significant diversion of management’s attention and resources and an increase in professional fees. Enforcement actions and sanctions could harm our business, operating results and financial condition.</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3"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72"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9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08"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2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7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For example, in 2023, California passed three separate climate bills governing disclosure of greenhouse gas emissions data, climate-related financials risks and details around emissions-related claims and carbon offsets.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ESG standards set by various constituencies.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adopted a rule that requires climate disclosures in periodic and other filings with the SEC covering fiscal years beginning in 2025, which rule has been stayed pending the completion of a judicial review. To comply with this SEC rule, if such rule goes into effect in their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72" w:lineRule="exact"/>
        <w:rPr>
          <w:sz w:val="20"/>
          <w:szCs w:val="20"/>
          <w:color w:val="auto"/>
        </w:rPr>
      </w:pPr>
    </w:p>
    <w:p>
      <w:pPr>
        <w:ind w:right="180" w:firstLine="648"/>
        <w:spacing w:after="0" w:line="296"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6"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50"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20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2"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1"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business. Due to our extensive international business activities, any changes in the taxation of such activities could increase our tax obligations in many countries and may increase our worldwide effective tax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2023, our internal controls over financial reporting were effective, we cannot predict the outcome of our testing in</w:t>
      </w:r>
    </w:p>
    <w:p>
      <w:pPr>
        <w:spacing w:after="0" w:line="5"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2024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2024, the closing price of our common stock ranged from $57.78 to $73.07 per share.</w:t>
      </w:r>
    </w:p>
    <w:p>
      <w:pPr>
        <w:spacing w:after="0" w:line="208"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67" w:lineRule="exact"/>
        <w:rPr>
          <w:sz w:val="20"/>
          <w:szCs w:val="20"/>
          <w:color w:val="auto"/>
        </w:rPr>
      </w:pPr>
    </w:p>
    <w:p>
      <w:pPr>
        <w:jc w:val="both"/>
        <w:ind w:right="700" w:firstLine="648"/>
        <w:spacing w:after="0" w:line="250"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7"/>
          <w:szCs w:val="17"/>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As of June 30, 2024, approximately $1.03 billion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4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66"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9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198"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19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6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agreements and conflicts such as the war in Ukraine and the Israel-Hamas war could adversely affect our business and financial performance.</w:t>
      </w:r>
    </w:p>
    <w:p>
      <w:pPr>
        <w:spacing w:after="0" w:line="1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7"/>
          <w:szCs w:val="17"/>
          <w:color w:val="auto"/>
        </w:rPr>
        <w:t>Economic uncertainty in various global markets caused by political instability and conflict, such as the war in Ukraine and the Israel-Hamas war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0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rising interest rates, changes to government spending, and weakening product demand could adversely affect our business and financial performance.</w:t>
      </w:r>
    </w:p>
    <w:p>
      <w:pPr>
        <w:spacing w:after="0" w:line="17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Economic challenges caused by the economic downturn, any resulting recession, inflation or rise in interest rates can weaken and harm our financial position.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w:t>
      </w:r>
    </w:p>
    <w:p>
      <w:pPr>
        <w:spacing w:after="0" w:line="2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the Israel-Hamas war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cancellations of customer orders, the delay of the manufacture, deployment or shipment of our products or interruption or downtime of our services, our business, financial condition and results of operations would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9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three months ended June 30, 2024. As of June 30, 2024, $1.03 billion remained available for future share repurchases under the Repurchase Program.</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On May 22, 2024, John Whittle, our Chief Operating Officer, entered into a pre-arranged written stock sale plan in accordance with Rule 10b5-1 under the Exchange Act for the sale of shares of our common stock (the “Whittle Plan”) during an open trading window in accordance with our insider trading policy. The Whittle Plan is intended to satisfy the affirmative defense of Rule 10b5-1(c) under the Exchange Act. The Whittle Plan provides for the potential sale by Mr. Whittle of up to 141,820 shares of our common stock, issued upon the exercise of vested options to purchase shares of our common stock, at the market price, between August 21, 2024 and February 20, 2026.</w:t>
      </w:r>
    </w:p>
    <w:p>
      <w:pPr>
        <w:spacing w:after="0" w:line="212"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The Whittle Plan includes a representation from Mr. Whittle to the broker administering the plan that he was not in possession of any material nonpublic information regarding us or the securities subject to the Whittle Plan at the time that he entered into the Whittle Plan. He made a similar representation to us in connection with the adoption of the Whittle Plan under our insider trading policy. The representation was made as of May 22, 2024 and speaks only as of that date. In making the representation, Mr. Whittle did not provide assurance with respect to any material nonpublic information of which he was unaware, or with respect to any material nonpublic information acquired by him or us after the date of the representation.</w:t>
      </w:r>
    </w:p>
    <w:p>
      <w:pPr>
        <w:spacing w:after="0" w:line="2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Whittle Plan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 Whittle or our other officers or directors or their affiliated entities.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Change of Control Severance Agreements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On August 7, 2024, we entered into an Amended and Restated Change of Control Severance Agreement (each, a “Change of Control Agreement”) with each of Ken Xie, our Chief Executive Officer, Michael Xie, our President and Chief Technology Officer, Keith Jensen, our Chief Financial Officer, and John Whittle, our Chief Operating Officer (each, an “Executive”). Each Change of Control Agreement is effective August 7, 2024 and will amend and restate our existing Amended and Restated Change of Control Severance Agreement with the applicable Executive (the “Existing Agreements”), each of which would have otherwise expired on August 7, 2024. The term of each Change of Control Agreement will expire on August 7, 2029 if not otherwise extended.</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w:t>
      </w:r>
    </w:p>
    <w:p>
      <w:pPr>
        <w:spacing w:after="0" w:line="24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Pursuant to the Change of Control Agreement with Ken Xie, if Mr. Xie is terminated without Cause (as defined in each Executive’s Change of Control Agreement) or if Mr. Xie terminates his employment with us for Good Reason (as defined in the Executive’s Change of Control Agreement) more than three months prior to, or absent, a Change of Control, or after 12 months following a Change of Control, Mr. Xie will be entitled to: (i) a severance payment in an amount equal to 12 months of Mr. Xie’s then-current base salary; (ii) 12 months of Mr. Xie’s COBRA Benefit (as defined in the Executive’s Change of Control Agreement); and (iii) acceleration of the unvested Time-Vesting Awards (as defined in the Executive’s Change of Control Agreement) then held by Mr. Xie that would have vested over the next 12 months; treatment of Mr. Xie’s Performance-Based Awards (as defined in the Executive’s Change of Control Agreement) shall remain subject to the award agreement governing such awards.</w:t>
      </w:r>
    </w:p>
    <w:p>
      <w:pPr>
        <w:spacing w:after="0" w:line="21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Also pursuant to the Change of Control Agreement with Mr. Xie, if Mr. Xie is terminated without Cause or if Mr. Xie terminates his employment with us for Good Reason within three months prior to through 12 months following a Change of Control, Mr. Xie will be entitled to: (i) a severance payment in an amount equal to 12 months of Mr. Xie’s then-current base salary; (ii) a severance payment equal to 100% of Mr. Xie’s annual target bonus for the year in which the termination occurs, subject to Mr. Xie’s effective execution of a Release (as defined in the Executive’s Change of Control Agreement); (iii) 12 months of Mr. Xie’s COBRA Benefit; and (iv) acceleration of 100% of the unvested Time-Vesting Awards and Performance-Based Awards then held by Mr. Xie.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Non-CEO Executives</w:t>
      </w:r>
    </w:p>
    <w:p>
      <w:pPr>
        <w:spacing w:after="0" w:line="24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auto"/>
        </w:rPr>
        <w:t>Pursuant to each Change of Control Agreement with Michael Xie, Keith Jensen and John Whittle (each, a “Non-CEO Executive”), if such Non-CEO Executive is terminated without Cause or if such Non-CEO Executive terminates the Non-CEO Executive’s employment with us for Good Reason prior to, or absent, a Change of Control, or after 12 months following a Change of Control, the Non-CEO Executive will be entitled to: (i) a severance payment in an amount equal to 12 months of the Non-CEO Executive’s then-current base salary; (ii) 12 months of such Non-CEO Executive’s COBRA Benefit; and (iii) acceleration of the unvested Time-Vesting Awards then held by such Non-CEO Executive that would have vested over the next 12 months. Treatment of such Non-CEO Executive’s Performance-Based Awards shall remain subject to the award agreement governing such awards.</w:t>
      </w:r>
    </w:p>
    <w:p>
      <w:pPr>
        <w:spacing w:after="0" w:line="21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Also pursuant to each Change of Control Agreement with each Non-CEO Executive, if such Non-CEO Executive is terminated without Cause or if a Non-CEO Executive terminates the Non-CEO Executive’s employment with us for Good Reason within 12 months following a Change of Control, the Executive will be entitled to: (i) a severance payment in an amount equal to 12 months of the Non-CEO Executive’s then-current base salary; (ii) a severance payment equal to 100% of the Non-CEO Executive’s annual target bonus for the year in which the termination occurs, subject to the Non-CEO Executive’s effective execution of a Release; (iii) 12 months of such Non-CEO Executive’s COBRA Benefit; and (iv) acceleration of 100% of the unvested Time-Vesting Awards and Performance-Based Awards then held by the Non-CEO Executive.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w:t>
      </w:r>
    </w:p>
    <w:p>
      <w:pPr>
        <w:spacing w:after="0" w:line="24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the event of acceleration of an Executive’s unvested equity awards, the awards will remain exercisable, to the extent applicable, following the termination for the period prescribed in the respective stock plan and agreement for each award. In the event any payment to an Executive is subject to the excise tax imposed by Section 4999 of the Internal Code of 1986, as amended (the “Code”) (as a result of a payment being classified as a “parachute payment” under Section 280G of the Code), the Executive will be entitled to receive such payment as would entitle the Executive to receive the greatest after-tax benefit of either the full payment or a lesser payment which would result in no portion of such severance benefits being subject to excise tax.</w:t>
      </w:r>
    </w:p>
    <w:p>
      <w:pPr>
        <w:spacing w:after="0" w:line="19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are qualified in their entirety by reference to the full text of the Change of Control Agreements, which are filed as exhibits to this Quarterly Report on Form 10-Q and are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Amended and Restated Change of Control Severance Agreement, effective as of August 7,</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2024, between the Company and Ken Xie</w:t>
            </w: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Amended and Restated Change of Control Severance Agreement, effective as of August 7,</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2024, between the Company and Michael Xie</w:t>
            </w: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Amended and Restated Change of Control Severance Agreement, effective as of August 7,</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2024, between the Company and John Whittle</w:t>
            </w: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Amended and Restated Change of Control Severance Agreement, effective as of August 7,</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2024, between the Company and Keith Jensen</w:t>
            </w: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1"/>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4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2"/>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10-Q for the quarter ended June 30, 2024 is formatted in inline XBRL.</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9" w:lineRule="exact"/>
        <w:rPr>
          <w:sz w:val="20"/>
          <w:szCs w:val="20"/>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ind w:left="100" w:hanging="92"/>
        <w:spacing w:after="0" w:line="195" w:lineRule="auto"/>
        <w:tabs>
          <w:tab w:leader="none" w:pos="10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383"/>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 Xie</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 Xie, Chief Executive Officer and Chairman</w:t>
            </w:r>
          </w:p>
        </w:tc>
        <w:tc>
          <w:tcPr>
            <w:tcW w:w="0" w:type="dxa"/>
            <w:vAlign w:val="bottom"/>
          </w:tcPr>
          <w:p>
            <w:pPr>
              <w:spacing w:after="0"/>
              <w:rPr>
                <w:sz w:val="1"/>
                <w:szCs w:val="1"/>
                <w:color w:val="auto"/>
              </w:rPr>
            </w:pPr>
          </w:p>
        </w:tc>
      </w:tr>
      <w:tr>
        <w:trPr>
          <w:trHeight w:val="302"/>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Keith Jensen</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Keith Jensen, Chief Financial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Financial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Christiane Ohlgart</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 Chief Accounting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279"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SEVERANCE AGREEMENT</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Amended and Restated Change of Control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Ken Xie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Fortinet,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August 7,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and supersedes the Amended and Restated Change of Control Severance Agreement, between Executive and the Company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dated as of August 7, 2019.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jc w:val="both"/>
        <w:ind w:firstLine="656"/>
        <w:spacing w:after="0" w:line="248" w:lineRule="auto"/>
        <w:tabs>
          <w:tab w:leader="none" w:pos="104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6" w:lineRule="auto"/>
        <w:tabs>
          <w:tab w:leader="none" w:pos="129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terminate upon the earliest to occur of: (a) the Agreement’s termination date as provided in Section 8 below, (b) termination of Executive’s employment </w:t>
      </w:r>
      <w:r>
        <w:rPr>
          <w:rFonts w:ascii="Times New Roman" w:cs="Times New Roman" w:eastAsia="Times New Roman" w:hAnsi="Times New Roman"/>
          <w:sz w:val="22"/>
          <w:szCs w:val="22"/>
          <w:i w:val="1"/>
          <w:iCs w:val="1"/>
          <w:color w:val="auto"/>
        </w:rPr>
        <w:t>other than due to</w:t>
      </w:r>
      <w:r>
        <w:rPr>
          <w:rFonts w:ascii="Times New Roman" w:cs="Times New Roman" w:eastAsia="Times New Roman" w:hAnsi="Times New Roman"/>
          <w:sz w:val="22"/>
          <w:szCs w:val="22"/>
          <w:color w:val="auto"/>
        </w:rPr>
        <w:t xml:space="preserve"> (i) termination by the Company other than for Cause (as defined herein) or (ii) resignation by Executive for Good Reason (as defined herein); and (c) the date that all of the obligations of the parties hereto with respect to this Agreement have been satisfied.</w:t>
      </w:r>
    </w:p>
    <w:p>
      <w:pPr>
        <w:spacing w:after="0" w:line="176" w:lineRule="exact"/>
        <w:rPr>
          <w:rFonts w:ascii="Times New Roman" w:cs="Times New Roman" w:eastAsia="Times New Roman" w:hAnsi="Times New Roman"/>
          <w:sz w:val="22"/>
          <w:szCs w:val="22"/>
          <w:color w:val="010000"/>
        </w:rPr>
      </w:pPr>
    </w:p>
    <w:p>
      <w:pPr>
        <w:ind w:firstLine="656"/>
        <w:spacing w:after="0" w:line="271" w:lineRule="auto"/>
        <w:tabs>
          <w:tab w:leader="none" w:pos="129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w:t>
      </w:r>
    </w:p>
    <w:p>
      <w:pPr>
        <w:sectPr>
          <w:pgSz w:w="11900" w:h="16838" w:orient="portrait"/>
          <w:cols w:equalWidth="0" w:num="1">
            <w:col w:w="11240"/>
          </w:cols>
          <w:pgMar w:left="320" w:top="1418" w:right="339" w:bottom="1440" w:gutter="0" w:footer="0" w:header="0"/>
        </w:sectPr>
      </w:pPr>
    </w:p>
    <w:bookmarkStart w:id="83" w:name="page84"/>
    <w:bookmarkEnd w:id="83"/>
    <w:p>
      <w:pPr>
        <w:ind w:left="1300" w:hanging="644"/>
        <w:spacing w:after="0"/>
        <w:tabs>
          <w:tab w:leader="none" w:pos="130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41" w:val="left"/>
        </w:tabs>
        <w:numPr>
          <w:ilvl w:val="2"/>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More than 3 Months Prior to, or Absent, a Change of Control or After 12 Months Following a Change of Control</w:t>
      </w:r>
      <w:r>
        <w:rPr>
          <w:rFonts w:ascii="Times New Roman" w:cs="Times New Roman" w:eastAsia="Times New Roman" w:hAnsi="Times New Roman"/>
          <w:sz w:val="22"/>
          <w:szCs w:val="22"/>
          <w:color w:val="auto"/>
        </w:rPr>
        <w:t>. If more than three (3) months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81" w:lineRule="exact"/>
        <w:rPr>
          <w:rFonts w:ascii="Times New Roman" w:cs="Times New Roman" w:eastAsia="Times New Roman" w:hAnsi="Times New Roman"/>
          <w:sz w:val="22"/>
          <w:szCs w:val="22"/>
          <w:color w:val="010000"/>
        </w:rPr>
      </w:pPr>
    </w:p>
    <w:p>
      <w:pPr>
        <w:ind w:left="2020" w:hanging="272"/>
        <w:spacing w:after="0"/>
        <w:tabs>
          <w:tab w:leader="none" w:pos="2020" w:val="left"/>
        </w:tabs>
        <w:numPr>
          <w:ilvl w:val="3"/>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continuing payments of severance pay for a period of twelve</w:t>
      </w:r>
    </w:p>
    <w:p>
      <w:pPr>
        <w:spacing w:after="0" w:line="29" w:lineRule="exact"/>
        <w:rPr>
          <w:rFonts w:ascii="Times New Roman" w:cs="Times New Roman" w:eastAsia="Times New Roman" w:hAnsi="Times New Roman"/>
          <w:sz w:val="22"/>
          <w:szCs w:val="22"/>
          <w:color w:val="010000"/>
        </w:rPr>
      </w:pPr>
    </w:p>
    <w:p>
      <w:pPr>
        <w:ind w:firstLine="8"/>
        <w:spacing w:after="0" w:line="259" w:lineRule="auto"/>
        <w:tabs>
          <w:tab w:leader="none" w:pos="42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such termination equal to Executive’s base salary rate as in effect immediately prior to Executive’s termination.</w:t>
      </w:r>
    </w:p>
    <w:p>
      <w:pPr>
        <w:spacing w:after="0" w:line="170" w:lineRule="exact"/>
        <w:rPr>
          <w:rFonts w:ascii="Times New Roman" w:cs="Times New Roman" w:eastAsia="Times New Roman" w:hAnsi="Times New Roman"/>
          <w:sz w:val="22"/>
          <w:szCs w:val="22"/>
          <w:color w:val="auto"/>
        </w:rPr>
      </w:pPr>
    </w:p>
    <w:p>
      <w:pPr>
        <w:jc w:val="both"/>
        <w:ind w:firstLine="1688"/>
        <w:spacing w:after="0" w:line="251" w:lineRule="auto"/>
        <w:tabs>
          <w:tab w:leader="none" w:pos="2039" w:val="left"/>
        </w:tabs>
        <w:numPr>
          <w:ilvl w:val="3"/>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(as defined below) shall accelerate and become vested and exercisable or settled with respect to the then-unvested shares subject thereto that would have otherwise vested over a twelve (12) month period following such termination pursuant to the vesting schedule set forth in the award agreement. The Awards will remain exercisable following the termination for the period prescribed in the respective stock plan and agreement for each award. Treatment of Performance-Based Awards (as defined below) shall be subject to the award agreement governing their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Time-Vesting Awards</w:t>
      </w:r>
      <w:r>
        <w:rPr>
          <w:rFonts w:ascii="Times New Roman" w:cs="Times New Roman" w:eastAsia="Times New Roman" w:hAnsi="Times New Roman"/>
          <w:sz w:val="22"/>
          <w:szCs w:val="22"/>
          <w:color w:val="auto"/>
        </w:rPr>
        <w:t>” means all awards for shares of the Company’s common stock granted under a Company equity plan, including but not limited to options, restricted stock, restricted stock units, stock bonus awards or stock appreciation rights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that are subject solely to time based vesting as of Executive’s termination. Time-Vesting Awards shall include Performance-Based Awards to the extent applicable performance metrics have been satisfied as of, or are satisfied upon, Executive’s termination date.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Performance-Based Awards</w:t>
      </w:r>
      <w:r>
        <w:rPr>
          <w:rFonts w:ascii="Times New Roman" w:cs="Times New Roman" w:eastAsia="Times New Roman" w:hAnsi="Times New Roman"/>
          <w:sz w:val="22"/>
          <w:szCs w:val="22"/>
          <w:color w:val="auto"/>
        </w:rPr>
        <w:t>” means all Awards that are subject to unsatisfied performance metrics as of Executive’s termination.</w:t>
      </w:r>
    </w:p>
    <w:p>
      <w:pPr>
        <w:spacing w:after="0" w:line="153" w:lineRule="exact"/>
        <w:rPr>
          <w:sz w:val="20"/>
          <w:szCs w:val="20"/>
          <w:color w:val="auto"/>
        </w:rPr>
      </w:pPr>
    </w:p>
    <w:p>
      <w:pPr>
        <w:jc w:val="both"/>
        <w:ind w:firstLine="1628"/>
        <w:spacing w:after="0" w:line="249" w:lineRule="auto"/>
        <w:tabs>
          <w:tab w:leader="none" w:pos="2025"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If Executive participates in the Company’s group health insurance plans (i.e., major medical, dental and vision) on the date of Executive’s termination and timely elects continued coverage under the Consolidated Omnibus Budget Reconciliation Act of 1985 (together with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pay the COBRA premiums to continue such coverage (including for Executive and Executive’s eligible dependents who have elected and remain enrolled in such COBRA coverage) for a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beginning on the first day following the day that Executive’s active employee health coverage ends as the result of Executive’s termination, and ending on the earliest to occur of (i) twelve (12) months, (ii) the expiration of Executive’s eligibility for continuation coverage under COBRA and (iii) the first month for which Executive is eligible for health insurance coverage in connection with new employment or self-employment. Alternatively, the Company may elect to pay Executive a taxable cash payment in lieu of the continued coverage, equal to the amount that the Company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2"/>
          <w:szCs w:val="22"/>
          <w:color w:val="auto"/>
        </w:rPr>
        <w:t>otherwise paid for the COBRA premiums (based on the premium for the first month of coverage), which payment will be made regardless of whether Executive or Executive’s eligible dependents elect COBRA continuation coverage and will be paid in monthly installments for the COBRA Payment Period, except that payments shall commence (with any make-up payments) in the Company’s first regular payroll following the Release Deadline. Continued health coverage or payment of a taxable cash amount pursuant to the foregoing is referred to as the “</w:t>
      </w:r>
      <w:r>
        <w:rPr>
          <w:rFonts w:ascii="Times New Roman" w:cs="Times New Roman" w:eastAsia="Times New Roman" w:hAnsi="Times New Roman"/>
          <w:sz w:val="22"/>
          <w:szCs w:val="22"/>
          <w:b w:val="1"/>
          <w:bCs w:val="1"/>
          <w:i w:val="1"/>
          <w:iCs w:val="1"/>
          <w:color w:val="auto"/>
        </w:rPr>
        <w:t>COBRA Benefit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63" w:lineRule="auto"/>
        <w:tabs>
          <w:tab w:leader="none" w:pos="1939" w:val="left"/>
        </w:tabs>
        <w:numPr>
          <w:ilvl w:val="1"/>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Involuntary Termination within 3 Months Prior to through 12 Months Following a Change of Control</w:t>
      </w:r>
      <w:r>
        <w:rPr>
          <w:rFonts w:ascii="Times New Roman" w:cs="Times New Roman" w:eastAsia="Times New Roman" w:hAnsi="Times New Roman"/>
          <w:sz w:val="21"/>
          <w:szCs w:val="21"/>
          <w:color w:val="auto"/>
        </w:rPr>
        <w:t>. If within the period commencing three (3) months prior to a Change of Control and ending twelve (12) months following a Change of Control, (i) the Company (or any parent or subsidiary of the Company) terminates Executive’s employment without Cause or</w:t>
      </w:r>
    </w:p>
    <w:p>
      <w:pPr>
        <w:spacing w:after="0" w:line="1" w:lineRule="exact"/>
        <w:rPr>
          <w:rFonts w:ascii="Times New Roman" w:cs="Times New Roman" w:eastAsia="Times New Roman" w:hAnsi="Times New Roman"/>
          <w:sz w:val="21"/>
          <w:szCs w:val="21"/>
          <w:color w:val="010000"/>
        </w:rPr>
      </w:pPr>
    </w:p>
    <w:p>
      <w:pPr>
        <w:ind w:firstLine="8"/>
        <w:spacing w:after="0" w:line="283" w:lineRule="auto"/>
        <w:tabs>
          <w:tab w:leader="none" w:pos="34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terminates Executive’s employment with the Company (or any parent or subsidiary of the Company) for Good Reason, then, subject to Section 3(c) and Section 3(d) below, Executive will receive the following severance from the Company:</w:t>
      </w:r>
    </w:p>
    <w:p>
      <w:pPr>
        <w:spacing w:after="0" w:line="147" w:lineRule="exact"/>
        <w:rPr>
          <w:rFonts w:ascii="Times New Roman" w:cs="Times New Roman" w:eastAsia="Times New Roman" w:hAnsi="Times New Roman"/>
          <w:sz w:val="21"/>
          <w:szCs w:val="21"/>
          <w:color w:val="auto"/>
        </w:rPr>
      </w:pPr>
    </w:p>
    <w:p>
      <w:pPr>
        <w:jc w:val="both"/>
        <w:ind w:firstLine="1748"/>
        <w:spacing w:after="0" w:line="238" w:lineRule="auto"/>
        <w:tabs>
          <w:tab w:leader="none" w:pos="2025" w:val="left"/>
        </w:tabs>
        <w:numPr>
          <w:ilvl w:val="2"/>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(i) continuing payments of severance pay for a period of twelve (12) months from the date of such termination equal to Executive’s base salary rate as in effect immediately prior to (A) the Change of Control, or (B) Executive’s termination, whichever is greater, and (ii) a payment equal to one hundred percent (100%) of the Executive’s annual target bonus for the year in which the termination occurs, payable in a cash lump sum no later than 10 days after the Release (as defined below) becomes effective and irrevocable, and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such termination.</w:t>
      </w:r>
    </w:p>
    <w:p>
      <w:pPr>
        <w:spacing w:after="0" w:line="194" w:lineRule="exact"/>
        <w:rPr>
          <w:rFonts w:ascii="Times New Roman" w:cs="Times New Roman" w:eastAsia="Times New Roman" w:hAnsi="Times New Roman"/>
          <w:sz w:val="22"/>
          <w:szCs w:val="22"/>
          <w:color w:val="010000"/>
        </w:rPr>
      </w:pPr>
    </w:p>
    <w:p>
      <w:pPr>
        <w:jc w:val="both"/>
        <w:ind w:firstLine="1688"/>
        <w:spacing w:after="0" w:line="250" w:lineRule="auto"/>
        <w:tabs>
          <w:tab w:leader="none" w:pos="2052" w:val="left"/>
        </w:tabs>
        <w:numPr>
          <w:ilvl w:val="2"/>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and Performance-Based Awards shall accelerate and become vested and exercisable or settled with respect to 100% of the then-unvested shares subject thereto. Unless otherwise set forth in the applicable award agreement, the number of shares subject to Performance-Based Awards eligible for the foregoing acceleration shall be determined based on deemed achievement of all performance goals or other vesting criteria at one hundred percent (100%) of target levels and satisfaction of all other terms and conditions. The Awards will remain exercisable, to the extent applicable, following the termination for the period prescribed in the respective stock plan and agreement for each Award.</w:t>
      </w:r>
    </w:p>
    <w:p>
      <w:pPr>
        <w:spacing w:after="0" w:line="180" w:lineRule="exact"/>
        <w:rPr>
          <w:rFonts w:ascii="Times New Roman" w:cs="Times New Roman" w:eastAsia="Times New Roman" w:hAnsi="Times New Roman"/>
          <w:sz w:val="22"/>
          <w:szCs w:val="22"/>
          <w:color w:val="010000"/>
        </w:rPr>
      </w:pPr>
    </w:p>
    <w:p>
      <w:pPr>
        <w:ind w:left="2000" w:hanging="372"/>
        <w:spacing w:after="0"/>
        <w:tabs>
          <w:tab w:leader="none" w:pos="2000" w:val="left"/>
        </w:tabs>
        <w:numPr>
          <w:ilvl w:val="2"/>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Benefits</w:t>
      </w:r>
      <w:r>
        <w:rPr>
          <w:rFonts w:ascii="Times New Roman" w:cs="Times New Roman" w:eastAsia="Times New Roman" w:hAnsi="Times New Roman"/>
          <w:sz w:val="22"/>
          <w:szCs w:val="22"/>
          <w:color w:val="auto"/>
        </w:rPr>
        <w:t>. Executive will receive the COBRA Benefit.</w:t>
      </w:r>
    </w:p>
    <w:p>
      <w:pPr>
        <w:spacing w:after="0" w:line="233" w:lineRule="exact"/>
        <w:rPr>
          <w:rFonts w:ascii="Times New Roman" w:cs="Times New Roman" w:eastAsia="Times New Roman" w:hAnsi="Times New Roman"/>
          <w:sz w:val="22"/>
          <w:szCs w:val="22"/>
          <w:color w:val="010000"/>
        </w:rPr>
      </w:pPr>
    </w:p>
    <w:p>
      <w:pPr>
        <w:jc w:val="both"/>
        <w:ind w:firstLine="1304"/>
        <w:spacing w:after="0" w:line="233" w:lineRule="auto"/>
        <w:tabs>
          <w:tab w:leader="none" w:pos="1941"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pay or other benefits pursuant to Sections 3(a) and (b) above will be subject to Executive signing and not revoking the Company’s form of general release of all claims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allowing such Release to become non-revocable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earlier of the effective date of the Change of Control or Executive’s termination of employment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010000"/>
        </w:rPr>
      </w:pPr>
    </w:p>
    <w:p>
      <w:pPr>
        <w:jc w:val="both"/>
        <w:ind w:firstLine="1304"/>
        <w:spacing w:after="0" w:line="281" w:lineRule="auto"/>
        <w:tabs>
          <w:tab w:leader="none" w:pos="1939"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The receipt of any severance pay or other benefits pursuant to Sections 3(a) and (b) above will also be subject to </w:t>
      </w:r>
      <w:r>
        <w:rPr>
          <w:rFonts w:ascii="Times New Roman" w:cs="Times New Roman" w:eastAsia="Times New Roman" w:hAnsi="Times New Roman"/>
          <w:sz w:val="18"/>
          <w:szCs w:val="18"/>
          <w:color w:val="auto"/>
        </w:rPr>
        <w:t>Executive’s continued compliance</w:t>
      </w:r>
      <w:r>
        <w:rPr>
          <w:rFonts w:ascii="Times New Roman" w:cs="Times New Roman" w:eastAsia="Times New Roman" w:hAnsi="Times New Roman"/>
          <w:sz w:val="21"/>
          <w:szCs w:val="21"/>
          <w:color w:val="auto"/>
        </w:rPr>
        <w:t xml:space="preserve"> with any written agreements between the Company and Executive relating to confidentiality, non-competition, non-solicitation and non-interference,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including but not limited to Executive’s Fortinet Confidentiality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1304"/>
        <w:spacing w:after="0" w:line="250" w:lineRule="auto"/>
        <w:tabs>
          <w:tab w:leader="none" w:pos="1941"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Subject to Section 3(c), the Company will commence payment of the salary-based severance payments to which Executive is entitled in the payroll period immediately following the Release Deadline, provided that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spacing w:after="0" w:line="39" w:lineRule="exact"/>
        <w:rPr>
          <w:rFonts w:ascii="Times New Roman" w:cs="Times New Roman" w:eastAsia="Times New Roman" w:hAnsi="Times New Roman"/>
          <w:sz w:val="21"/>
          <w:szCs w:val="21"/>
          <w:color w:val="010000"/>
        </w:rPr>
      </w:pPr>
    </w:p>
    <w:p>
      <w:pPr>
        <w:jc w:val="both"/>
        <w:ind w:firstLine="8"/>
        <w:spacing w:after="0" w:line="245" w:lineRule="auto"/>
        <w:tabs>
          <w:tab w:leader="none" w:pos="2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(except upon a termination for Good Reason)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9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39"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63"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939"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anything to the contrary in this Agreement, no severance pay or benefits to be paid or provided to Executive, if any, pursuant to this Agreement, will be payable until Executive has a “separation from service” within the meaning of Section 409A, and the regulations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xml:space="preserve">”)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the extent (i) any payments to which Executive becomes entitled under this Agreement, or any agreement or plan referenced herein, in connection with the termination of Executive’s employment with and/or services to the Company constitute deferred compensation subject to Section 409A and (ii) Executive is deemed at the time of such termination of employment to be a “specified” employee under Section 409A, then such payment or payments shall not be made or commence until the earlier of (A) the expiration of the six (6)-month period measured from Executive’s termination or (B) the date of Executive’s death following such termination;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1"/>
          <w:szCs w:val="21"/>
          <w:color w:val="auto"/>
        </w:rPr>
        <w:t>made during that period (whether in a single sum or in installments) in the absence of this paragraph shall be paid to Executive or Executive’s beneficiary in one lump sum (without interest). Each payment and benefit payable under this Agreement is intended to constitute separate payments for purposes of Section 1.409A-2(b)(2) of the Treasury Regulations. To the extent necessary to comply with Section 409A of the Code, if the designated payment period for any payment under this Agreement begins in one taxable year and ends in the next taxable year, the payment will be made in the later taxable year.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0" w:lineRule="exact"/>
        <w:rPr>
          <w:sz w:val="20"/>
          <w:szCs w:val="20"/>
          <w:color w:val="auto"/>
        </w:rPr>
      </w:pPr>
    </w:p>
    <w:p>
      <w:pPr>
        <w:jc w:val="both"/>
        <w:ind w:firstLine="656"/>
        <w:spacing w:after="0" w:line="256" w:lineRule="auto"/>
        <w:tabs>
          <w:tab w:leader="none" w:pos="1296"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7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in full, or</w:t>
      </w:r>
    </w:p>
    <w:p>
      <w:pPr>
        <w:spacing w:after="0" w:line="219"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as to such lesser extent which would result in no portion of such severance benefits being subject to excise tax under Section 4999 of the Code,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51" w:lineRule="auto"/>
        <w:rPr>
          <w:sz w:val="20"/>
          <w:szCs w:val="20"/>
          <w:color w:val="auto"/>
        </w:rPr>
      </w:pPr>
      <w:r>
        <w:rPr>
          <w:rFonts w:ascii="Times New Roman" w:cs="Times New Roman" w:eastAsia="Times New Roman" w:hAnsi="Times New Roman"/>
          <w:sz w:val="22"/>
          <w:szCs w:val="22"/>
          <w:color w:val="auto"/>
        </w:rPr>
        <w:t>Section 4 will be made in writing by an independent firm immediately prior to Change of Control (the “</w:t>
      </w:r>
      <w:r>
        <w:rPr>
          <w:rFonts w:ascii="Times New Roman" w:cs="Times New Roman" w:eastAsia="Times New Roman" w:hAnsi="Times New Roman"/>
          <w:sz w:val="22"/>
          <w:szCs w:val="22"/>
          <w:b w:val="1"/>
          <w:bCs w:val="1"/>
          <w:i w:val="1"/>
          <w:iCs w:val="1"/>
          <w:color w:val="auto"/>
        </w:rPr>
        <w:t>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79"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27"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941"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 (iv) Executive has breached any material term or condition of the Executive’s Confidentiality Agreement with the Company or has otherwise improperly disclosure of the Company’s confidential or proprietary information that materially adversely affects the Company; (v) Executive has breached any material term or condition of the Executive’s any written Company policy or the Company’s written code of conduct that has been made available to Executive prior to such breach or any other material agreement with the Company or (vi) Executive has obstructed or impeded, or failed to materially cooperate with, any investigation authorized by the Board or any governmental or self-regulatory entity; provided, however that failure to waive attorney-client privilege relating to communications with Executive’s own attorney in connection with such investigation will not constitute “Cause”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action or conduct described in clauses (iv), (v) and (vi) above will constitute “Cause” only if such action or conduct continues after the Company has provided you with written notice thereof and thirty (30) days to cure the same if such action or conduct is curable.</w:t>
      </w:r>
    </w:p>
    <w:p>
      <w:pPr>
        <w:spacing w:after="0" w:line="169"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of the Company is defined as:</w:t>
      </w:r>
    </w:p>
    <w:p>
      <w:pPr>
        <w:spacing w:after="0" w:line="225" w:lineRule="exact"/>
        <w:rPr>
          <w:rFonts w:ascii="Times New Roman" w:cs="Times New Roman" w:eastAsia="Times New Roman" w:hAnsi="Times New Roman"/>
          <w:sz w:val="22"/>
          <w:szCs w:val="22"/>
          <w:color w:val="010000"/>
        </w:rPr>
      </w:pPr>
    </w:p>
    <w:p>
      <w:pPr>
        <w:jc w:val="both"/>
        <w:ind w:firstLine="1748"/>
        <w:spacing w:after="0" w:line="252" w:lineRule="auto"/>
        <w:tabs>
          <w:tab w:leader="none" w:pos="1998" w:val="left"/>
        </w:tabs>
        <w:numPr>
          <w:ilvl w:val="2"/>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that or is or becomes the owner, directly or indirectly, of securities of the Company representing more than fifty percent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6"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2"/>
          <w:szCs w:val="22"/>
          <w:color w:val="auto"/>
        </w:rPr>
        <w:t>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6" w:lineRule="exact"/>
        <w:rPr>
          <w:sz w:val="20"/>
          <w:szCs w:val="20"/>
          <w:color w:val="auto"/>
        </w:rPr>
      </w:pPr>
    </w:p>
    <w:p>
      <w:pPr>
        <w:jc w:val="both"/>
        <w:ind w:firstLine="1688"/>
        <w:spacing w:after="0" w:line="251" w:lineRule="auto"/>
        <w:tabs>
          <w:tab w:leader="none" w:pos="2025"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1" w:lineRule="exact"/>
        <w:rPr>
          <w:rFonts w:ascii="Times New Roman" w:cs="Times New Roman" w:eastAsia="Times New Roman" w:hAnsi="Times New Roman"/>
          <w:sz w:val="22"/>
          <w:szCs w:val="22"/>
          <w:color w:val="010000"/>
        </w:rPr>
      </w:pPr>
    </w:p>
    <w:p>
      <w:pPr>
        <w:jc w:val="both"/>
        <w:ind w:firstLine="1628"/>
        <w:spacing w:after="0" w:line="251" w:lineRule="auto"/>
        <w:tabs>
          <w:tab w:leader="none" w:pos="1998"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81" w:lineRule="exact"/>
        <w:rPr>
          <w:rFonts w:ascii="Times New Roman" w:cs="Times New Roman" w:eastAsia="Times New Roman" w:hAnsi="Times New Roman"/>
          <w:sz w:val="22"/>
          <w:szCs w:val="22"/>
          <w:color w:val="010000"/>
        </w:rPr>
      </w:pPr>
    </w:p>
    <w:p>
      <w:pPr>
        <w:jc w:val="both"/>
        <w:ind w:firstLine="1640"/>
        <w:spacing w:after="0" w:line="247" w:lineRule="auto"/>
        <w:tabs>
          <w:tab w:leader="none" w:pos="1998"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Company transaction that does not constitute a change in control event under Treasury Regulation 1.409A-3(i)(5)(v) or (vii) shall be not be considered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89" w:name="page90"/>
    <w:bookmarkEnd w:id="89"/>
    <w:p>
      <w:pPr>
        <w:jc w:val="both"/>
        <w:ind w:left="-20" w:firstLine="1304"/>
        <w:spacing w:after="0" w:line="249" w:lineRule="auto"/>
        <w:tabs>
          <w:tab w:leader="none" w:pos="1921"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5" w:lineRule="exact"/>
        <w:rPr>
          <w:rFonts w:ascii="Times New Roman" w:cs="Times New Roman" w:eastAsia="Times New Roman" w:hAnsi="Times New Roman"/>
          <w:sz w:val="22"/>
          <w:szCs w:val="22"/>
          <w:color w:val="010000"/>
        </w:rPr>
      </w:pPr>
    </w:p>
    <w:p>
      <w:pPr>
        <w:jc w:val="both"/>
        <w:ind w:left="-20" w:firstLine="1304"/>
        <w:spacing w:after="0" w:line="247" w:lineRule="auto"/>
        <w:tabs>
          <w:tab w:leader="none" w:pos="1919"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9" w:lineRule="exact"/>
        <w:rPr>
          <w:rFonts w:ascii="Times New Roman" w:cs="Times New Roman" w:eastAsia="Times New Roman" w:hAnsi="Times New Roman"/>
          <w:sz w:val="22"/>
          <w:szCs w:val="22"/>
          <w:color w:val="010000"/>
        </w:rPr>
      </w:pPr>
    </w:p>
    <w:p>
      <w:pPr>
        <w:ind w:left="1280" w:hanging="644"/>
        <w:spacing w:after="0"/>
        <w:tabs>
          <w:tab w:leader="none" w:pos="128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40" w:top="1416" w:right="339" w:bottom="1440" w:gutter="0" w:footer="0" w:header="0"/>
        </w:sectPr>
      </w:pPr>
    </w:p>
    <w:bookmarkStart w:id="90" w:name="page91"/>
    <w:bookmarkEnd w:id="90"/>
    <w:p>
      <w:pPr>
        <w:ind w:right="20"/>
        <w:spacing w:after="0" w:line="271" w:lineRule="auto"/>
        <w:rPr>
          <w:sz w:val="20"/>
          <w:szCs w:val="20"/>
          <w:color w:val="auto"/>
        </w:rPr>
      </w:pPr>
      <w:r>
        <w:rPr>
          <w:rFonts w:ascii="Times New Roman" w:cs="Times New Roman" w:eastAsia="Times New Roman" w:hAnsi="Times New Roman"/>
          <w:sz w:val="22"/>
          <w:szCs w:val="22"/>
          <w:color w:val="auto"/>
        </w:rPr>
        <w:t>include any successor to the Company’s business and/or assets which executes and delivers the assumption agreement described in this Section 6(a) or which becomes bound by the terms of this Agreement by operation of law.</w:t>
      </w:r>
    </w:p>
    <w:p>
      <w:pPr>
        <w:spacing w:after="0" w:line="158" w:lineRule="exact"/>
        <w:rPr>
          <w:sz w:val="20"/>
          <w:szCs w:val="20"/>
          <w:color w:val="auto"/>
        </w:rPr>
      </w:pPr>
    </w:p>
    <w:p>
      <w:pPr>
        <w:jc w:val="both"/>
        <w:ind w:firstLine="1304"/>
        <w:spacing w:after="0" w:line="263" w:lineRule="auto"/>
        <w:tabs>
          <w:tab w:leader="none" w:pos="1939" w:val="left"/>
        </w:tabs>
        <w:numPr>
          <w:ilvl w:val="1"/>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9"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5"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6"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have a term of five (5) years commencing on the Effective Date, which shall not be subject to renewal, unless a Change of Control occurs during such five (5)-year period, in which case this Agreement will continue until all payments and benefits, if any, have been made to Executive.</w:t>
      </w:r>
    </w:p>
    <w:p>
      <w:pPr>
        <w:spacing w:after="0" w:line="172" w:lineRule="exact"/>
        <w:rPr>
          <w:rFonts w:ascii="Times New Roman" w:cs="Times New Roman" w:eastAsia="Times New Roman" w:hAnsi="Times New Roman"/>
          <w:sz w:val="22"/>
          <w:szCs w:val="22"/>
          <w:color w:val="010000"/>
        </w:rPr>
      </w:pPr>
    </w:p>
    <w:p>
      <w:pPr>
        <w:jc w:val="both"/>
        <w:ind w:firstLine="656"/>
        <w:spacing w:after="0" w:line="256" w:lineRule="auto"/>
        <w:tabs>
          <w:tab w:leader="none" w:pos="1296"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the event of any dispute or claim relating to or arising out of Executive’s employment relationship with the Company or this Agreement, Executive and the Company agree that any and all disputes between Executive and the Company will be fully and finally resolved by binding arbitration in accordance with the arbitration clause set forth in the Confidentiality Agreement, pursuant to which Executive is waiving any and all rights to a jury trial.</w:t>
      </w:r>
    </w:p>
    <w:p>
      <w:pPr>
        <w:spacing w:after="0" w:line="17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 Benefits provided under this Agreement are paid from the general assets of the Company, and</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not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91" w:name="page92"/>
    <w:bookmarkEnd w:id="91"/>
    <w:p>
      <w:pPr>
        <w:ind w:left="-20" w:firstLine="1304"/>
        <w:spacing w:after="0" w:line="271" w:lineRule="auto"/>
        <w:tabs>
          <w:tab w:leader="none" w:pos="191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8" w:lineRule="exact"/>
        <w:rPr>
          <w:rFonts w:ascii="Times New Roman" w:cs="Times New Roman" w:eastAsia="Times New Roman" w:hAnsi="Times New Roman"/>
          <w:sz w:val="22"/>
          <w:szCs w:val="22"/>
          <w:color w:val="010000"/>
        </w:rPr>
      </w:pPr>
    </w:p>
    <w:p>
      <w:pPr>
        <w:ind w:left="-20" w:firstLine="1304"/>
        <w:spacing w:after="0" w:line="284" w:lineRule="auto"/>
        <w:tabs>
          <w:tab w:leader="none" w:pos="191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43" w:lineRule="exact"/>
        <w:rPr>
          <w:rFonts w:ascii="Times New Roman" w:cs="Times New Roman" w:eastAsia="Times New Roman" w:hAnsi="Times New Roman"/>
          <w:sz w:val="22"/>
          <w:szCs w:val="22"/>
          <w:color w:val="010000"/>
        </w:rPr>
      </w:pPr>
    </w:p>
    <w:p>
      <w:pPr>
        <w:jc w:val="both"/>
        <w:ind w:left="-20" w:firstLine="1304"/>
        <w:spacing w:after="0" w:line="248" w:lineRule="auto"/>
        <w:tabs>
          <w:tab w:leader="none" w:pos="1921"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 By executing this Agreement, Executive acknowledges and agrees that Executive has had the opportunity to consult with Executive’s own counsel and has read and understands this Agreement, is fully aware of its legal effect, has not acted in reliance upon any representations or promises made by the Company or any other person other than those contained in writing herein.</w:t>
      </w:r>
    </w:p>
    <w:p>
      <w:pPr>
        <w:spacing w:after="0" w:line="185" w:lineRule="exact"/>
        <w:rPr>
          <w:rFonts w:ascii="Times New Roman" w:cs="Times New Roman" w:eastAsia="Times New Roman" w:hAnsi="Times New Roman"/>
          <w:sz w:val="22"/>
          <w:szCs w:val="22"/>
          <w:color w:val="010000"/>
        </w:rPr>
      </w:pPr>
    </w:p>
    <w:p>
      <w:pPr>
        <w:ind w:left="-20" w:firstLine="1304"/>
        <w:spacing w:after="0" w:line="284" w:lineRule="auto"/>
        <w:tabs>
          <w:tab w:leader="none" w:pos="1924"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22"/>
          <w:szCs w:val="22"/>
          <w:color w:val="010000"/>
        </w:rPr>
      </w:pPr>
    </w:p>
    <w:p>
      <w:pPr>
        <w:ind w:left="-20" w:right="20" w:firstLine="1304"/>
        <w:spacing w:after="0" w:line="271" w:lineRule="auto"/>
        <w:tabs>
          <w:tab w:leader="none" w:pos="191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1" w:lineRule="auto"/>
        <w:tabs>
          <w:tab w:leader="none" w:pos="1919"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and employment taxes. By entering into this Agreement, Executive agrees to review with Executive’s own tax advisors the federal, state, provincial, local, and foreign tax consequences of this Agreement. Executive will rely solely on such advisors and not on any statements or representations of the Company, or any of its agents. Executive understands that Executive (and not the Company) will be responsible for Executive’s own tax liability that may arise as a result of this Agreement, without regard to the amount withheld or reported by the Company to applicable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40" w:top="1422" w:right="339" w:bottom="1440" w:gutter="0" w:footer="0" w:header="0"/>
        </w:sectPr>
      </w:pPr>
    </w:p>
    <w:bookmarkStart w:id="92" w:name="page93"/>
    <w:bookmarkEnd w:id="92"/>
    <w:p>
      <w:pPr>
        <w:ind w:left="-20" w:firstLine="1304"/>
        <w:spacing w:after="0" w:line="271" w:lineRule="auto"/>
        <w:tabs>
          <w:tab w:leader="none" w:pos="1912"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22" w:right="339" w:bottom="1440" w:gutter="0" w:footer="0" w:header="0"/>
        </w:sectPr>
      </w:pPr>
    </w:p>
    <w:bookmarkStart w:id="93" w:name="page94"/>
    <w:bookmarkEnd w:id="9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820" w:type="dxa"/>
            <w:vAlign w:val="bottom"/>
          </w:tcPr>
          <w:p>
            <w:pPr>
              <w:spacing w:after="0"/>
              <w:rPr>
                <w:sz w:val="24"/>
                <w:szCs w:val="24"/>
                <w:color w:val="auto"/>
              </w:rPr>
            </w:pP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FORTINET, INC.</w:t>
            </w:r>
          </w:p>
        </w:tc>
      </w:tr>
      <w:tr>
        <w:trPr>
          <w:trHeight w:val="541"/>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John Whittle</w:t>
            </w:r>
          </w:p>
        </w:tc>
      </w:tr>
      <w:tr>
        <w:trPr>
          <w:trHeight w:val="270"/>
        </w:trPr>
        <w:tc>
          <w:tcPr>
            <w:tcW w:w="31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John Whittle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Title: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Chief Operating Officer</w:t>
            </w:r>
          </w:p>
        </w:tc>
      </w:tr>
      <w:tr>
        <w:trPr>
          <w:trHeight w:val="528"/>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Ken Xie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Ken Xie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SEVERANCE AGREEMENT</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Amended and Restated Change of Control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Michael Xie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Fortinet,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August 7, 2024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and supersedes the Amended and Restated Change of Control Severance Agreement, between Executive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dated as of August 7, 2019.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jc w:val="both"/>
        <w:ind w:firstLine="656"/>
        <w:spacing w:after="0" w:line="248" w:lineRule="auto"/>
        <w:tabs>
          <w:tab w:leader="none" w:pos="10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6" w:lineRule="auto"/>
        <w:tabs>
          <w:tab w:leader="none" w:pos="1296"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terminate upon the earliest to occur of: (a) the Agreement’s termination date as provided in Section 8 below, (b) termination of Executive’s employment </w:t>
      </w:r>
      <w:r>
        <w:rPr>
          <w:rFonts w:ascii="Times New Roman" w:cs="Times New Roman" w:eastAsia="Times New Roman" w:hAnsi="Times New Roman"/>
          <w:sz w:val="22"/>
          <w:szCs w:val="22"/>
          <w:i w:val="1"/>
          <w:iCs w:val="1"/>
          <w:color w:val="auto"/>
        </w:rPr>
        <w:t>other than due to</w:t>
      </w:r>
      <w:r>
        <w:rPr>
          <w:rFonts w:ascii="Times New Roman" w:cs="Times New Roman" w:eastAsia="Times New Roman" w:hAnsi="Times New Roman"/>
          <w:sz w:val="22"/>
          <w:szCs w:val="22"/>
          <w:color w:val="auto"/>
        </w:rPr>
        <w:t xml:space="preserve"> (i) termination by the Company other than for Cause (as defined herein) or (ii) resignation by Executive for Good Reason (as defined herein); and (c) the date that all of the obligations of the parties hereto with respect to this Agreement have been satisfied.</w:t>
      </w:r>
    </w:p>
    <w:p>
      <w:pPr>
        <w:spacing w:after="0" w:line="176" w:lineRule="exact"/>
        <w:rPr>
          <w:rFonts w:ascii="Times New Roman" w:cs="Times New Roman" w:eastAsia="Times New Roman" w:hAnsi="Times New Roman"/>
          <w:sz w:val="22"/>
          <w:szCs w:val="22"/>
          <w:color w:val="010000"/>
        </w:rPr>
      </w:pPr>
    </w:p>
    <w:p>
      <w:pPr>
        <w:ind w:firstLine="656"/>
        <w:spacing w:after="0" w:line="271" w:lineRule="auto"/>
        <w:tabs>
          <w:tab w:leader="none" w:pos="1296"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w:t>
      </w:r>
    </w:p>
    <w:p>
      <w:pPr>
        <w:sectPr>
          <w:pgSz w:w="11900" w:h="16838" w:orient="portrait"/>
          <w:cols w:equalWidth="0" w:num="1">
            <w:col w:w="11240"/>
          </w:cols>
          <w:pgMar w:left="320" w:top="1418" w:right="339" w:bottom="1440" w:gutter="0" w:footer="0" w:header="0"/>
        </w:sectPr>
      </w:pPr>
    </w:p>
    <w:bookmarkStart w:id="95" w:name="page96"/>
    <w:bookmarkEnd w:id="95"/>
    <w:p>
      <w:pPr>
        <w:ind w:left="1300" w:hanging="644"/>
        <w:spacing w:after="0"/>
        <w:tabs>
          <w:tab w:leader="none" w:pos="1300"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2"/>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Prior to, or Absent, a Change of Control or After 12 Months Following a Change of Control</w:t>
      </w:r>
      <w:r>
        <w:rPr>
          <w:rFonts w:ascii="Times New Roman" w:cs="Times New Roman" w:eastAsia="Times New Roman" w:hAnsi="Times New Roman"/>
          <w:sz w:val="22"/>
          <w:szCs w:val="22"/>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78" w:lineRule="exact"/>
        <w:rPr>
          <w:rFonts w:ascii="Times New Roman" w:cs="Times New Roman" w:eastAsia="Times New Roman" w:hAnsi="Times New Roman"/>
          <w:sz w:val="22"/>
          <w:szCs w:val="22"/>
          <w:color w:val="010000"/>
        </w:rPr>
      </w:pPr>
    </w:p>
    <w:p>
      <w:pPr>
        <w:ind w:left="2020" w:hanging="272"/>
        <w:spacing w:after="0"/>
        <w:tabs>
          <w:tab w:leader="none" w:pos="2020" w:val="left"/>
        </w:tabs>
        <w:numPr>
          <w:ilvl w:val="3"/>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continuing payments of severance pay for a period of twelve</w:t>
      </w:r>
    </w:p>
    <w:p>
      <w:pPr>
        <w:spacing w:after="0" w:line="27" w:lineRule="exact"/>
        <w:rPr>
          <w:rFonts w:ascii="Times New Roman" w:cs="Times New Roman" w:eastAsia="Times New Roman" w:hAnsi="Times New Roman"/>
          <w:sz w:val="22"/>
          <w:szCs w:val="22"/>
          <w:color w:val="010000"/>
        </w:rPr>
      </w:pPr>
    </w:p>
    <w:p>
      <w:pPr>
        <w:ind w:firstLine="8"/>
        <w:spacing w:after="0" w:line="261" w:lineRule="auto"/>
        <w:tabs>
          <w:tab w:leader="none" w:pos="42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such termination equal to Executive’s base salary rate as in effect immediately prior to Executive’s termination.</w:t>
      </w:r>
    </w:p>
    <w:p>
      <w:pPr>
        <w:spacing w:after="0" w:line="168" w:lineRule="exact"/>
        <w:rPr>
          <w:rFonts w:ascii="Times New Roman" w:cs="Times New Roman" w:eastAsia="Times New Roman" w:hAnsi="Times New Roman"/>
          <w:sz w:val="22"/>
          <w:szCs w:val="22"/>
          <w:color w:val="auto"/>
        </w:rPr>
      </w:pPr>
    </w:p>
    <w:p>
      <w:pPr>
        <w:jc w:val="both"/>
        <w:ind w:firstLine="1688"/>
        <w:spacing w:after="0" w:line="251" w:lineRule="auto"/>
        <w:tabs>
          <w:tab w:leader="none" w:pos="2039" w:val="left"/>
        </w:tabs>
        <w:numPr>
          <w:ilvl w:val="3"/>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(as defined below) shall accelerate and become vested and exercisable or settled with respect to the then-unvested shares subject thereto that would have otherwise vested over a twelve (12) month period following such termination pursuant to the vesting schedule set forth in the award agreement. The Awards will remain exercisable following the termination for the period prescribed in the respective stock plan and agreement for each award. Treatment of Performance-Based Awards (as defined below) shall be subject to the award agreement governing their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Time-Vesting Awards</w:t>
      </w:r>
      <w:r>
        <w:rPr>
          <w:rFonts w:ascii="Times New Roman" w:cs="Times New Roman" w:eastAsia="Times New Roman" w:hAnsi="Times New Roman"/>
          <w:sz w:val="22"/>
          <w:szCs w:val="22"/>
          <w:color w:val="auto"/>
        </w:rPr>
        <w:t>” means all awards for shares of the Company’s common stock granted under a Company equity plan, including but not limited to options, restricted stock, restricted stock units, stock bonus awards or stock appreciation rights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that are subject solely to time based vesting as of Executive’s termination. Time-Vesting Awards shall include Performance-Based Awards to the extent applicable performance metrics have been satisfied as of, or are satisfied upon, Executive’s termination date.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Performance-Based Awards</w:t>
      </w:r>
      <w:r>
        <w:rPr>
          <w:rFonts w:ascii="Times New Roman" w:cs="Times New Roman" w:eastAsia="Times New Roman" w:hAnsi="Times New Roman"/>
          <w:sz w:val="22"/>
          <w:szCs w:val="22"/>
          <w:color w:val="auto"/>
        </w:rPr>
        <w:t>” means all Awards that are subject to unsatisfied performance metrics as of Executive’s termination.</w:t>
      </w:r>
    </w:p>
    <w:p>
      <w:pPr>
        <w:spacing w:after="0" w:line="153" w:lineRule="exact"/>
        <w:rPr>
          <w:sz w:val="20"/>
          <w:szCs w:val="20"/>
          <w:color w:val="auto"/>
        </w:rPr>
      </w:pPr>
    </w:p>
    <w:p>
      <w:pPr>
        <w:jc w:val="both"/>
        <w:ind w:firstLine="1628"/>
        <w:spacing w:after="0" w:line="249" w:lineRule="auto"/>
        <w:tabs>
          <w:tab w:leader="none" w:pos="2025"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If Executive participates in the Company’s group health insurance plans (i.e., major medical, dental and vision) on the date of Executive’s termination and timely elects continued coverage under the Consolidated Omnibus Budget Reconciliation Act of 1985 (together with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pay the COBRA premiums to continue such coverage (including for Executive and Executive’s eligible dependents who have elected and remain enrolled in such COBRA coverage) for a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beginning on the first day following the day that Executive’s active employee health coverage ends as the result of Executive’s termination, and ending on the earliest to occur of (i) twelve (12) months, (ii) the expiration of Executive’s eligibility for continuation coverage under COBRA and (iii) the first month for which Executive is eligible for health insurance coverage in connection with new employment or self-employment. Alternatively, the Company may elect to pay Executive a taxable cash payment in lieu of the continued coverage, equal to the amount that the Company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22"/>
          <w:szCs w:val="22"/>
          <w:color w:val="auto"/>
        </w:rPr>
        <w:t>otherwise paid for the COBRA premiums (based on the premium for the first month of coverage), which payment will be made regardless of whether Executive or Executive’s eligible dependents elect COBRA continuation coverage and will be paid in monthly installments for the COBRA Payment Period, except that payments shall commence (with any make-up payments) in the Company’s first regular payroll following the Release Deadline. Continued health coverage or payment of a taxable cash amount pursuant to the foregoing is referred to as the “</w:t>
      </w:r>
      <w:r>
        <w:rPr>
          <w:rFonts w:ascii="Times New Roman" w:cs="Times New Roman" w:eastAsia="Times New Roman" w:hAnsi="Times New Roman"/>
          <w:sz w:val="22"/>
          <w:szCs w:val="22"/>
          <w:b w:val="1"/>
          <w:bCs w:val="1"/>
          <w:i w:val="1"/>
          <w:iCs w:val="1"/>
          <w:color w:val="auto"/>
        </w:rPr>
        <w:t>COBRA Benefit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53" w:lineRule="auto"/>
        <w:tabs>
          <w:tab w:leader="none" w:pos="1939"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within 12 Months Following a Change of Control</w:t>
      </w:r>
      <w:r>
        <w:rPr>
          <w:rFonts w:ascii="Times New Roman" w:cs="Times New Roman" w:eastAsia="Times New Roman" w:hAnsi="Times New Roman"/>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78" w:lineRule="exact"/>
        <w:rPr>
          <w:rFonts w:ascii="Times New Roman" w:cs="Times New Roman" w:eastAsia="Times New Roman" w:hAnsi="Times New Roman"/>
          <w:sz w:val="22"/>
          <w:szCs w:val="22"/>
          <w:color w:val="010000"/>
        </w:rPr>
      </w:pPr>
    </w:p>
    <w:p>
      <w:pPr>
        <w:jc w:val="both"/>
        <w:ind w:firstLine="1748"/>
        <w:spacing w:after="0" w:line="238" w:lineRule="auto"/>
        <w:tabs>
          <w:tab w:leader="none" w:pos="2025"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(i) continuing payments of severance pay for a period of twelve (12) months from the date of such termination equal to Executive’s base salary rate as in effect immediately prior to (A) the Change of Control, or (B) Executive’s termination, whichever is greater, and (ii) a payment equal to one hundred percent (100%) of the Executive’s annual target bonus for the year in which the termination occurs, payable in a cash lump sum no later than 10 days after the Release (as defined below) becomes effective and irrevocable, and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such termination.</w:t>
      </w:r>
    </w:p>
    <w:p>
      <w:pPr>
        <w:spacing w:after="0" w:line="194" w:lineRule="exact"/>
        <w:rPr>
          <w:rFonts w:ascii="Times New Roman" w:cs="Times New Roman" w:eastAsia="Times New Roman" w:hAnsi="Times New Roman"/>
          <w:sz w:val="22"/>
          <w:szCs w:val="22"/>
          <w:color w:val="010000"/>
        </w:rPr>
      </w:pPr>
    </w:p>
    <w:p>
      <w:pPr>
        <w:jc w:val="both"/>
        <w:ind w:firstLine="1688"/>
        <w:spacing w:after="0" w:line="250" w:lineRule="auto"/>
        <w:tabs>
          <w:tab w:leader="none" w:pos="2052"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and Performance-Based Awards shall accelerate and become vested and exercisable or settled with respect to 100% of the then-unvested shares subject thereto. Unless otherwise set forth in the applicable award agreement, the number of shares subject to Performance-Based Awards eligible for the foregoing acceleration shall be determined based on deemed achievement of all performance goals or other vesting criteria at one hundred percent (100%) of target levels and satisfaction of all other terms and conditions. The Awards will remain exercisable, to the extent applicable, following the termination for the period prescribed in the respective stock plan and agreement for each Award.</w:t>
      </w:r>
    </w:p>
    <w:p>
      <w:pPr>
        <w:spacing w:after="0" w:line="180" w:lineRule="exact"/>
        <w:rPr>
          <w:rFonts w:ascii="Times New Roman" w:cs="Times New Roman" w:eastAsia="Times New Roman" w:hAnsi="Times New Roman"/>
          <w:sz w:val="22"/>
          <w:szCs w:val="22"/>
          <w:color w:val="010000"/>
        </w:rPr>
      </w:pPr>
    </w:p>
    <w:p>
      <w:pPr>
        <w:ind w:left="2000" w:hanging="372"/>
        <w:spacing w:after="0"/>
        <w:tabs>
          <w:tab w:leader="none" w:pos="2000"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Benefits</w:t>
      </w:r>
      <w:r>
        <w:rPr>
          <w:rFonts w:ascii="Times New Roman" w:cs="Times New Roman" w:eastAsia="Times New Roman" w:hAnsi="Times New Roman"/>
          <w:sz w:val="22"/>
          <w:szCs w:val="22"/>
          <w:color w:val="auto"/>
        </w:rPr>
        <w:t>. Executive will receive the COBRA Benefit.</w:t>
      </w:r>
    </w:p>
    <w:p>
      <w:pPr>
        <w:spacing w:after="0" w:line="233" w:lineRule="exact"/>
        <w:rPr>
          <w:rFonts w:ascii="Times New Roman" w:cs="Times New Roman" w:eastAsia="Times New Roman" w:hAnsi="Times New Roman"/>
          <w:sz w:val="22"/>
          <w:szCs w:val="22"/>
          <w:color w:val="010000"/>
        </w:rPr>
      </w:pPr>
    </w:p>
    <w:p>
      <w:pPr>
        <w:jc w:val="both"/>
        <w:ind w:firstLine="1304"/>
        <w:spacing w:after="0" w:line="233" w:lineRule="auto"/>
        <w:tabs>
          <w:tab w:leader="none" w:pos="194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pay or other benefits pursuant to Sections 3(a) and (b) above will be subject to Executive signing and not revoking the Company’s form of general release of all claims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allowing such Release to become non-revocable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earlier of the effective date of the Change of Control or Executive’s termination of employment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010000"/>
        </w:rPr>
      </w:pPr>
    </w:p>
    <w:p>
      <w:pPr>
        <w:jc w:val="both"/>
        <w:ind w:firstLine="1304"/>
        <w:spacing w:after="0" w:line="281" w:lineRule="auto"/>
        <w:tabs>
          <w:tab w:leader="none" w:pos="1939"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The receipt of any severance pay or other benefits pursuant to Sections 3(a) and (b) above will also be subject to </w:t>
      </w:r>
      <w:r>
        <w:rPr>
          <w:rFonts w:ascii="Times New Roman" w:cs="Times New Roman" w:eastAsia="Times New Roman" w:hAnsi="Times New Roman"/>
          <w:sz w:val="18"/>
          <w:szCs w:val="18"/>
          <w:color w:val="auto"/>
        </w:rPr>
        <w:t>Executive’s continued compliance</w:t>
      </w:r>
      <w:r>
        <w:rPr>
          <w:rFonts w:ascii="Times New Roman" w:cs="Times New Roman" w:eastAsia="Times New Roman" w:hAnsi="Times New Roman"/>
          <w:sz w:val="21"/>
          <w:szCs w:val="21"/>
          <w:color w:val="auto"/>
        </w:rPr>
        <w:t xml:space="preserve"> with any written agreements between the Company and Executive relating to confidentiality, non-competition, non-solicitation and non-interference,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including but not limited to Executive’s Fortinet Confidentiality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1304"/>
        <w:spacing w:after="0" w:line="250" w:lineRule="auto"/>
        <w:tabs>
          <w:tab w:leader="none" w:pos="1941"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Subject to Section 3(c), the Company will commence payment of the salary-based severance payments to which Executive is entitled in the payroll period immediately following the Release Deadline, provided that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spacing w:after="0" w:line="39" w:lineRule="exact"/>
        <w:rPr>
          <w:rFonts w:ascii="Times New Roman" w:cs="Times New Roman" w:eastAsia="Times New Roman" w:hAnsi="Times New Roman"/>
          <w:sz w:val="21"/>
          <w:szCs w:val="21"/>
          <w:color w:val="010000"/>
        </w:rPr>
      </w:pPr>
    </w:p>
    <w:p>
      <w:pPr>
        <w:jc w:val="both"/>
        <w:ind w:firstLine="8"/>
        <w:spacing w:after="0" w:line="245" w:lineRule="auto"/>
        <w:tabs>
          <w:tab w:leader="none" w:pos="27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(except upon a termination for Good Reason)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9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39"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63"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939"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anything to the contrary in this Agreement, no severance pay or benefits to be paid or provided to Executive, if any, pursuant to this Agreement, will be payable until Executive has a “separation from service” within the meaning of Section 409A, and the regulations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xml:space="preserve">”)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the extent (i) any payments to which Executive becomes entitled under this Agreement, or any agreement or plan referenced herein, in connection with the termination of Executive’s employment with and/or services to the Company constitute deferred compensation subject to Section 409A and (ii) Executive is deemed at the time of such termination of employment to be a “specified” employee under Section 409A, then such payment or payments shall not be made or commence until the earlier of (A) the expiration of the six (6)-month period measured from Executive’s termination or (B) the date of Executive’s death following such termination;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21"/>
          <w:szCs w:val="21"/>
          <w:color w:val="auto"/>
        </w:rPr>
        <w:t>made during that period (whether in a single sum or in installments) in the absence of this paragraph shall be paid to Executive or Executive’s beneficiary in one lump sum (without interest). Each payment and benefit payable under this Agreement is intended to constitute separate payments for purposes of Section 1.409A-2(b)(2) of the Treasury Regulations. To the extent necessary to comply with Section 409A of the Code, if the designated payment period for any payment under this Agreement begins in one taxable year and ends in the next taxable year, the payment will be made in the later taxable year.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0" w:lineRule="exact"/>
        <w:rPr>
          <w:sz w:val="20"/>
          <w:szCs w:val="20"/>
          <w:color w:val="auto"/>
        </w:rPr>
      </w:pPr>
    </w:p>
    <w:p>
      <w:pPr>
        <w:jc w:val="both"/>
        <w:ind w:firstLine="656"/>
        <w:spacing w:after="0" w:line="256" w:lineRule="auto"/>
        <w:tabs>
          <w:tab w:leader="none" w:pos="1296"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7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in full, or</w:t>
      </w:r>
    </w:p>
    <w:p>
      <w:pPr>
        <w:spacing w:after="0" w:line="219"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as to such lesser extent which would result in no portion of such severance benefits being subject to excise tax under Section 4999 of the Code,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1" w:lineRule="auto"/>
        <w:rPr>
          <w:sz w:val="20"/>
          <w:szCs w:val="20"/>
          <w:color w:val="auto"/>
        </w:rPr>
      </w:pPr>
      <w:r>
        <w:rPr>
          <w:rFonts w:ascii="Times New Roman" w:cs="Times New Roman" w:eastAsia="Times New Roman" w:hAnsi="Times New Roman"/>
          <w:sz w:val="22"/>
          <w:szCs w:val="22"/>
          <w:color w:val="auto"/>
        </w:rPr>
        <w:t>Section 4 will be made in writing by an independent firm immediately prior to Change of Control (the “</w:t>
      </w:r>
      <w:r>
        <w:rPr>
          <w:rFonts w:ascii="Times New Roman" w:cs="Times New Roman" w:eastAsia="Times New Roman" w:hAnsi="Times New Roman"/>
          <w:sz w:val="22"/>
          <w:szCs w:val="22"/>
          <w:b w:val="1"/>
          <w:bCs w:val="1"/>
          <w:i w:val="1"/>
          <w:iCs w:val="1"/>
          <w:color w:val="auto"/>
        </w:rPr>
        <w:t>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79"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27"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941" w:val="left"/>
        </w:tabs>
        <w:numPr>
          <w:ilvl w:val="1"/>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 (iv) Executive has breached any material term or condition of the Executive’s Confidentiality Agreement with the Company or has otherwise improperly disclosure of the Company’s confidential or proprietary information that materially adversely affects the Company; (v) Executive has breached any material term or condition of the Executive’s any written Company policy or the Company’s written code of conduct that has been made available to Executive prior to such breach or any other material agreement with the Company or (vi) Executive has obstructed or impeded, or failed to materially cooperate with, any investigation authorized by the Board or any governmental or self-regulatory entity; provided, however that failure to waive attorney-client privilege relating to communications with Executive’s own attorney in connection with such investigation will not constitute “Cause”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action or conduct described in clauses (iv), (v) and (vi) above will constitute “Cause” only if such action or conduct continues after the Company has provided you with written notice thereof and thirty (30) days to cure the same if such action or conduct is curable.</w:t>
      </w:r>
    </w:p>
    <w:p>
      <w:pPr>
        <w:spacing w:after="0" w:line="169"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of the Company is defined as:</w:t>
      </w:r>
    </w:p>
    <w:p>
      <w:pPr>
        <w:spacing w:after="0" w:line="225" w:lineRule="exact"/>
        <w:rPr>
          <w:rFonts w:ascii="Times New Roman" w:cs="Times New Roman" w:eastAsia="Times New Roman" w:hAnsi="Times New Roman"/>
          <w:sz w:val="22"/>
          <w:szCs w:val="22"/>
          <w:color w:val="010000"/>
        </w:rPr>
      </w:pPr>
    </w:p>
    <w:p>
      <w:pPr>
        <w:jc w:val="both"/>
        <w:ind w:firstLine="1748"/>
        <w:spacing w:after="0" w:line="252" w:lineRule="auto"/>
        <w:tabs>
          <w:tab w:leader="none" w:pos="1998" w:val="left"/>
        </w:tabs>
        <w:numPr>
          <w:ilvl w:val="2"/>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that or is or becomes the owner, directly or indirectly, of securities of the Company representing more than fifty percent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6" w:right="339" w:bottom="1440" w:gutter="0" w:footer="0" w:header="0"/>
        </w:sectPr>
      </w:pPr>
    </w:p>
    <w:bookmarkStart w:id="100" w:name="page101"/>
    <w:bookmarkEnd w:id="100"/>
    <w:p>
      <w:pPr>
        <w:jc w:val="both"/>
        <w:spacing w:after="0" w:line="257" w:lineRule="auto"/>
        <w:rPr>
          <w:sz w:val="20"/>
          <w:szCs w:val="20"/>
          <w:color w:val="auto"/>
        </w:rPr>
      </w:pPr>
      <w:r>
        <w:rPr>
          <w:rFonts w:ascii="Times New Roman" w:cs="Times New Roman" w:eastAsia="Times New Roman" w:hAnsi="Times New Roman"/>
          <w:sz w:val="22"/>
          <w:szCs w:val="22"/>
          <w:color w:val="auto"/>
        </w:rPr>
        <w:t>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6" w:lineRule="exact"/>
        <w:rPr>
          <w:sz w:val="20"/>
          <w:szCs w:val="20"/>
          <w:color w:val="auto"/>
        </w:rPr>
      </w:pPr>
    </w:p>
    <w:p>
      <w:pPr>
        <w:jc w:val="both"/>
        <w:ind w:firstLine="1688"/>
        <w:spacing w:after="0" w:line="251" w:lineRule="auto"/>
        <w:tabs>
          <w:tab w:leader="none" w:pos="2025"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1" w:lineRule="exact"/>
        <w:rPr>
          <w:rFonts w:ascii="Times New Roman" w:cs="Times New Roman" w:eastAsia="Times New Roman" w:hAnsi="Times New Roman"/>
          <w:sz w:val="22"/>
          <w:szCs w:val="22"/>
          <w:color w:val="010000"/>
        </w:rPr>
      </w:pPr>
    </w:p>
    <w:p>
      <w:pPr>
        <w:jc w:val="both"/>
        <w:ind w:firstLine="1628"/>
        <w:spacing w:after="0" w:line="251" w:lineRule="auto"/>
        <w:tabs>
          <w:tab w:leader="none" w:pos="1998"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81" w:lineRule="exact"/>
        <w:rPr>
          <w:rFonts w:ascii="Times New Roman" w:cs="Times New Roman" w:eastAsia="Times New Roman" w:hAnsi="Times New Roman"/>
          <w:sz w:val="22"/>
          <w:szCs w:val="22"/>
          <w:color w:val="010000"/>
        </w:rPr>
      </w:pPr>
    </w:p>
    <w:p>
      <w:pPr>
        <w:jc w:val="both"/>
        <w:ind w:firstLine="1640"/>
        <w:spacing w:after="0" w:line="247" w:lineRule="auto"/>
        <w:tabs>
          <w:tab w:leader="none" w:pos="1998"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Company transaction that does not constitute a change in control event under Treasury Regulation 1.409A-3(i)(5)(v) or (vii) shall be not be considered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101" w:name="page102"/>
    <w:bookmarkEnd w:id="101"/>
    <w:p>
      <w:pPr>
        <w:jc w:val="both"/>
        <w:ind w:left="-20" w:firstLine="1304"/>
        <w:spacing w:after="0" w:line="249" w:lineRule="auto"/>
        <w:tabs>
          <w:tab w:leader="none" w:pos="1921"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5" w:lineRule="exact"/>
        <w:rPr>
          <w:rFonts w:ascii="Times New Roman" w:cs="Times New Roman" w:eastAsia="Times New Roman" w:hAnsi="Times New Roman"/>
          <w:sz w:val="22"/>
          <w:szCs w:val="22"/>
          <w:color w:val="010000"/>
        </w:rPr>
      </w:pPr>
    </w:p>
    <w:p>
      <w:pPr>
        <w:jc w:val="both"/>
        <w:ind w:left="-20" w:firstLine="1304"/>
        <w:spacing w:after="0" w:line="247" w:lineRule="auto"/>
        <w:tabs>
          <w:tab w:leader="none" w:pos="1919"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9" w:lineRule="exact"/>
        <w:rPr>
          <w:rFonts w:ascii="Times New Roman" w:cs="Times New Roman" w:eastAsia="Times New Roman" w:hAnsi="Times New Roman"/>
          <w:sz w:val="22"/>
          <w:szCs w:val="22"/>
          <w:color w:val="010000"/>
        </w:rPr>
      </w:pPr>
    </w:p>
    <w:p>
      <w:pPr>
        <w:ind w:left="1280" w:hanging="644"/>
        <w:spacing w:after="0"/>
        <w:tabs>
          <w:tab w:leader="none" w:pos="1280"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40" w:top="1416" w:right="339" w:bottom="1440" w:gutter="0" w:footer="0" w:header="0"/>
        </w:sectPr>
      </w:pPr>
    </w:p>
    <w:bookmarkStart w:id="102" w:name="page103"/>
    <w:bookmarkEnd w:id="102"/>
    <w:p>
      <w:pPr>
        <w:ind w:right="20"/>
        <w:spacing w:after="0" w:line="271" w:lineRule="auto"/>
        <w:rPr>
          <w:sz w:val="20"/>
          <w:szCs w:val="20"/>
          <w:color w:val="auto"/>
        </w:rPr>
      </w:pPr>
      <w:r>
        <w:rPr>
          <w:rFonts w:ascii="Times New Roman" w:cs="Times New Roman" w:eastAsia="Times New Roman" w:hAnsi="Times New Roman"/>
          <w:sz w:val="22"/>
          <w:szCs w:val="22"/>
          <w:color w:val="auto"/>
        </w:rPr>
        <w:t>include any successor to the Company’s business and/or assets which executes and delivers the assumption agreement described in this Section 6(a) or which becomes bound by the terms of this Agreement by operation of law.</w:t>
      </w:r>
    </w:p>
    <w:p>
      <w:pPr>
        <w:spacing w:after="0" w:line="158" w:lineRule="exact"/>
        <w:rPr>
          <w:sz w:val="20"/>
          <w:szCs w:val="20"/>
          <w:color w:val="auto"/>
        </w:rPr>
      </w:pPr>
    </w:p>
    <w:p>
      <w:pPr>
        <w:jc w:val="both"/>
        <w:ind w:firstLine="1304"/>
        <w:spacing w:after="0" w:line="263" w:lineRule="auto"/>
        <w:tabs>
          <w:tab w:leader="none" w:pos="1939"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9"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5"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have a term of five (5) years commencing on the Effective Date, which shall not be subject to renewal, unless a Change of Control occurs during such five (5)-year period, in which case this Agreement will continue until all payments and benefits, if any, have been made to Executive.</w:t>
      </w:r>
    </w:p>
    <w:p>
      <w:pPr>
        <w:spacing w:after="0" w:line="172" w:lineRule="exact"/>
        <w:rPr>
          <w:rFonts w:ascii="Times New Roman" w:cs="Times New Roman" w:eastAsia="Times New Roman" w:hAnsi="Times New Roman"/>
          <w:sz w:val="22"/>
          <w:szCs w:val="22"/>
          <w:color w:val="010000"/>
        </w:rPr>
      </w:pPr>
    </w:p>
    <w:p>
      <w:pPr>
        <w:jc w:val="both"/>
        <w:ind w:firstLine="656"/>
        <w:spacing w:after="0" w:line="256" w:lineRule="auto"/>
        <w:tabs>
          <w:tab w:leader="none" w:pos="12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the event of any dispute or claim relating to or arising out of Executive’s employment relationship with the Company or this Agreement, Executive and the Company agree that any and all disputes between Executive and the Company will be fully and finally resolved by binding arbitration in accordance with the arbitration clause set forth in the Confidentiality Agreement, pursuant to which Executive is waiving any and all rights to a jury trial.</w:t>
      </w:r>
    </w:p>
    <w:p>
      <w:pPr>
        <w:spacing w:after="0" w:line="17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 Benefits provided under this Agreement are paid from the general assets of the Company, and</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not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03" w:name="page104"/>
    <w:bookmarkEnd w:id="103"/>
    <w:p>
      <w:pPr>
        <w:ind w:left="-20" w:firstLine="1304"/>
        <w:spacing w:after="0" w:line="271" w:lineRule="auto"/>
        <w:tabs>
          <w:tab w:leader="none" w:pos="1919"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8" w:lineRule="exact"/>
        <w:rPr>
          <w:rFonts w:ascii="Times New Roman" w:cs="Times New Roman" w:eastAsia="Times New Roman" w:hAnsi="Times New Roman"/>
          <w:sz w:val="22"/>
          <w:szCs w:val="22"/>
          <w:color w:val="010000"/>
        </w:rPr>
      </w:pPr>
    </w:p>
    <w:p>
      <w:pPr>
        <w:ind w:left="-20" w:firstLine="1304"/>
        <w:spacing w:after="0" w:line="284" w:lineRule="auto"/>
        <w:tabs>
          <w:tab w:leader="none" w:pos="1919"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43" w:lineRule="exact"/>
        <w:rPr>
          <w:rFonts w:ascii="Times New Roman" w:cs="Times New Roman" w:eastAsia="Times New Roman" w:hAnsi="Times New Roman"/>
          <w:sz w:val="22"/>
          <w:szCs w:val="22"/>
          <w:color w:val="010000"/>
        </w:rPr>
      </w:pPr>
    </w:p>
    <w:p>
      <w:pPr>
        <w:jc w:val="both"/>
        <w:ind w:left="-20" w:firstLine="1304"/>
        <w:spacing w:after="0" w:line="248" w:lineRule="auto"/>
        <w:tabs>
          <w:tab w:leader="none" w:pos="1921"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 By executing this Agreement, Executive acknowledges and agrees that Executive has had the opportunity to consult with Executive’s own counsel and has read and understands this Agreement, is fully aware of its legal effect, has not acted in reliance upon any representations or promises made by the Company or any other person other than those contained in writing herein.</w:t>
      </w:r>
    </w:p>
    <w:p>
      <w:pPr>
        <w:spacing w:after="0" w:line="185" w:lineRule="exact"/>
        <w:rPr>
          <w:rFonts w:ascii="Times New Roman" w:cs="Times New Roman" w:eastAsia="Times New Roman" w:hAnsi="Times New Roman"/>
          <w:sz w:val="22"/>
          <w:szCs w:val="22"/>
          <w:color w:val="010000"/>
        </w:rPr>
      </w:pPr>
    </w:p>
    <w:p>
      <w:pPr>
        <w:ind w:left="-20" w:firstLine="1304"/>
        <w:spacing w:after="0" w:line="284" w:lineRule="auto"/>
        <w:tabs>
          <w:tab w:leader="none" w:pos="192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22"/>
          <w:szCs w:val="22"/>
          <w:color w:val="010000"/>
        </w:rPr>
      </w:pPr>
    </w:p>
    <w:p>
      <w:pPr>
        <w:ind w:left="-20" w:right="20" w:firstLine="1304"/>
        <w:spacing w:after="0" w:line="271" w:lineRule="auto"/>
        <w:tabs>
          <w:tab w:leader="none" w:pos="1919"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1" w:lineRule="auto"/>
        <w:tabs>
          <w:tab w:leader="none" w:pos="1919"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and employment taxes. By entering into this Agreement, Executive agrees to review with Executive’s own tax advisors the federal, state, provincial, local, and foreign tax consequences of this Agreement. Executive will rely solely on such advisors and not on any statements or representations of the Company, or any of its agents. Executive understands that Executive (and not the Company) will be responsible for Executive’s own tax liability that may arise as a result of this Agreement, without regard to the amount withheld or reported by the Company to applicable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40" w:top="1422" w:right="339" w:bottom="1440" w:gutter="0" w:footer="0" w:header="0"/>
        </w:sectPr>
      </w:pPr>
    </w:p>
    <w:bookmarkStart w:id="104" w:name="page105"/>
    <w:bookmarkEnd w:id="104"/>
    <w:p>
      <w:pPr>
        <w:ind w:left="-20" w:firstLine="1304"/>
        <w:spacing w:after="0" w:line="271" w:lineRule="auto"/>
        <w:tabs>
          <w:tab w:leader="none" w:pos="1912"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22" w:right="339" w:bottom="1440" w:gutter="0" w:footer="0" w:header="0"/>
        </w:sectPr>
      </w:pPr>
    </w:p>
    <w:bookmarkStart w:id="105" w:name="page106"/>
    <w:bookmarkEnd w:id="10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820" w:type="dxa"/>
            <w:vAlign w:val="bottom"/>
          </w:tcPr>
          <w:p>
            <w:pPr>
              <w:spacing w:after="0"/>
              <w:rPr>
                <w:sz w:val="24"/>
                <w:szCs w:val="24"/>
                <w:color w:val="auto"/>
              </w:rPr>
            </w:pP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FORTINET, INC.</w:t>
            </w:r>
          </w:p>
        </w:tc>
      </w:tr>
      <w:tr>
        <w:trPr>
          <w:trHeight w:val="541"/>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Ken Xie</w:t>
            </w:r>
          </w:p>
        </w:tc>
      </w:tr>
      <w:tr>
        <w:trPr>
          <w:trHeight w:val="270"/>
        </w:trPr>
        <w:tc>
          <w:tcPr>
            <w:tcW w:w="31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Ken Xie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Title: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Chief Executive Officer</w:t>
            </w:r>
          </w:p>
        </w:tc>
      </w:tr>
      <w:tr>
        <w:trPr>
          <w:trHeight w:val="528"/>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Michael Xie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Michael Xie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SEVERANCE AGREEMENT</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Amended and Restated Change of Control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John Whittle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Fortinet,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August 7, 2024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and supersedes the Amended and Restated Change of Control Severance Agreement, between Executive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dated as of August 7, 2019.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jc w:val="both"/>
        <w:ind w:firstLine="656"/>
        <w:spacing w:after="0" w:line="248" w:lineRule="auto"/>
        <w:tabs>
          <w:tab w:leader="none" w:pos="104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6" w:lineRule="auto"/>
        <w:tabs>
          <w:tab w:leader="none" w:pos="1296"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terminate upon the earliest to occur of: (a) the Agreement’s termination date as provided in Section 8 below, (b) termination of Executive’s employment </w:t>
      </w:r>
      <w:r>
        <w:rPr>
          <w:rFonts w:ascii="Times New Roman" w:cs="Times New Roman" w:eastAsia="Times New Roman" w:hAnsi="Times New Roman"/>
          <w:sz w:val="22"/>
          <w:szCs w:val="22"/>
          <w:i w:val="1"/>
          <w:iCs w:val="1"/>
          <w:color w:val="auto"/>
        </w:rPr>
        <w:t>other than due to</w:t>
      </w:r>
      <w:r>
        <w:rPr>
          <w:rFonts w:ascii="Times New Roman" w:cs="Times New Roman" w:eastAsia="Times New Roman" w:hAnsi="Times New Roman"/>
          <w:sz w:val="22"/>
          <w:szCs w:val="22"/>
          <w:color w:val="auto"/>
        </w:rPr>
        <w:t xml:space="preserve"> (i) termination by the Company other than for Cause (as defined herein) or (ii) resignation by Executive for Good Reason (as defined herein); and (c) the date that all of the obligations of the parties hereto with respect to this Agreement have been satisfied.</w:t>
      </w:r>
    </w:p>
    <w:p>
      <w:pPr>
        <w:spacing w:after="0" w:line="176" w:lineRule="exact"/>
        <w:rPr>
          <w:rFonts w:ascii="Times New Roman" w:cs="Times New Roman" w:eastAsia="Times New Roman" w:hAnsi="Times New Roman"/>
          <w:sz w:val="22"/>
          <w:szCs w:val="22"/>
          <w:color w:val="010000"/>
        </w:rPr>
      </w:pPr>
    </w:p>
    <w:p>
      <w:pPr>
        <w:ind w:firstLine="656"/>
        <w:spacing w:after="0" w:line="271" w:lineRule="auto"/>
        <w:tabs>
          <w:tab w:leader="none" w:pos="1296"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w:t>
      </w:r>
    </w:p>
    <w:p>
      <w:pPr>
        <w:sectPr>
          <w:pgSz w:w="11900" w:h="16838" w:orient="portrait"/>
          <w:cols w:equalWidth="0" w:num="1">
            <w:col w:w="11240"/>
          </w:cols>
          <w:pgMar w:left="320" w:top="1418" w:right="339" w:bottom="1440" w:gutter="0" w:footer="0" w:header="0"/>
        </w:sectPr>
      </w:pPr>
    </w:p>
    <w:bookmarkStart w:id="107" w:name="page108"/>
    <w:bookmarkEnd w:id="107"/>
    <w:p>
      <w:pPr>
        <w:ind w:left="1300" w:hanging="644"/>
        <w:spacing w:after="0"/>
        <w:tabs>
          <w:tab w:leader="none" w:pos="1300"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2"/>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Prior to, or Absent, a Change of Control or After 12 Months Following a Change of Control</w:t>
      </w:r>
      <w:r>
        <w:rPr>
          <w:rFonts w:ascii="Times New Roman" w:cs="Times New Roman" w:eastAsia="Times New Roman" w:hAnsi="Times New Roman"/>
          <w:sz w:val="22"/>
          <w:szCs w:val="22"/>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78" w:lineRule="exact"/>
        <w:rPr>
          <w:rFonts w:ascii="Times New Roman" w:cs="Times New Roman" w:eastAsia="Times New Roman" w:hAnsi="Times New Roman"/>
          <w:sz w:val="22"/>
          <w:szCs w:val="22"/>
          <w:color w:val="010000"/>
        </w:rPr>
      </w:pPr>
    </w:p>
    <w:p>
      <w:pPr>
        <w:ind w:left="2020" w:hanging="272"/>
        <w:spacing w:after="0"/>
        <w:tabs>
          <w:tab w:leader="none" w:pos="2020" w:val="left"/>
        </w:tabs>
        <w:numPr>
          <w:ilvl w:val="3"/>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continuing payments of severance pay for a period of twelve</w:t>
      </w:r>
    </w:p>
    <w:p>
      <w:pPr>
        <w:spacing w:after="0" w:line="27" w:lineRule="exact"/>
        <w:rPr>
          <w:rFonts w:ascii="Times New Roman" w:cs="Times New Roman" w:eastAsia="Times New Roman" w:hAnsi="Times New Roman"/>
          <w:sz w:val="22"/>
          <w:szCs w:val="22"/>
          <w:color w:val="010000"/>
        </w:rPr>
      </w:pPr>
    </w:p>
    <w:p>
      <w:pPr>
        <w:ind w:firstLine="8"/>
        <w:spacing w:after="0" w:line="261" w:lineRule="auto"/>
        <w:tabs>
          <w:tab w:leader="none" w:pos="42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such termination equal to Executive’s base salary rate as in effect immediately prior to Executive’s termination.</w:t>
      </w:r>
    </w:p>
    <w:p>
      <w:pPr>
        <w:spacing w:after="0" w:line="168" w:lineRule="exact"/>
        <w:rPr>
          <w:rFonts w:ascii="Times New Roman" w:cs="Times New Roman" w:eastAsia="Times New Roman" w:hAnsi="Times New Roman"/>
          <w:sz w:val="22"/>
          <w:szCs w:val="22"/>
          <w:color w:val="auto"/>
        </w:rPr>
      </w:pPr>
    </w:p>
    <w:p>
      <w:pPr>
        <w:jc w:val="both"/>
        <w:ind w:firstLine="1688"/>
        <w:spacing w:after="0" w:line="251" w:lineRule="auto"/>
        <w:tabs>
          <w:tab w:leader="none" w:pos="2039" w:val="left"/>
        </w:tabs>
        <w:numPr>
          <w:ilvl w:val="3"/>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(as defined below) shall accelerate and become vested and exercisable or settled with respect to the then-unvested shares subject thereto that would have otherwise vested over a twelve (12) month period following such termination pursuant to the vesting schedule set forth in the award agreement. The Awards will remain exercisable following the termination for the period prescribed in the respective stock plan and agreement for each award. Treatment of Performance-Based Awards (as defined below) shall be subject to the award agreement governing their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Time-Vesting Awards</w:t>
      </w:r>
      <w:r>
        <w:rPr>
          <w:rFonts w:ascii="Times New Roman" w:cs="Times New Roman" w:eastAsia="Times New Roman" w:hAnsi="Times New Roman"/>
          <w:sz w:val="22"/>
          <w:szCs w:val="22"/>
          <w:color w:val="auto"/>
        </w:rPr>
        <w:t>” means all awards for shares of the Company’s common stock granted under a Company equity plan, including but not limited to options, restricted stock, restricted stock units, stock bonus awards or stock appreciation rights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that are subject solely to time based vesting as of Executive’s termination. Time-Vesting Awards shall include Performance-Based Awards to the extent applicable performance metrics have been satisfied as of, or are satisfied upon, Executive’s termination date.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Performance-Based Awards</w:t>
      </w:r>
      <w:r>
        <w:rPr>
          <w:rFonts w:ascii="Times New Roman" w:cs="Times New Roman" w:eastAsia="Times New Roman" w:hAnsi="Times New Roman"/>
          <w:sz w:val="22"/>
          <w:szCs w:val="22"/>
          <w:color w:val="auto"/>
        </w:rPr>
        <w:t>” means all Awards that are subject to unsatisfied performance metrics as of Executive’s termination.</w:t>
      </w:r>
    </w:p>
    <w:p>
      <w:pPr>
        <w:spacing w:after="0" w:line="153" w:lineRule="exact"/>
        <w:rPr>
          <w:sz w:val="20"/>
          <w:szCs w:val="20"/>
          <w:color w:val="auto"/>
        </w:rPr>
      </w:pPr>
    </w:p>
    <w:p>
      <w:pPr>
        <w:jc w:val="both"/>
        <w:ind w:firstLine="1628"/>
        <w:spacing w:after="0" w:line="249" w:lineRule="auto"/>
        <w:tabs>
          <w:tab w:leader="none" w:pos="2025"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If Executive participates in the Company’s group health insurance plans (i.e., major medical, dental and vision) on the date of Executive’s termination and timely elects continued coverage under the Consolidated Omnibus Budget Reconciliation Act of 1985 (together with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pay the COBRA premiums to continue such coverage (including for Executive and Executive’s eligible dependents who have elected and remain enrolled in such COBRA coverage) for a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beginning on the first day following the day that Executive’s active employee health coverage ends as the result of Executive’s termination, and ending on the earliest to occur of (i) twelve (12) months, (ii) the expiration of Executive’s eligibility for continuation coverage under COBRA and (iii) the first month for which Executive is eligible for health insurance coverage in connection with new employment or self-employment. Alternatively, the Company may elect to pay Executive a taxable cash payment in lieu of the continued coverage, equal to the amount that the Company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108" w:name="page109"/>
    <w:bookmarkEnd w:id="108"/>
    <w:p>
      <w:pPr>
        <w:jc w:val="both"/>
        <w:spacing w:after="0" w:line="253" w:lineRule="auto"/>
        <w:rPr>
          <w:sz w:val="20"/>
          <w:szCs w:val="20"/>
          <w:color w:val="auto"/>
        </w:rPr>
      </w:pPr>
      <w:r>
        <w:rPr>
          <w:rFonts w:ascii="Times New Roman" w:cs="Times New Roman" w:eastAsia="Times New Roman" w:hAnsi="Times New Roman"/>
          <w:sz w:val="22"/>
          <w:szCs w:val="22"/>
          <w:color w:val="auto"/>
        </w:rPr>
        <w:t>otherwise paid for the COBRA premiums (based on the premium for the first month of coverage), which payment will be made regardless of whether Executive or Executive’s eligible dependents elect COBRA continuation coverage and will be paid in monthly installments for the COBRA Payment Period, except that payments shall commence (with any make-up payments) in the Company’s first regular payroll following the Release Deadline. Continued health coverage or payment of a taxable cash amount pursuant to the foregoing is referred to as the “</w:t>
      </w:r>
      <w:r>
        <w:rPr>
          <w:rFonts w:ascii="Times New Roman" w:cs="Times New Roman" w:eastAsia="Times New Roman" w:hAnsi="Times New Roman"/>
          <w:sz w:val="22"/>
          <w:szCs w:val="22"/>
          <w:b w:val="1"/>
          <w:bCs w:val="1"/>
          <w:i w:val="1"/>
          <w:iCs w:val="1"/>
          <w:color w:val="auto"/>
        </w:rPr>
        <w:t>COBRA Benefit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53" w:lineRule="auto"/>
        <w:tabs>
          <w:tab w:leader="none" w:pos="1939"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within 12 Months Following a Change of Control</w:t>
      </w:r>
      <w:r>
        <w:rPr>
          <w:rFonts w:ascii="Times New Roman" w:cs="Times New Roman" w:eastAsia="Times New Roman" w:hAnsi="Times New Roman"/>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78" w:lineRule="exact"/>
        <w:rPr>
          <w:rFonts w:ascii="Times New Roman" w:cs="Times New Roman" w:eastAsia="Times New Roman" w:hAnsi="Times New Roman"/>
          <w:sz w:val="22"/>
          <w:szCs w:val="22"/>
          <w:color w:val="010000"/>
        </w:rPr>
      </w:pPr>
    </w:p>
    <w:p>
      <w:pPr>
        <w:jc w:val="both"/>
        <w:ind w:firstLine="1748"/>
        <w:spacing w:after="0" w:line="238" w:lineRule="auto"/>
        <w:tabs>
          <w:tab w:leader="none" w:pos="2025"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(i) continuing payments of severance pay for a period of twelve (12) months from the date of such termination equal to Executive’s base salary rate as in effect immediately prior to (A) the Change of Control, or (B) Executive’s termination, whichever is greater, and (ii) a payment equal to one hundred percent (100%) of the Executive’s annual target bonus for the year in which the termination occurs, payable in a cash lump sum no later than 10 days after the Release (as defined below) becomes effective and irrevocable, and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such termination.</w:t>
      </w:r>
    </w:p>
    <w:p>
      <w:pPr>
        <w:spacing w:after="0" w:line="194" w:lineRule="exact"/>
        <w:rPr>
          <w:rFonts w:ascii="Times New Roman" w:cs="Times New Roman" w:eastAsia="Times New Roman" w:hAnsi="Times New Roman"/>
          <w:sz w:val="22"/>
          <w:szCs w:val="22"/>
          <w:color w:val="010000"/>
        </w:rPr>
      </w:pPr>
    </w:p>
    <w:p>
      <w:pPr>
        <w:jc w:val="both"/>
        <w:ind w:firstLine="1688"/>
        <w:spacing w:after="0" w:line="250" w:lineRule="auto"/>
        <w:tabs>
          <w:tab w:leader="none" w:pos="2052"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and Performance-Based Awards shall accelerate and become vested and exercisable or settled with respect to 100% of the then-unvested shares subject thereto. Unless otherwise set forth in the applicable award agreement, the number of shares subject to Performance-Based Awards eligible for the foregoing acceleration shall be determined based on deemed achievement of all performance goals or other vesting criteria at one hundred percent (100%) of target levels and satisfaction of all other terms and conditions. The Awards will remain exercisable, to the extent applicable, following the termination for the period prescribed in the respective stock plan and agreement for each Award.</w:t>
      </w:r>
    </w:p>
    <w:p>
      <w:pPr>
        <w:spacing w:after="0" w:line="180" w:lineRule="exact"/>
        <w:rPr>
          <w:rFonts w:ascii="Times New Roman" w:cs="Times New Roman" w:eastAsia="Times New Roman" w:hAnsi="Times New Roman"/>
          <w:sz w:val="22"/>
          <w:szCs w:val="22"/>
          <w:color w:val="010000"/>
        </w:rPr>
      </w:pPr>
    </w:p>
    <w:p>
      <w:pPr>
        <w:ind w:left="2000" w:hanging="372"/>
        <w:spacing w:after="0"/>
        <w:tabs>
          <w:tab w:leader="none" w:pos="2000"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Benefits</w:t>
      </w:r>
      <w:r>
        <w:rPr>
          <w:rFonts w:ascii="Times New Roman" w:cs="Times New Roman" w:eastAsia="Times New Roman" w:hAnsi="Times New Roman"/>
          <w:sz w:val="22"/>
          <w:szCs w:val="22"/>
          <w:color w:val="auto"/>
        </w:rPr>
        <w:t>. Executive will receive the COBRA Benefit.</w:t>
      </w:r>
    </w:p>
    <w:p>
      <w:pPr>
        <w:spacing w:after="0" w:line="233" w:lineRule="exact"/>
        <w:rPr>
          <w:rFonts w:ascii="Times New Roman" w:cs="Times New Roman" w:eastAsia="Times New Roman" w:hAnsi="Times New Roman"/>
          <w:sz w:val="22"/>
          <w:szCs w:val="22"/>
          <w:color w:val="010000"/>
        </w:rPr>
      </w:pPr>
    </w:p>
    <w:p>
      <w:pPr>
        <w:jc w:val="both"/>
        <w:ind w:firstLine="1304"/>
        <w:spacing w:after="0" w:line="233" w:lineRule="auto"/>
        <w:tabs>
          <w:tab w:leader="none" w:pos="1941"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pay or other benefits pursuant to Sections 3(a) and (b) above will be subject to Executive signing and not revoking the Company’s form of general release of all claims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allowing such Release to become non-revocable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earlier of the effective date of the Change of Control or Executive’s termination of employment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010000"/>
        </w:rPr>
      </w:pPr>
    </w:p>
    <w:p>
      <w:pPr>
        <w:jc w:val="both"/>
        <w:ind w:firstLine="1304"/>
        <w:spacing w:after="0" w:line="281" w:lineRule="auto"/>
        <w:tabs>
          <w:tab w:leader="none" w:pos="1939"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The receipt of any severance pay or other benefits pursuant to Sections 3(a) and (b) above will also be subject to </w:t>
      </w:r>
      <w:r>
        <w:rPr>
          <w:rFonts w:ascii="Times New Roman" w:cs="Times New Roman" w:eastAsia="Times New Roman" w:hAnsi="Times New Roman"/>
          <w:sz w:val="18"/>
          <w:szCs w:val="18"/>
          <w:color w:val="auto"/>
        </w:rPr>
        <w:t>Executive’s continued compliance</w:t>
      </w:r>
      <w:r>
        <w:rPr>
          <w:rFonts w:ascii="Times New Roman" w:cs="Times New Roman" w:eastAsia="Times New Roman" w:hAnsi="Times New Roman"/>
          <w:sz w:val="21"/>
          <w:szCs w:val="21"/>
          <w:color w:val="auto"/>
        </w:rPr>
        <w:t xml:space="preserve"> with any written agreements between the Company and Executive relating to confidentiality, non-competition, non-solicitation and non-interference,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including but not limited to Executive’s Fortinet Confidentiality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1304"/>
        <w:spacing w:after="0" w:line="250" w:lineRule="auto"/>
        <w:tabs>
          <w:tab w:leader="none" w:pos="1941"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Subject to Section 3(c), the Company will commence payment of the salary-based severance payments to which Executive is entitled in the payroll period immediately following the Release Deadline, provided that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spacing w:after="0" w:line="39" w:lineRule="exact"/>
        <w:rPr>
          <w:rFonts w:ascii="Times New Roman" w:cs="Times New Roman" w:eastAsia="Times New Roman" w:hAnsi="Times New Roman"/>
          <w:sz w:val="21"/>
          <w:szCs w:val="21"/>
          <w:color w:val="010000"/>
        </w:rPr>
      </w:pPr>
    </w:p>
    <w:p>
      <w:pPr>
        <w:jc w:val="both"/>
        <w:ind w:firstLine="8"/>
        <w:spacing w:after="0" w:line="245" w:lineRule="auto"/>
        <w:tabs>
          <w:tab w:leader="none" w:pos="2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(except upon a termination for Good Reason)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9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39"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63"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939"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anything to the contrary in this Agreement, no severance pay or benefits to be paid or provided to Executive, if any, pursuant to this Agreement, will be payable until Executive has a “separation from service” within the meaning of Section 409A, and the regulations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xml:space="preserve">”)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the extent (i) any payments to which Executive becomes entitled under this Agreement, or any agreement or plan referenced herein, in connection with the termination of Executive’s employment with and/or services to the Company constitute deferred compensation subject to Section 409A and (ii) Executive is deemed at the time of such termination of employment to be a “specified” employee under Section 409A, then such payment or payments shall not be made or commence until the earlier of (A) the expiration of the six (6)-month period measured from Executive’s termination or (B) the date of Executive’s death following such termination;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21"/>
          <w:szCs w:val="21"/>
          <w:color w:val="auto"/>
        </w:rPr>
        <w:t>made during that period (whether in a single sum or in installments) in the absence of this paragraph shall be paid to Executive or Executive’s beneficiary in one lump sum (without interest). Each payment and benefit payable under this Agreement is intended to constitute separate payments for purposes of Section 1.409A-2(b)(2) of the Treasury Regulations. To the extent necessary to comply with Section 409A of the Code, if the designated payment period for any payment under this Agreement begins in one taxable year and ends in the next taxable year, the payment will be made in the later taxable year.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70" w:lineRule="exact"/>
        <w:rPr>
          <w:sz w:val="20"/>
          <w:szCs w:val="20"/>
          <w:color w:val="auto"/>
        </w:rPr>
      </w:pPr>
    </w:p>
    <w:p>
      <w:pPr>
        <w:jc w:val="both"/>
        <w:ind w:firstLine="656"/>
        <w:spacing w:after="0" w:line="256" w:lineRule="auto"/>
        <w:tabs>
          <w:tab w:leader="none" w:pos="1296"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7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in full, or</w:t>
      </w:r>
    </w:p>
    <w:p>
      <w:pPr>
        <w:spacing w:after="0" w:line="219" w:lineRule="exact"/>
        <w:rPr>
          <w:rFonts w:ascii="Times New Roman" w:cs="Times New Roman" w:eastAsia="Times New Roman" w:hAnsi="Times New Roman"/>
          <w:sz w:val="22"/>
          <w:szCs w:val="22"/>
          <w:color w:val="010000"/>
        </w:rPr>
      </w:pPr>
    </w:p>
    <w:p>
      <w:pPr>
        <w:ind w:firstLine="1304"/>
        <w:spacing w:after="0" w:line="271" w:lineRule="auto"/>
        <w:tabs>
          <w:tab w:leader="none" w:pos="1939"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as to such lesser extent which would result in no portion of such severance benefits being subject to excise tax under Section 4999 of the Code,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51" w:lineRule="auto"/>
        <w:rPr>
          <w:sz w:val="20"/>
          <w:szCs w:val="20"/>
          <w:color w:val="auto"/>
        </w:rPr>
      </w:pPr>
      <w:r>
        <w:rPr>
          <w:rFonts w:ascii="Times New Roman" w:cs="Times New Roman" w:eastAsia="Times New Roman" w:hAnsi="Times New Roman"/>
          <w:sz w:val="22"/>
          <w:szCs w:val="22"/>
          <w:color w:val="auto"/>
        </w:rPr>
        <w:t>Section 4 will be made in writing by an independent firm immediately prior to Change of Control (the “</w:t>
      </w:r>
      <w:r>
        <w:rPr>
          <w:rFonts w:ascii="Times New Roman" w:cs="Times New Roman" w:eastAsia="Times New Roman" w:hAnsi="Times New Roman"/>
          <w:sz w:val="22"/>
          <w:szCs w:val="22"/>
          <w:b w:val="1"/>
          <w:bCs w:val="1"/>
          <w:i w:val="1"/>
          <w:iCs w:val="1"/>
          <w:color w:val="auto"/>
        </w:rPr>
        <w:t>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79"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27"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941"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 (iv) Executive has breached any material term or condition of the Executive’s Confidentiality Agreement with the Company or has otherwise improperly disclosure of the Company’s confidential or proprietary information that materially adversely affects the Company; (v) Executive has breached any material term or condition of the Executive’s any written Company policy or the Company’s written code of conduct that has been made available to Executive prior to such breach or any other material agreement with the Company or (vi) Executive has obstructed or impeded, or failed to materially cooperate with, any investigation authorized by the Board or any governmental or self-regulatory entity; provided, however that failure to waive attorney-client privilege relating to communications with Executive’s own attorney in connection with such investigation will not constitute “Cause”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action or conduct described in clauses (iv), (v) and (vi) above will constitute “Cause” only if such action or conduct continues after the Company has provided you with written notice thereof and thirty (30) days to cure the same if such action or conduct is curable.</w:t>
      </w:r>
    </w:p>
    <w:p>
      <w:pPr>
        <w:spacing w:after="0" w:line="169"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1"/>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of the Company is defined as:</w:t>
      </w:r>
    </w:p>
    <w:p>
      <w:pPr>
        <w:spacing w:after="0" w:line="225" w:lineRule="exact"/>
        <w:rPr>
          <w:rFonts w:ascii="Times New Roman" w:cs="Times New Roman" w:eastAsia="Times New Roman" w:hAnsi="Times New Roman"/>
          <w:sz w:val="22"/>
          <w:szCs w:val="22"/>
          <w:color w:val="010000"/>
        </w:rPr>
      </w:pPr>
    </w:p>
    <w:p>
      <w:pPr>
        <w:jc w:val="both"/>
        <w:ind w:firstLine="1748"/>
        <w:spacing w:after="0" w:line="252" w:lineRule="auto"/>
        <w:tabs>
          <w:tab w:leader="none" w:pos="1998" w:val="left"/>
        </w:tabs>
        <w:numPr>
          <w:ilvl w:val="2"/>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that or is or becomes the owner, directly or indirectly, of securities of the Company representing more than fifty percent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6" w:right="3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22"/>
          <w:szCs w:val="22"/>
          <w:color w:val="auto"/>
        </w:rPr>
        <w:t>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6" w:lineRule="exact"/>
        <w:rPr>
          <w:sz w:val="20"/>
          <w:szCs w:val="20"/>
          <w:color w:val="auto"/>
        </w:rPr>
      </w:pPr>
    </w:p>
    <w:p>
      <w:pPr>
        <w:jc w:val="both"/>
        <w:ind w:firstLine="1688"/>
        <w:spacing w:after="0" w:line="251" w:lineRule="auto"/>
        <w:tabs>
          <w:tab w:leader="none" w:pos="2025"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1" w:lineRule="exact"/>
        <w:rPr>
          <w:rFonts w:ascii="Times New Roman" w:cs="Times New Roman" w:eastAsia="Times New Roman" w:hAnsi="Times New Roman"/>
          <w:sz w:val="22"/>
          <w:szCs w:val="22"/>
          <w:color w:val="010000"/>
        </w:rPr>
      </w:pPr>
    </w:p>
    <w:p>
      <w:pPr>
        <w:jc w:val="both"/>
        <w:ind w:firstLine="1628"/>
        <w:spacing w:after="0" w:line="251" w:lineRule="auto"/>
        <w:tabs>
          <w:tab w:leader="none" w:pos="1998"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81" w:lineRule="exact"/>
        <w:rPr>
          <w:rFonts w:ascii="Times New Roman" w:cs="Times New Roman" w:eastAsia="Times New Roman" w:hAnsi="Times New Roman"/>
          <w:sz w:val="22"/>
          <w:szCs w:val="22"/>
          <w:color w:val="010000"/>
        </w:rPr>
      </w:pPr>
    </w:p>
    <w:p>
      <w:pPr>
        <w:jc w:val="both"/>
        <w:ind w:firstLine="1640"/>
        <w:spacing w:after="0" w:line="247" w:lineRule="auto"/>
        <w:tabs>
          <w:tab w:leader="none" w:pos="1998"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Company transaction that does not constitute a change in control event under Treasury Regulation 1.409A-3(i)(5)(v) or (vii) shall be not be considered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113" w:name="page114"/>
    <w:bookmarkEnd w:id="113"/>
    <w:p>
      <w:pPr>
        <w:jc w:val="both"/>
        <w:ind w:left="-20" w:firstLine="1304"/>
        <w:spacing w:after="0" w:line="249" w:lineRule="auto"/>
        <w:tabs>
          <w:tab w:leader="none" w:pos="1921"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5" w:lineRule="exact"/>
        <w:rPr>
          <w:rFonts w:ascii="Times New Roman" w:cs="Times New Roman" w:eastAsia="Times New Roman" w:hAnsi="Times New Roman"/>
          <w:sz w:val="22"/>
          <w:szCs w:val="22"/>
          <w:color w:val="010000"/>
        </w:rPr>
      </w:pPr>
    </w:p>
    <w:p>
      <w:pPr>
        <w:jc w:val="both"/>
        <w:ind w:left="-20" w:firstLine="1304"/>
        <w:spacing w:after="0" w:line="247" w:lineRule="auto"/>
        <w:tabs>
          <w:tab w:leader="none" w:pos="1919"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9" w:lineRule="exact"/>
        <w:rPr>
          <w:rFonts w:ascii="Times New Roman" w:cs="Times New Roman" w:eastAsia="Times New Roman" w:hAnsi="Times New Roman"/>
          <w:sz w:val="22"/>
          <w:szCs w:val="22"/>
          <w:color w:val="010000"/>
        </w:rPr>
      </w:pPr>
    </w:p>
    <w:p>
      <w:pPr>
        <w:ind w:left="1280" w:hanging="644"/>
        <w:spacing w:after="0"/>
        <w:tabs>
          <w:tab w:leader="none" w:pos="1280"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40" w:top="1416" w:right="339" w:bottom="1440" w:gutter="0" w:footer="0" w:header="0"/>
        </w:sectPr>
      </w:pPr>
    </w:p>
    <w:bookmarkStart w:id="114" w:name="page115"/>
    <w:bookmarkEnd w:id="114"/>
    <w:p>
      <w:pPr>
        <w:ind w:right="20"/>
        <w:spacing w:after="0" w:line="271" w:lineRule="auto"/>
        <w:rPr>
          <w:sz w:val="20"/>
          <w:szCs w:val="20"/>
          <w:color w:val="auto"/>
        </w:rPr>
      </w:pPr>
      <w:r>
        <w:rPr>
          <w:rFonts w:ascii="Times New Roman" w:cs="Times New Roman" w:eastAsia="Times New Roman" w:hAnsi="Times New Roman"/>
          <w:sz w:val="22"/>
          <w:szCs w:val="22"/>
          <w:color w:val="auto"/>
        </w:rPr>
        <w:t>include any successor to the Company’s business and/or assets which executes and delivers the assumption agreement described in this Section 6(a) or which becomes bound by the terms of this Agreement by operation of law.</w:t>
      </w:r>
    </w:p>
    <w:p>
      <w:pPr>
        <w:spacing w:after="0" w:line="158" w:lineRule="exact"/>
        <w:rPr>
          <w:sz w:val="20"/>
          <w:szCs w:val="20"/>
          <w:color w:val="auto"/>
        </w:rPr>
      </w:pPr>
    </w:p>
    <w:p>
      <w:pPr>
        <w:jc w:val="both"/>
        <w:ind w:firstLine="1304"/>
        <w:spacing w:after="0" w:line="263" w:lineRule="auto"/>
        <w:tabs>
          <w:tab w:leader="none" w:pos="1939"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1"/>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9" w:val="left"/>
        </w:tabs>
        <w:numPr>
          <w:ilvl w:val="1"/>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5"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6"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have a term of five (5) years commencing on the Effective Date, which shall not be subject to renewal, unless a Change of Control occurs during such five (5)-year period, in which case this Agreement will continue until all payments and benefits, if any, have been made to Executive.</w:t>
      </w:r>
    </w:p>
    <w:p>
      <w:pPr>
        <w:spacing w:after="0" w:line="172" w:lineRule="exact"/>
        <w:rPr>
          <w:rFonts w:ascii="Times New Roman" w:cs="Times New Roman" w:eastAsia="Times New Roman" w:hAnsi="Times New Roman"/>
          <w:sz w:val="22"/>
          <w:szCs w:val="22"/>
          <w:color w:val="010000"/>
        </w:rPr>
      </w:pPr>
    </w:p>
    <w:p>
      <w:pPr>
        <w:jc w:val="both"/>
        <w:ind w:firstLine="656"/>
        <w:spacing w:after="0" w:line="256" w:lineRule="auto"/>
        <w:tabs>
          <w:tab w:leader="none" w:pos="1296"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the event of any dispute or claim relating to or arising out of Executive’s employment relationship with the Company or this Agreement, Executive and the Company agree that any and all disputes between Executive and the Company will be fully and finally resolved by binding arbitration in accordance with the arbitration clause set forth in the Confidentiality Agreement, pursuant to which Executive is waiving any and all rights to a jury trial.</w:t>
      </w:r>
    </w:p>
    <w:p>
      <w:pPr>
        <w:spacing w:after="0" w:line="17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 Benefits provided under this Agreement are paid from the general assets of the Company, and</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not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15" w:name="page116"/>
    <w:bookmarkEnd w:id="115"/>
    <w:p>
      <w:pPr>
        <w:ind w:left="-20" w:firstLine="1304"/>
        <w:spacing w:after="0" w:line="271" w:lineRule="auto"/>
        <w:tabs>
          <w:tab w:leader="none" w:pos="191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8" w:lineRule="exact"/>
        <w:rPr>
          <w:rFonts w:ascii="Times New Roman" w:cs="Times New Roman" w:eastAsia="Times New Roman" w:hAnsi="Times New Roman"/>
          <w:sz w:val="22"/>
          <w:szCs w:val="22"/>
          <w:color w:val="010000"/>
        </w:rPr>
      </w:pPr>
    </w:p>
    <w:p>
      <w:pPr>
        <w:ind w:left="-20" w:firstLine="1304"/>
        <w:spacing w:after="0" w:line="284" w:lineRule="auto"/>
        <w:tabs>
          <w:tab w:leader="none" w:pos="191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43" w:lineRule="exact"/>
        <w:rPr>
          <w:rFonts w:ascii="Times New Roman" w:cs="Times New Roman" w:eastAsia="Times New Roman" w:hAnsi="Times New Roman"/>
          <w:sz w:val="22"/>
          <w:szCs w:val="22"/>
          <w:color w:val="010000"/>
        </w:rPr>
      </w:pPr>
    </w:p>
    <w:p>
      <w:pPr>
        <w:jc w:val="both"/>
        <w:ind w:left="-20" w:firstLine="1304"/>
        <w:spacing w:after="0" w:line="248" w:lineRule="auto"/>
        <w:tabs>
          <w:tab w:leader="none" w:pos="1921"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 By executing this Agreement, Executive acknowledges and agrees that Executive has had the opportunity to consult with Executive’s own counsel and has read and understands this Agreement, is fully aware of its legal effect, has not acted in reliance upon any representations or promises made by the Company or any other person other than those contained in writing herein.</w:t>
      </w:r>
    </w:p>
    <w:p>
      <w:pPr>
        <w:spacing w:after="0" w:line="185" w:lineRule="exact"/>
        <w:rPr>
          <w:rFonts w:ascii="Times New Roman" w:cs="Times New Roman" w:eastAsia="Times New Roman" w:hAnsi="Times New Roman"/>
          <w:sz w:val="22"/>
          <w:szCs w:val="22"/>
          <w:color w:val="010000"/>
        </w:rPr>
      </w:pPr>
    </w:p>
    <w:p>
      <w:pPr>
        <w:ind w:left="-20" w:firstLine="1304"/>
        <w:spacing w:after="0" w:line="284" w:lineRule="auto"/>
        <w:tabs>
          <w:tab w:leader="none" w:pos="1924"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22"/>
          <w:szCs w:val="22"/>
          <w:color w:val="010000"/>
        </w:rPr>
      </w:pPr>
    </w:p>
    <w:p>
      <w:pPr>
        <w:ind w:left="-20" w:right="20" w:firstLine="1304"/>
        <w:spacing w:after="0" w:line="271" w:lineRule="auto"/>
        <w:tabs>
          <w:tab w:leader="none" w:pos="191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1" w:lineRule="auto"/>
        <w:tabs>
          <w:tab w:leader="none" w:pos="191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and employment taxes. By entering into this Agreement, Executive agrees to review with Executive’s own tax advisors the federal, state, provincial, local, and foreign tax consequences of this Agreement. Executive will rely solely on such advisors and not on any statements or representations of the Company, or any of its agents. Executive understands that Executive (and not the Company) will be responsible for Executive’s own tax liability that may arise as a result of this Agreement, without regard to the amount withheld or reported by the Company to applicable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40" w:top="1422" w:right="339" w:bottom="1440" w:gutter="0" w:footer="0" w:header="0"/>
        </w:sectPr>
      </w:pPr>
    </w:p>
    <w:bookmarkStart w:id="116" w:name="page117"/>
    <w:bookmarkEnd w:id="116"/>
    <w:p>
      <w:pPr>
        <w:ind w:left="-20" w:firstLine="1304"/>
        <w:spacing w:after="0" w:line="271" w:lineRule="auto"/>
        <w:tabs>
          <w:tab w:leader="none" w:pos="1912"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22" w:right="339" w:bottom="1440" w:gutter="0" w:footer="0" w:header="0"/>
        </w:sectPr>
      </w:pPr>
    </w:p>
    <w:bookmarkStart w:id="117" w:name="page118"/>
    <w:bookmarkEnd w:id="11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820" w:type="dxa"/>
            <w:vAlign w:val="bottom"/>
          </w:tcPr>
          <w:p>
            <w:pPr>
              <w:spacing w:after="0"/>
              <w:rPr>
                <w:sz w:val="24"/>
                <w:szCs w:val="24"/>
                <w:color w:val="auto"/>
              </w:rPr>
            </w:pP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FORTINET, INC.</w:t>
            </w:r>
          </w:p>
        </w:tc>
      </w:tr>
      <w:tr>
        <w:trPr>
          <w:trHeight w:val="541"/>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Ken Xie</w:t>
            </w:r>
          </w:p>
        </w:tc>
      </w:tr>
      <w:tr>
        <w:trPr>
          <w:trHeight w:val="270"/>
        </w:trPr>
        <w:tc>
          <w:tcPr>
            <w:tcW w:w="31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Ken Xie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Title: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Chief Executive Officer</w:t>
            </w:r>
          </w:p>
        </w:tc>
      </w:tr>
      <w:tr>
        <w:trPr>
          <w:trHeight w:val="528"/>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John Whittle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John Whittle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SEVERANCE AGREEMENT</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Amended and Restated Change of Control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Keith Jensen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Fortinet,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August 7, 2024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and supersedes the Amended and Restated Change of Control Severance Agreement, between Executive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dated as of August 7, 2019.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jc w:val="both"/>
        <w:ind w:firstLine="656"/>
        <w:spacing w:after="0" w:line="248" w:lineRule="auto"/>
        <w:tabs>
          <w:tab w:leader="none" w:pos="104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6" w:lineRule="auto"/>
        <w:tabs>
          <w:tab w:leader="none" w:pos="129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terminate upon the earliest to occur of: (a) the Agreement’s termination date as provided in Section 8 below, (b) termination of Executive’s employment </w:t>
      </w:r>
      <w:r>
        <w:rPr>
          <w:rFonts w:ascii="Times New Roman" w:cs="Times New Roman" w:eastAsia="Times New Roman" w:hAnsi="Times New Roman"/>
          <w:sz w:val="22"/>
          <w:szCs w:val="22"/>
          <w:i w:val="1"/>
          <w:iCs w:val="1"/>
          <w:color w:val="auto"/>
        </w:rPr>
        <w:t>other than due to</w:t>
      </w:r>
      <w:r>
        <w:rPr>
          <w:rFonts w:ascii="Times New Roman" w:cs="Times New Roman" w:eastAsia="Times New Roman" w:hAnsi="Times New Roman"/>
          <w:sz w:val="22"/>
          <w:szCs w:val="22"/>
          <w:color w:val="auto"/>
        </w:rPr>
        <w:t xml:space="preserve"> (i) termination by the Company other than for Cause (as defined herein) or (ii) resignation by Executive for Good Reason (as defined herein); and (c) the date that all of the obligations of the parties hereto with respect to this Agreement have been satisfied.</w:t>
      </w:r>
    </w:p>
    <w:p>
      <w:pPr>
        <w:spacing w:after="0" w:line="176" w:lineRule="exact"/>
        <w:rPr>
          <w:rFonts w:ascii="Times New Roman" w:cs="Times New Roman" w:eastAsia="Times New Roman" w:hAnsi="Times New Roman"/>
          <w:sz w:val="22"/>
          <w:szCs w:val="22"/>
          <w:color w:val="010000"/>
        </w:rPr>
      </w:pPr>
    </w:p>
    <w:p>
      <w:pPr>
        <w:ind w:firstLine="656"/>
        <w:spacing w:after="0" w:line="271" w:lineRule="auto"/>
        <w:tabs>
          <w:tab w:leader="none" w:pos="129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w:t>
      </w:r>
    </w:p>
    <w:p>
      <w:pPr>
        <w:sectPr>
          <w:pgSz w:w="11900" w:h="16838" w:orient="portrait"/>
          <w:cols w:equalWidth="0" w:num="1">
            <w:col w:w="11240"/>
          </w:cols>
          <w:pgMar w:left="320" w:top="1418" w:right="339" w:bottom="1440" w:gutter="0" w:footer="0" w:header="0"/>
        </w:sectPr>
      </w:pPr>
    </w:p>
    <w:bookmarkStart w:id="119" w:name="page120"/>
    <w:bookmarkEnd w:id="119"/>
    <w:p>
      <w:pPr>
        <w:ind w:left="1300" w:hanging="644"/>
        <w:spacing w:after="0"/>
        <w:tabs>
          <w:tab w:leader="none" w:pos="1300"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2"/>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Prior to, or Absent, a Change of Control or After 12 Months Following a Change of Control</w:t>
      </w:r>
      <w:r>
        <w:rPr>
          <w:rFonts w:ascii="Times New Roman" w:cs="Times New Roman" w:eastAsia="Times New Roman" w:hAnsi="Times New Roman"/>
          <w:sz w:val="22"/>
          <w:szCs w:val="22"/>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78" w:lineRule="exact"/>
        <w:rPr>
          <w:rFonts w:ascii="Times New Roman" w:cs="Times New Roman" w:eastAsia="Times New Roman" w:hAnsi="Times New Roman"/>
          <w:sz w:val="22"/>
          <w:szCs w:val="22"/>
          <w:color w:val="010000"/>
        </w:rPr>
      </w:pPr>
    </w:p>
    <w:p>
      <w:pPr>
        <w:ind w:left="2020" w:hanging="272"/>
        <w:spacing w:after="0"/>
        <w:tabs>
          <w:tab w:leader="none" w:pos="2020" w:val="left"/>
        </w:tabs>
        <w:numPr>
          <w:ilvl w:val="3"/>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continuing payments of severance pay for a period of twelve</w:t>
      </w:r>
    </w:p>
    <w:p>
      <w:pPr>
        <w:spacing w:after="0" w:line="27" w:lineRule="exact"/>
        <w:rPr>
          <w:rFonts w:ascii="Times New Roman" w:cs="Times New Roman" w:eastAsia="Times New Roman" w:hAnsi="Times New Roman"/>
          <w:sz w:val="22"/>
          <w:szCs w:val="22"/>
          <w:color w:val="010000"/>
        </w:rPr>
      </w:pPr>
    </w:p>
    <w:p>
      <w:pPr>
        <w:ind w:firstLine="8"/>
        <w:spacing w:after="0" w:line="261" w:lineRule="auto"/>
        <w:tabs>
          <w:tab w:leader="none" w:pos="42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such termination equal to Executive’s base salary rate as in effect immediately prior to Executive’s termination.</w:t>
      </w:r>
    </w:p>
    <w:p>
      <w:pPr>
        <w:spacing w:after="0" w:line="168" w:lineRule="exact"/>
        <w:rPr>
          <w:rFonts w:ascii="Times New Roman" w:cs="Times New Roman" w:eastAsia="Times New Roman" w:hAnsi="Times New Roman"/>
          <w:sz w:val="22"/>
          <w:szCs w:val="22"/>
          <w:color w:val="auto"/>
        </w:rPr>
      </w:pPr>
    </w:p>
    <w:p>
      <w:pPr>
        <w:jc w:val="both"/>
        <w:ind w:firstLine="1688"/>
        <w:spacing w:after="0" w:line="251" w:lineRule="auto"/>
        <w:tabs>
          <w:tab w:leader="none" w:pos="2039" w:val="left"/>
        </w:tabs>
        <w:numPr>
          <w:ilvl w:val="3"/>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(as defined below) shall accelerate and become vested and exercisable or settled with respect to the then-unvested shares subject thereto that would have otherwise vested over a twelve (12) month period following such termination pursuant to the vesting schedule set forth in the award agreement. The Awards will remain exercisable following the termination for the period prescribed in the respective stock plan and agreement for each award. Treatment of Performance-Based Awards (as defined below) shall be subject to the award agreement governing their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Time-Vesting Awards</w:t>
      </w:r>
      <w:r>
        <w:rPr>
          <w:rFonts w:ascii="Times New Roman" w:cs="Times New Roman" w:eastAsia="Times New Roman" w:hAnsi="Times New Roman"/>
          <w:sz w:val="22"/>
          <w:szCs w:val="22"/>
          <w:color w:val="auto"/>
        </w:rPr>
        <w:t>” means all awards for shares of the Company’s common stock granted under a Company equity plan, including but not limited to options, restricted stock, restricted stock units, stock bonus awards or stock appreciation rights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that are subject solely to time based vesting as of Executive’s termination. Time-Vesting Awards shall include Performance-Based Awards to the extent applicable performance metrics have been satisfied as of, or are satisfied upon, Executive’s termination date.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Performance-Based Awards</w:t>
      </w:r>
      <w:r>
        <w:rPr>
          <w:rFonts w:ascii="Times New Roman" w:cs="Times New Roman" w:eastAsia="Times New Roman" w:hAnsi="Times New Roman"/>
          <w:sz w:val="22"/>
          <w:szCs w:val="22"/>
          <w:color w:val="auto"/>
        </w:rPr>
        <w:t>” means all Awards that are subject to unsatisfied performance metrics as of Executive’s termination.</w:t>
      </w:r>
    </w:p>
    <w:p>
      <w:pPr>
        <w:spacing w:after="0" w:line="153" w:lineRule="exact"/>
        <w:rPr>
          <w:sz w:val="20"/>
          <w:szCs w:val="20"/>
          <w:color w:val="auto"/>
        </w:rPr>
      </w:pPr>
    </w:p>
    <w:p>
      <w:pPr>
        <w:jc w:val="both"/>
        <w:ind w:firstLine="1628"/>
        <w:spacing w:after="0" w:line="249" w:lineRule="auto"/>
        <w:tabs>
          <w:tab w:leader="none" w:pos="2025"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If Executive participates in the Company’s group health insurance plans (i.e., major medical, dental and vision) on the date of Executive’s termination and timely elects continued coverage under the Consolidated Omnibus Budget Reconciliation Act of 1985 (together with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pay the COBRA premiums to continue such coverage (including for Executive and Executive’s eligible dependents who have elected and remain enrolled in such COBRA coverage) for a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beginning on the first day following the day that Executive’s active employee health coverage ends as the result of Executive’s termination, and ending on the earliest to occur of (i) twelve (12) months, (ii) the expiration of Executive’s eligibility for continuation coverage under COBRA and (iii) the first month for which Executive is eligible for health insurance coverage in connection with new employment or self-employment. Alternatively, the Company may elect to pay Executive a taxable cash payment in lieu of the continued coverage, equal to the amount that the Company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53" w:lineRule="auto"/>
        <w:rPr>
          <w:sz w:val="20"/>
          <w:szCs w:val="20"/>
          <w:color w:val="auto"/>
        </w:rPr>
      </w:pPr>
      <w:r>
        <w:rPr>
          <w:rFonts w:ascii="Times New Roman" w:cs="Times New Roman" w:eastAsia="Times New Roman" w:hAnsi="Times New Roman"/>
          <w:sz w:val="22"/>
          <w:szCs w:val="22"/>
          <w:color w:val="auto"/>
        </w:rPr>
        <w:t>otherwise paid for the COBRA premiums (based on the premium for the first month of coverage), which payment will be made regardless of whether Executive or Executive’s eligible dependents elect COBRA continuation coverage and will be paid in monthly installments for the COBRA Payment Period, except that payments shall commence (with any make-up payments) in the Company’s first regular payroll following the Release Deadline. Continued health coverage or payment of a taxable cash amount pursuant to the foregoing is referred to as the “</w:t>
      </w:r>
      <w:r>
        <w:rPr>
          <w:rFonts w:ascii="Times New Roman" w:cs="Times New Roman" w:eastAsia="Times New Roman" w:hAnsi="Times New Roman"/>
          <w:sz w:val="22"/>
          <w:szCs w:val="22"/>
          <w:b w:val="1"/>
          <w:bCs w:val="1"/>
          <w:i w:val="1"/>
          <w:iCs w:val="1"/>
          <w:color w:val="auto"/>
        </w:rPr>
        <w:t>COBRA Benefit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66" w:lineRule="auto"/>
        <w:tabs>
          <w:tab w:leader="none" w:pos="1939" w:val="left"/>
        </w:tabs>
        <w:numPr>
          <w:ilvl w:val="1"/>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Involuntary Termination within 12 Months Following a Change of Control</w:t>
      </w:r>
      <w:r>
        <w:rPr>
          <w:rFonts w:ascii="Times New Roman" w:cs="Times New Roman" w:eastAsia="Times New Roman" w:hAnsi="Times New Roman"/>
          <w:sz w:val="21"/>
          <w:szCs w:val="21"/>
          <w:color w:val="auto"/>
        </w:rPr>
        <w:t>. If within twelve (12) months following a Change of Control, If within the period commencing three (3) months prior to a Change of Control and ending twelve</w:t>
      </w:r>
    </w:p>
    <w:p>
      <w:pPr>
        <w:spacing w:after="0" w:line="1" w:lineRule="exact"/>
        <w:rPr>
          <w:rFonts w:ascii="Times New Roman" w:cs="Times New Roman" w:eastAsia="Times New Roman" w:hAnsi="Times New Roman"/>
          <w:sz w:val="21"/>
          <w:szCs w:val="21"/>
          <w:color w:val="010000"/>
        </w:rPr>
      </w:pPr>
    </w:p>
    <w:p>
      <w:pPr>
        <w:jc w:val="both"/>
        <w:ind w:firstLine="8"/>
        <w:spacing w:after="0" w:line="249" w:lineRule="auto"/>
        <w:tabs>
          <w:tab w:leader="none" w:pos="47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1" w:lineRule="exact"/>
        <w:rPr>
          <w:rFonts w:ascii="Times New Roman" w:cs="Times New Roman" w:eastAsia="Times New Roman" w:hAnsi="Times New Roman"/>
          <w:sz w:val="22"/>
          <w:szCs w:val="22"/>
          <w:color w:val="auto"/>
        </w:rPr>
      </w:pPr>
    </w:p>
    <w:p>
      <w:pPr>
        <w:jc w:val="both"/>
        <w:ind w:firstLine="1748"/>
        <w:spacing w:after="0" w:line="238" w:lineRule="auto"/>
        <w:tabs>
          <w:tab w:leader="none" w:pos="2025" w:val="left"/>
        </w:tabs>
        <w:numPr>
          <w:ilvl w:val="2"/>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(i) continuing payments of severance pay for a period of twelve (12) months from the date of such termination equal to Executive’s base salary rate as in effect immediately prior to (A) the Change of Control, or (B) Executive’s termination, whichever is greater, and (ii) a payment equal to one hundred percent (100%) of the Executive’s annual target bonus for the year in which the termination occurs, payable in a cash lump sum no later than 10 days after the Release (as defined below) becomes effective and irrevocable, and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such termination.</w:t>
      </w:r>
    </w:p>
    <w:p>
      <w:pPr>
        <w:spacing w:after="0" w:line="194" w:lineRule="exact"/>
        <w:rPr>
          <w:rFonts w:ascii="Times New Roman" w:cs="Times New Roman" w:eastAsia="Times New Roman" w:hAnsi="Times New Roman"/>
          <w:sz w:val="22"/>
          <w:szCs w:val="22"/>
          <w:color w:val="010000"/>
        </w:rPr>
      </w:pPr>
    </w:p>
    <w:p>
      <w:pPr>
        <w:jc w:val="both"/>
        <w:ind w:firstLine="1688"/>
        <w:spacing w:after="0" w:line="250" w:lineRule="auto"/>
        <w:tabs>
          <w:tab w:leader="none" w:pos="2052" w:val="left"/>
        </w:tabs>
        <w:numPr>
          <w:ilvl w:val="2"/>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and Performance-Based Awards shall accelerate and become vested and exercisable or settled with respect to 100% of the then-unvested shares subject thereto. Unless otherwise set forth in the applicable award agreement, the number of shares subject to Performance-Based Awards eligible for the foregoing acceleration shall be determined based on deemed achievement of all performance goals or other vesting criteria at one hundred percent (100%) of target levels and satisfaction of all other terms and conditions. The Awards will remain exercisable, to the extent applicable, following the termination for the period prescribed in the respective stock plan and agreement for each Award.</w:t>
      </w:r>
    </w:p>
    <w:p>
      <w:pPr>
        <w:spacing w:after="0" w:line="193" w:lineRule="exact"/>
        <w:rPr>
          <w:rFonts w:ascii="Times New Roman" w:cs="Times New Roman" w:eastAsia="Times New Roman" w:hAnsi="Times New Roman"/>
          <w:sz w:val="22"/>
          <w:szCs w:val="22"/>
          <w:color w:val="010000"/>
        </w:rPr>
      </w:pPr>
    </w:p>
    <w:p>
      <w:pPr>
        <w:ind w:left="2000" w:hanging="372"/>
        <w:spacing w:after="0"/>
        <w:tabs>
          <w:tab w:leader="none" w:pos="2000" w:val="left"/>
        </w:tabs>
        <w:numPr>
          <w:ilvl w:val="2"/>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Benefits</w:t>
      </w:r>
      <w:r>
        <w:rPr>
          <w:rFonts w:ascii="Times New Roman" w:cs="Times New Roman" w:eastAsia="Times New Roman" w:hAnsi="Times New Roman"/>
          <w:sz w:val="22"/>
          <w:szCs w:val="22"/>
          <w:color w:val="auto"/>
        </w:rPr>
        <w:t>. Executive will receive the COBRA Benefit.</w:t>
      </w:r>
    </w:p>
    <w:p>
      <w:pPr>
        <w:spacing w:after="0" w:line="219" w:lineRule="exact"/>
        <w:rPr>
          <w:rFonts w:ascii="Times New Roman" w:cs="Times New Roman" w:eastAsia="Times New Roman" w:hAnsi="Times New Roman"/>
          <w:sz w:val="22"/>
          <w:szCs w:val="22"/>
          <w:color w:val="010000"/>
        </w:rPr>
      </w:pPr>
    </w:p>
    <w:p>
      <w:pPr>
        <w:jc w:val="both"/>
        <w:ind w:firstLine="1304"/>
        <w:spacing w:after="0" w:line="233" w:lineRule="auto"/>
        <w:tabs>
          <w:tab w:leader="none" w:pos="1941"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pay or other benefits pursuant to Sections 3(a) and (b) above will be subject to Executive signing and not revoking the Company’s form of general release of all claims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allowing such Release to become non-revocable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earlier of the effective date of the Change of Control or Executive’s termination of employment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010000"/>
        </w:rPr>
      </w:pPr>
    </w:p>
    <w:p>
      <w:pPr>
        <w:jc w:val="both"/>
        <w:ind w:firstLine="1304"/>
        <w:spacing w:after="0" w:line="270" w:lineRule="auto"/>
        <w:tabs>
          <w:tab w:leader="none" w:pos="1939"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The receipt of any severance pay or other benefits pursuant to Sections 3(a) and (b) above will also be subject to </w:t>
      </w:r>
      <w:r>
        <w:rPr>
          <w:rFonts w:ascii="Times New Roman" w:cs="Times New Roman" w:eastAsia="Times New Roman" w:hAnsi="Times New Roman"/>
          <w:sz w:val="19"/>
          <w:szCs w:val="19"/>
          <w:color w:val="auto"/>
        </w:rPr>
        <w:t>Executive’s continued compliance</w:t>
      </w:r>
      <w:r>
        <w:rPr>
          <w:rFonts w:ascii="Times New Roman" w:cs="Times New Roman" w:eastAsia="Times New Roman" w:hAnsi="Times New Roman"/>
          <w:sz w:val="22"/>
          <w:szCs w:val="22"/>
          <w:color w:val="auto"/>
        </w:rPr>
        <w:t xml:space="preserve"> with any written agreements between the Company and Executive relating to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non-competition, non-solicitation and non-interference, to the extent permitted by applicable law, including but not limited to Executive’s Fortinet Confidentiality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0" w:lineRule="auto"/>
        <w:tabs>
          <w:tab w:leader="none" w:pos="1941" w:val="left"/>
        </w:tabs>
        <w:numPr>
          <w:ilvl w:val="1"/>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Subject to Section 3(c), the Company will commence payment of the salary-based severance payments to which Executive is entitled in the payroll period immediately following the Release Deadline, provided that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spacing w:after="0" w:line="39" w:lineRule="exact"/>
        <w:rPr>
          <w:rFonts w:ascii="Times New Roman" w:cs="Times New Roman" w:eastAsia="Times New Roman" w:hAnsi="Times New Roman"/>
          <w:sz w:val="21"/>
          <w:szCs w:val="21"/>
          <w:color w:val="010000"/>
        </w:rPr>
      </w:pPr>
    </w:p>
    <w:p>
      <w:pPr>
        <w:jc w:val="both"/>
        <w:ind w:firstLine="8"/>
        <w:spacing w:after="0" w:line="249" w:lineRule="auto"/>
        <w:tabs>
          <w:tab w:leader="none" w:pos="27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(except upon a termination for Good Reason)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81"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39" w:val="left"/>
        </w:tabs>
        <w:numPr>
          <w:ilvl w:val="1"/>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76"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939"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Notwithstanding anything to the contrary in this Agreement, no severance pay or benefits to be paid or provided to Executive, if any, pursuant to this Agreement, will be payable until Executive has a “separation from service” within the meaning of Section 409A, and the regulations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xml:space="preserve">”)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the extent (i) any payments to which Executive becomes entitled under this Agreement, or any agreement or plan referenced herein, in connection with the termination of Executive’s employment with and/or services to the Company constitute deferred compensation subject to Section 409A and (ii) Executive is deemed at the time of such termination of employment to be a “specified” employee under Section 409A, then such payment or payments shall not be made or commence until the earlier of (A) the expiration of the six (6)-month period measured from Executive’s termination or (B) the date of Executive’s death following such termination;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47" w:lineRule="auto"/>
        <w:rPr>
          <w:sz w:val="20"/>
          <w:szCs w:val="20"/>
          <w:color w:val="auto"/>
        </w:rPr>
      </w:pPr>
      <w:r>
        <w:rPr>
          <w:rFonts w:ascii="Times New Roman" w:cs="Times New Roman" w:eastAsia="Times New Roman" w:hAnsi="Times New Roman"/>
          <w:sz w:val="22"/>
          <w:szCs w:val="22"/>
          <w:color w:val="auto"/>
        </w:rPr>
        <w:t>expiration of the applicable deferral period, any payments which would have otherwise been made during that period (whether in a single sum or in installments) in the absence of this paragraph shall be paid to Executive or Executive’s beneficiary in one lump sum (without interest). Each payment and benefit payable under this Agreement is intended to constitute separate payments for purposes of Section 1.409A-2(b)(2) of the Treasury Regulations. To the extent necessary to comply with Section 409A of the Code, if the designated payment period for any payment under this Agreement begins in one taxable year and ends in the next taxable year, the payment will be made in the later taxable year.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93" w:lineRule="exact"/>
        <w:rPr>
          <w:sz w:val="20"/>
          <w:szCs w:val="20"/>
          <w:color w:val="auto"/>
        </w:rPr>
      </w:pPr>
    </w:p>
    <w:p>
      <w:pPr>
        <w:jc w:val="both"/>
        <w:ind w:firstLine="656"/>
        <w:spacing w:after="0" w:line="256" w:lineRule="auto"/>
        <w:tabs>
          <w:tab w:leader="none" w:pos="129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7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in full, or</w:t>
      </w:r>
    </w:p>
    <w:p>
      <w:pPr>
        <w:spacing w:after="0" w:line="219" w:lineRule="exact"/>
        <w:rPr>
          <w:rFonts w:ascii="Times New Roman" w:cs="Times New Roman" w:eastAsia="Times New Roman" w:hAnsi="Times New Roman"/>
          <w:sz w:val="22"/>
          <w:szCs w:val="22"/>
          <w:color w:val="010000"/>
        </w:rPr>
      </w:pPr>
    </w:p>
    <w:p>
      <w:pPr>
        <w:ind w:firstLine="1304"/>
        <w:spacing w:after="0" w:line="284" w:lineRule="auto"/>
        <w:tabs>
          <w:tab w:leader="none" w:pos="1939" w:val="left"/>
        </w:tabs>
        <w:numPr>
          <w:ilvl w:val="1"/>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as to such lesser extent which would result in no portion of such severance benefits being subject to excise tax under Section 4999 of the Code,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49" w:lineRule="auto"/>
        <w:rPr>
          <w:sz w:val="20"/>
          <w:szCs w:val="20"/>
          <w:color w:val="auto"/>
        </w:rPr>
      </w:pPr>
      <w:r>
        <w:rPr>
          <w:rFonts w:ascii="Times New Roman" w:cs="Times New Roman" w:eastAsia="Times New Roman" w:hAnsi="Times New Roman"/>
          <w:sz w:val="22"/>
          <w:szCs w:val="22"/>
          <w:color w:val="auto"/>
        </w:rPr>
        <w:t>Company and Executive otherwise agree in writing, any determination required under this Section 4 will be made in writing by an independent firm immediately prior to Change of Control (the “</w:t>
      </w:r>
      <w:r>
        <w:rPr>
          <w:rFonts w:ascii="Times New Roman" w:cs="Times New Roman" w:eastAsia="Times New Roman" w:hAnsi="Times New Roman"/>
          <w:sz w:val="22"/>
          <w:szCs w:val="22"/>
          <w:b w:val="1"/>
          <w:bCs w:val="1"/>
          <w:i w:val="1"/>
          <w:iCs w:val="1"/>
          <w:color w:val="auto"/>
        </w:rPr>
        <w:t>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95"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13"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941" w:val="left"/>
        </w:tabs>
        <w:numPr>
          <w:ilvl w:val="1"/>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xml:space="preserv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 (iv) Executive has breached any material term or condition of the Executive’s Confidentiality Agreement with the Company or has otherwise improperly disclosure of the Company’s confidential or proprietary information that materially adversely affects the Company; (v) Executive has breached any material term or condition of the Executive’s any written Company policy or the Company’s written code of conduct that has been made available to Executive prior to such breach or any other material agreement with the Company or (vi) Executive has obstructed or impeded, or failed to materially cooperate with, any investigation authorized by the Board or any governmental or self-regulatory entity; provided, however that failure to waive attorney-client privilege relating to communications with Executive’s own attorney in connection with such investigation will not constitute “Cause”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action or conduct described in clauses (iv), (v) and (vi) above will constitute “Cause” only if such action or conduct continues after the Company has provided you with written notice thereof and thirty (30) days to cure the same if such action or conduct is curable.</w:t>
      </w:r>
    </w:p>
    <w:p>
      <w:pPr>
        <w:spacing w:after="0" w:line="169"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1"/>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of the Company is defined as:</w:t>
      </w:r>
    </w:p>
    <w:p>
      <w:pPr>
        <w:spacing w:after="0" w:line="225" w:lineRule="exact"/>
        <w:rPr>
          <w:rFonts w:ascii="Times New Roman" w:cs="Times New Roman" w:eastAsia="Times New Roman" w:hAnsi="Times New Roman"/>
          <w:sz w:val="22"/>
          <w:szCs w:val="22"/>
          <w:color w:val="010000"/>
        </w:rPr>
      </w:pPr>
    </w:p>
    <w:p>
      <w:pPr>
        <w:jc w:val="both"/>
        <w:ind w:firstLine="1748"/>
        <w:spacing w:after="0" w:line="275" w:lineRule="auto"/>
        <w:tabs>
          <w:tab w:leader="none" w:pos="1998" w:val="left"/>
        </w:tabs>
        <w:numPr>
          <w:ilvl w:val="2"/>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that or is or becomes the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22"/>
          <w:szCs w:val="22"/>
          <w:color w:val="auto"/>
        </w:rPr>
        <w:t>directly or indirectly, of securities of the Company representing more than fifty percent (50%)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76" w:lineRule="exact"/>
        <w:rPr>
          <w:sz w:val="20"/>
          <w:szCs w:val="20"/>
          <w:color w:val="auto"/>
        </w:rPr>
      </w:pPr>
    </w:p>
    <w:p>
      <w:pPr>
        <w:jc w:val="both"/>
        <w:ind w:firstLine="1688"/>
        <w:spacing w:after="0" w:line="251" w:lineRule="auto"/>
        <w:tabs>
          <w:tab w:leader="none" w:pos="2025"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1" w:lineRule="exact"/>
        <w:rPr>
          <w:rFonts w:ascii="Times New Roman" w:cs="Times New Roman" w:eastAsia="Times New Roman" w:hAnsi="Times New Roman"/>
          <w:sz w:val="22"/>
          <w:szCs w:val="22"/>
          <w:color w:val="010000"/>
        </w:rPr>
      </w:pPr>
    </w:p>
    <w:p>
      <w:pPr>
        <w:jc w:val="both"/>
        <w:ind w:firstLine="1628"/>
        <w:spacing w:after="0" w:line="251" w:lineRule="auto"/>
        <w:tabs>
          <w:tab w:leader="none" w:pos="1998"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81" w:lineRule="exact"/>
        <w:rPr>
          <w:rFonts w:ascii="Times New Roman" w:cs="Times New Roman" w:eastAsia="Times New Roman" w:hAnsi="Times New Roman"/>
          <w:sz w:val="22"/>
          <w:szCs w:val="22"/>
          <w:color w:val="010000"/>
        </w:rPr>
      </w:pPr>
    </w:p>
    <w:p>
      <w:pPr>
        <w:jc w:val="both"/>
        <w:ind w:firstLine="1640"/>
        <w:spacing w:after="0" w:line="247" w:lineRule="auto"/>
        <w:tabs>
          <w:tab w:leader="none" w:pos="1998"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Notwithstanding the foregoing, a Company transaction that does not constitute a change in control event under Treasury Regulation 1.409A-3(i)(5)(v) or (vii) shall be not be considered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125" w:name="page126"/>
    <w:bookmarkEnd w:id="125"/>
    <w:p>
      <w:pPr>
        <w:jc w:val="both"/>
        <w:ind w:left="-20" w:firstLine="1304"/>
        <w:spacing w:after="0" w:line="249" w:lineRule="auto"/>
        <w:tabs>
          <w:tab w:leader="none" w:pos="1921"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5" w:lineRule="exact"/>
        <w:rPr>
          <w:rFonts w:ascii="Times New Roman" w:cs="Times New Roman" w:eastAsia="Times New Roman" w:hAnsi="Times New Roman"/>
          <w:sz w:val="22"/>
          <w:szCs w:val="22"/>
          <w:color w:val="010000"/>
        </w:rPr>
      </w:pPr>
    </w:p>
    <w:p>
      <w:pPr>
        <w:jc w:val="both"/>
        <w:ind w:left="-20" w:firstLine="1304"/>
        <w:spacing w:after="0" w:line="247" w:lineRule="auto"/>
        <w:tabs>
          <w:tab w:leader="none" w:pos="1919"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9" w:lineRule="exact"/>
        <w:rPr>
          <w:rFonts w:ascii="Times New Roman" w:cs="Times New Roman" w:eastAsia="Times New Roman" w:hAnsi="Times New Roman"/>
          <w:sz w:val="22"/>
          <w:szCs w:val="22"/>
          <w:color w:val="010000"/>
        </w:rPr>
      </w:pPr>
    </w:p>
    <w:p>
      <w:pPr>
        <w:ind w:left="1280" w:hanging="644"/>
        <w:spacing w:after="0"/>
        <w:tabs>
          <w:tab w:leader="none" w:pos="1280"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1"/>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40" w:top="1416" w:right="339" w:bottom="1440" w:gutter="0" w:footer="0" w:header="0"/>
        </w:sectPr>
      </w:pPr>
    </w:p>
    <w:bookmarkStart w:id="126" w:name="page127"/>
    <w:bookmarkEnd w:id="126"/>
    <w:p>
      <w:pPr>
        <w:ind w:right="20"/>
        <w:spacing w:after="0" w:line="271" w:lineRule="auto"/>
        <w:rPr>
          <w:sz w:val="20"/>
          <w:szCs w:val="20"/>
          <w:color w:val="auto"/>
        </w:rPr>
      </w:pPr>
      <w:r>
        <w:rPr>
          <w:rFonts w:ascii="Times New Roman" w:cs="Times New Roman" w:eastAsia="Times New Roman" w:hAnsi="Times New Roman"/>
          <w:sz w:val="22"/>
          <w:szCs w:val="22"/>
          <w:color w:val="auto"/>
        </w:rPr>
        <w:t>include any successor to the Company’s business and/or assets which executes and delivers the assumption agreement described in this Section 6(a) or which becomes bound by the terms of this Agreement by operation of law.</w:t>
      </w:r>
    </w:p>
    <w:p>
      <w:pPr>
        <w:spacing w:after="0" w:line="158" w:lineRule="exact"/>
        <w:rPr>
          <w:sz w:val="20"/>
          <w:szCs w:val="20"/>
          <w:color w:val="auto"/>
        </w:rPr>
      </w:pPr>
    </w:p>
    <w:p>
      <w:pPr>
        <w:jc w:val="both"/>
        <w:ind w:firstLine="1304"/>
        <w:spacing w:after="0" w:line="263" w:lineRule="auto"/>
        <w:tabs>
          <w:tab w:leader="none" w:pos="1939"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941"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8"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9"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5"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6"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have a term of five (5) years commencing on the Effective Date, which shall not be subject to renewal, unless a Change of Control occurs during such five (5)-year period, in which case this Agreement will continue until all payments and benefits, if any, have been made to Executive.</w:t>
      </w:r>
    </w:p>
    <w:p>
      <w:pPr>
        <w:spacing w:after="0" w:line="172" w:lineRule="exact"/>
        <w:rPr>
          <w:rFonts w:ascii="Times New Roman" w:cs="Times New Roman" w:eastAsia="Times New Roman" w:hAnsi="Times New Roman"/>
          <w:sz w:val="22"/>
          <w:szCs w:val="22"/>
          <w:color w:val="010000"/>
        </w:rPr>
      </w:pPr>
    </w:p>
    <w:p>
      <w:pPr>
        <w:jc w:val="both"/>
        <w:ind w:firstLine="656"/>
        <w:spacing w:after="0" w:line="256" w:lineRule="auto"/>
        <w:tabs>
          <w:tab w:leader="none" w:pos="1296"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the event of any dispute or claim relating to or arising out of Executive’s employment relationship with the Company or this Agreement, Executive and the Company agree that any and all disputes between Executive and the Company will be fully and finally resolved by binding arbitration in accordance with the arbitration clause set forth in the Confidentiality Agreement, pursuant to which Executive is waiving any and all rights to a jury trial.</w:t>
      </w:r>
    </w:p>
    <w:p>
      <w:pPr>
        <w:spacing w:after="0" w:line="17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 Benefits provided under this Agreement are paid from the general assets of the Company, and</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not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27" w:name="page128"/>
    <w:bookmarkEnd w:id="127"/>
    <w:p>
      <w:pPr>
        <w:ind w:left="-20" w:firstLine="1304"/>
        <w:spacing w:after="0" w:line="271" w:lineRule="auto"/>
        <w:tabs>
          <w:tab w:leader="none" w:pos="191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3" w:lineRule="auto"/>
        <w:tabs>
          <w:tab w:leader="none" w:pos="1921"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8" w:lineRule="exact"/>
        <w:rPr>
          <w:rFonts w:ascii="Times New Roman" w:cs="Times New Roman" w:eastAsia="Times New Roman" w:hAnsi="Times New Roman"/>
          <w:sz w:val="22"/>
          <w:szCs w:val="22"/>
          <w:color w:val="010000"/>
        </w:rPr>
      </w:pPr>
    </w:p>
    <w:p>
      <w:pPr>
        <w:ind w:left="-20" w:firstLine="1304"/>
        <w:spacing w:after="0" w:line="284" w:lineRule="auto"/>
        <w:tabs>
          <w:tab w:leader="none" w:pos="191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43" w:lineRule="exact"/>
        <w:rPr>
          <w:rFonts w:ascii="Times New Roman" w:cs="Times New Roman" w:eastAsia="Times New Roman" w:hAnsi="Times New Roman"/>
          <w:sz w:val="22"/>
          <w:szCs w:val="22"/>
          <w:color w:val="010000"/>
        </w:rPr>
      </w:pPr>
    </w:p>
    <w:p>
      <w:pPr>
        <w:jc w:val="both"/>
        <w:ind w:left="-20" w:firstLine="1304"/>
        <w:spacing w:after="0" w:line="248" w:lineRule="auto"/>
        <w:tabs>
          <w:tab w:leader="none" w:pos="1921"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 By executing this Agreement, Executive acknowledges and agrees that Executive has had the opportunity to consult with Executive’s own counsel and has read and understands this Agreement, is fully aware of its legal effect, has not acted in reliance upon any representations or promises made by the Company or any other person other than those contained in writing herein.</w:t>
      </w:r>
    </w:p>
    <w:p>
      <w:pPr>
        <w:spacing w:after="0" w:line="185" w:lineRule="exact"/>
        <w:rPr>
          <w:rFonts w:ascii="Times New Roman" w:cs="Times New Roman" w:eastAsia="Times New Roman" w:hAnsi="Times New Roman"/>
          <w:sz w:val="22"/>
          <w:szCs w:val="22"/>
          <w:color w:val="010000"/>
        </w:rPr>
      </w:pPr>
    </w:p>
    <w:p>
      <w:pPr>
        <w:ind w:left="-20" w:firstLine="1304"/>
        <w:spacing w:after="0" w:line="284" w:lineRule="auto"/>
        <w:tabs>
          <w:tab w:leader="none" w:pos="1924"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22"/>
          <w:szCs w:val="22"/>
          <w:color w:val="010000"/>
        </w:rPr>
      </w:pPr>
    </w:p>
    <w:p>
      <w:pPr>
        <w:ind w:left="-20" w:right="20" w:firstLine="1304"/>
        <w:spacing w:after="0" w:line="271" w:lineRule="auto"/>
        <w:tabs>
          <w:tab w:leader="none" w:pos="191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1" w:lineRule="auto"/>
        <w:tabs>
          <w:tab w:leader="none" w:pos="191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and employment taxes. By entering into this Agreement, Executive agrees to review with Executive’s own tax advisors the federal, state, provincial, local, and foreign tax consequences of this Agreement. Executive will rely solely on such advisors and not on any statements or representations of the Company, or any of its agents. Executive understands that Executive (and not the Company) will be responsible for Executive’s own tax liability that may arise as a result of this Agreement, without regard to the amount withheld or reported by the Company to applicable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40" w:top="1422" w:right="339" w:bottom="1440" w:gutter="0" w:footer="0" w:header="0"/>
        </w:sectPr>
      </w:pPr>
    </w:p>
    <w:bookmarkStart w:id="128" w:name="page129"/>
    <w:bookmarkEnd w:id="128"/>
    <w:p>
      <w:pPr>
        <w:ind w:left="-20" w:firstLine="1304"/>
        <w:spacing w:after="0" w:line="271" w:lineRule="auto"/>
        <w:tabs>
          <w:tab w:leader="none" w:pos="1912"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22" w:right="339" w:bottom="1440" w:gutter="0" w:footer="0" w:header="0"/>
        </w:sectPr>
      </w:pPr>
    </w:p>
    <w:bookmarkStart w:id="129" w:name="page130"/>
    <w:bookmarkEnd w:id="12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820" w:type="dxa"/>
            <w:vAlign w:val="bottom"/>
          </w:tcPr>
          <w:p>
            <w:pPr>
              <w:spacing w:after="0"/>
              <w:rPr>
                <w:sz w:val="24"/>
                <w:szCs w:val="24"/>
                <w:color w:val="auto"/>
              </w:rPr>
            </w:pP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FORTINET, INC.</w:t>
            </w:r>
          </w:p>
        </w:tc>
      </w:tr>
      <w:tr>
        <w:trPr>
          <w:trHeight w:val="541"/>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Ken Xie</w:t>
            </w:r>
          </w:p>
        </w:tc>
      </w:tr>
      <w:tr>
        <w:trPr>
          <w:trHeight w:val="270"/>
        </w:trPr>
        <w:tc>
          <w:tcPr>
            <w:tcW w:w="31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Ken Xie</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Title: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Chief Executive Officer</w:t>
            </w:r>
          </w:p>
        </w:tc>
      </w:tr>
      <w:tr>
        <w:trPr>
          <w:trHeight w:val="528"/>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By:</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Keith Jensen</w:t>
            </w:r>
          </w:p>
        </w:tc>
      </w:tr>
      <w:tr>
        <w:trPr>
          <w:trHeight w:val="282"/>
        </w:trPr>
        <w:tc>
          <w:tcPr>
            <w:tcW w:w="3180" w:type="dxa"/>
            <w:vAlign w:val="bottom"/>
          </w:tcPr>
          <w:p>
            <w:pPr>
              <w:spacing w:after="0"/>
              <w:rPr>
                <w:sz w:val="24"/>
                <w:szCs w:val="24"/>
                <w:color w:val="auto"/>
              </w:rPr>
            </w:pPr>
          </w:p>
        </w:tc>
        <w:tc>
          <w:tcPr>
            <w:tcW w:w="282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Name:</w:t>
            </w:r>
          </w:p>
        </w:tc>
        <w:tc>
          <w:tcPr>
            <w:tcW w:w="2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Keith Jensen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June 30, 2024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820" w:type="dxa"/>
            <w:vAlign w:val="bottom"/>
          </w:tcPr>
          <w:p>
            <w:pPr>
              <w:spacing w:after="0"/>
              <w:rPr>
                <w:sz w:val="15"/>
                <w:szCs w:val="15"/>
                <w:color w:val="auto"/>
              </w:rPr>
            </w:pPr>
          </w:p>
        </w:tc>
        <w:tc>
          <w:tcPr>
            <w:tcW w:w="2800" w:type="dxa"/>
            <w:vAlign w:val="bottom"/>
          </w:tcPr>
          <w:p>
            <w:pPr>
              <w:ind w:left="21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Quarterly Report on Form 10-Q of Fortinet, Inc. for the quarter ended June 30, 2024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820" w:type="dxa"/>
            <w:vAlign w:val="bottom"/>
          </w:tcPr>
          <w:p>
            <w:pPr>
              <w:spacing w:after="0"/>
              <w:rPr>
                <w:sz w:val="15"/>
                <w:szCs w:val="15"/>
                <w:color w:val="auto"/>
              </w:rPr>
            </w:pPr>
          </w:p>
        </w:tc>
        <w:tc>
          <w:tcPr>
            <w:tcW w:w="2800" w:type="dxa"/>
            <w:vAlign w:val="bottom"/>
          </w:tcPr>
          <w:p>
            <w:pPr>
              <w:ind w:left="21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1."/>
      <w:numFmt w:val="decimal"/>
      <w:start w:val="2"/>
    </w:lvl>
  </w:abstractNum>
  <w:abstractNum w:abstractNumId="6">
    <w:nsid w:val="10233C99"/>
    <w:multiLevelType w:val="hybridMultilevel"/>
    <w:lvl w:ilvl="0">
      <w:lvlJc w:val="left"/>
      <w:lvlText w:val="%1."/>
      <w:numFmt w:val="decimal"/>
      <w:start w:val="3"/>
    </w:lvl>
  </w:abstractNum>
  <w:abstractNum w:abstractNumId="7">
    <w:nsid w:val="3F6AB60F"/>
    <w:multiLevelType w:val="hybridMultilevel"/>
    <w:lvl w:ilvl="0">
      <w:lvlJc w:val="left"/>
      <w:lvlText w:val="%1."/>
      <w:numFmt w:val="decimal"/>
      <w:start w:val="6"/>
    </w:lvl>
  </w:abstractNum>
  <w:abstractNum w:abstractNumId="8">
    <w:nsid w:val="61574095"/>
    <w:multiLevelType w:val="hybridMultilevel"/>
    <w:lvl w:ilvl="0">
      <w:lvlJc w:val="left"/>
      <w:lvlText w:val="%1."/>
      <w:numFmt w:val="decimal"/>
      <w:start w:val="8"/>
    </w:lvl>
  </w:abstractNum>
  <w:abstractNum w:abstractNumId="9">
    <w:nsid w:val="7E0C57B1"/>
    <w:multiLevelType w:val="hybridMultilevel"/>
    <w:lvl w:ilvl="0">
      <w:lvlJc w:val="left"/>
      <w:lvlText w:val="%1."/>
      <w:numFmt w:val="decimal"/>
      <w:start w:val="9"/>
    </w:lvl>
  </w:abstractNum>
  <w:abstractNum w:abstractNumId="10">
    <w:nsid w:val="77AE35EB"/>
    <w:multiLevelType w:val="hybridMultilevel"/>
    <w:lvl w:ilvl="0">
      <w:lvlJc w:val="left"/>
      <w:lvlText w:val="%1."/>
      <w:numFmt w:val="decimal"/>
      <w:start w:val="10"/>
    </w:lvl>
  </w:abstractNum>
  <w:abstractNum w:abstractNumId="11">
    <w:nsid w:val="579BE4F1"/>
    <w:multiLevelType w:val="hybridMultilevel"/>
    <w:lvl w:ilvl="0">
      <w:lvlJc w:val="left"/>
      <w:lvlText w:val="%1."/>
      <w:numFmt w:val="decimal"/>
      <w:start w:val="11"/>
    </w:lvl>
  </w:abstractNum>
  <w:abstractNum w:abstractNumId="12">
    <w:nsid w:val="310C50B3"/>
    <w:multiLevelType w:val="hybridMultilevel"/>
    <w:lvl w:ilvl="0">
      <w:lvlJc w:val="left"/>
      <w:lvlText w:val="%1."/>
      <w:numFmt w:val="decimal"/>
      <w:start w:val="13"/>
    </w:lvl>
  </w:abstractNum>
  <w:abstractNum w:abstractNumId="13">
    <w:nsid w:val="5FF87E05"/>
    <w:multiLevelType w:val="hybridMultilevel"/>
    <w:lvl w:ilvl="0">
      <w:lvlJc w:val="left"/>
      <w:lvlText w:val="%1."/>
      <w:numFmt w:val="decimal"/>
      <w:start w:val="14"/>
    </w:lvl>
  </w:abstractNum>
  <w:abstractNum w:abstractNumId="14">
    <w:nsid w:val="2F305DEF"/>
    <w:multiLevelType w:val="hybridMultilevel"/>
    <w:lvl w:ilvl="0">
      <w:lvlJc w:val="left"/>
      <w:lvlText w:val="%1."/>
      <w:numFmt w:val="decimal"/>
      <w:start w:val="15"/>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46">
    <w:nsid w:val="60B6DF7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7">
    <w:nsid w:val="6A5EE64"/>
    <w:multiLevelType w:val="hybridMultilevel"/>
    <w:lvl w:ilvl="0">
      <w:lvlJc w:val="left"/>
      <w:lvlText w:val="(%1)"/>
      <w:numFmt w:val="lowerRoman"/>
      <w:start w:val="3"/>
    </w:lvl>
  </w:abstractNum>
  <w:abstractNum w:abstractNumId="48">
    <w:nsid w:val="1433062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9">
    <w:nsid w:val="7FFFCA11"/>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1"/>
    </w:lvl>
  </w:abstractNum>
  <w:abstractNum w:abstractNumId="50">
    <w:nsid w:val="1A27709E"/>
    <w:multiLevelType w:val="hybridMultilevel"/>
    <w:lvl w:ilvl="0">
      <w:lvlJc w:val="left"/>
      <w:lvlText w:val="%1"/>
      <w:numFmt w:val="lowerLetter"/>
      <w:start w:val="1"/>
    </w:lvl>
    <w:lvl w:ilvl="1">
      <w:lvlJc w:val="left"/>
      <w:lvlText w:val="(%2)"/>
      <w:numFmt w:val="lowerLetter"/>
      <w:start w:val="5"/>
    </w:lvl>
  </w:abstractNum>
  <w:abstractNum w:abstractNumId="51">
    <w:nsid w:val="71EA1109"/>
    <w:multiLevelType w:val="hybridMultilevel"/>
    <w:lvl w:ilvl="0">
      <w:lvlJc w:val="left"/>
      <w:lvlText w:val="(%1)"/>
      <w:numFmt w:val="lowerLetter"/>
      <w:start w:val="9"/>
    </w:lvl>
    <w:lvl w:ilvl="1">
      <w:lvlJc w:val="left"/>
      <w:lvlText w:val="(%2)"/>
      <w:numFmt w:val="lowerLetter"/>
      <w:start w:val="7"/>
    </w:lvl>
  </w:abstractNum>
  <w:abstractNum w:abstractNumId="52">
    <w:nsid w:val="100F59DC"/>
    <w:multiLevelType w:val="hybridMultilevel"/>
    <w:lvl w:ilvl="0">
      <w:lvlJc w:val="left"/>
      <w:lvlText w:val="%1."/>
      <w:numFmt w:val="decimal"/>
      <w:start w:val="4"/>
    </w:lvl>
    <w:lvl w:ilvl="1">
      <w:lvlJc w:val="left"/>
      <w:lvlText w:val="(%2)"/>
      <w:numFmt w:val="lowerLetter"/>
      <w:start w:val="1"/>
    </w:lvl>
  </w:abstractNum>
  <w:abstractNum w:abstractNumId="53">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4">
    <w:nsid w:val="6EB5BD4"/>
    <w:multiLevelType w:val="hybridMultilevel"/>
    <w:lvl w:ilvl="0">
      <w:lvlJc w:val="left"/>
      <w:lvlText w:val="(%1)"/>
      <w:numFmt w:val="lowerRoman"/>
      <w:start w:val="2"/>
    </w:lvl>
  </w:abstractNum>
  <w:abstractNum w:abstractNumId="55">
    <w:nsid w:val="6F6DD9AC"/>
    <w:multiLevelType w:val="hybridMultilevel"/>
    <w:lvl w:ilvl="0">
      <w:lvlJc w:val="left"/>
      <w:lvlText w:val="%1"/>
      <w:numFmt w:val="decimal"/>
      <w:start w:val="1"/>
    </w:lvl>
    <w:lvl w:ilvl="1">
      <w:lvlJc w:val="left"/>
      <w:lvlText w:val="(%2)"/>
      <w:numFmt w:val="lowerLetter"/>
      <w:start w:val="3"/>
    </w:lvl>
  </w:abstractNum>
  <w:abstractNum w:abstractNumId="56">
    <w:nsid w:val="94211F2"/>
    <w:multiLevelType w:val="hybridMultilevel"/>
    <w:lvl w:ilvl="0">
      <w:lvlJc w:val="left"/>
      <w:lvlText w:val="%1."/>
      <w:numFmt w:val="decimal"/>
      <w:start w:val="6"/>
    </w:lvl>
    <w:lvl w:ilvl="1">
      <w:lvlJc w:val="left"/>
      <w:lvlText w:val="(%2)"/>
      <w:numFmt w:val="lowerLetter"/>
      <w:start w:val="1"/>
    </w:lvl>
  </w:abstractNum>
  <w:abstractNum w:abstractNumId="57">
    <w:nsid w:val="885E1B"/>
    <w:multiLevelType w:val="hybridMultilevel"/>
    <w:lvl w:ilvl="0">
      <w:lvlJc w:val="left"/>
      <w:lvlText w:val="%1"/>
      <w:numFmt w:val="decimal"/>
      <w:start w:val="1"/>
    </w:lvl>
    <w:lvl w:ilvl="1">
      <w:lvlJc w:val="left"/>
      <w:lvlText w:val="(%2)"/>
      <w:numFmt w:val="lowerLetter"/>
      <w:start w:val="2"/>
    </w:lvl>
  </w:abstractNum>
  <w:abstractNum w:abstractNumId="58">
    <w:nsid w:val="76272110"/>
    <w:multiLevelType w:val="hybridMultilevel"/>
    <w:lvl w:ilvl="0">
      <w:lvlJc w:val="left"/>
      <w:lvlText w:val="%1."/>
      <w:numFmt w:val="decimal"/>
      <w:start w:val="7"/>
    </w:lvl>
    <w:lvl w:ilvl="1">
      <w:lvlJc w:val="left"/>
      <w:lvlText w:val="(%2)"/>
      <w:numFmt w:val="lowerLetter"/>
      <w:start w:val="1"/>
    </w:lvl>
  </w:abstractNum>
  <w:abstractNum w:abstractNumId="59">
    <w:nsid w:val="4C04A8AF"/>
    <w:multiLevelType w:val="hybridMultilevel"/>
    <w:lvl w:ilvl="0">
      <w:lvlJc w:val="left"/>
      <w:lvlText w:val="(%1)"/>
      <w:numFmt w:val="lowerLetter"/>
      <w:start w:val="2"/>
    </w:lvl>
  </w:abstractNum>
  <w:abstractNum w:abstractNumId="60">
    <w:nsid w:val="1716703B"/>
    <w:multiLevelType w:val="hybridMultilevel"/>
    <w:lvl w:ilvl="0">
      <w:lvlJc w:val="left"/>
      <w:lvlText w:val="(%1)"/>
      <w:numFmt w:val="lowerRoman"/>
      <w:start w:val="1"/>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64">
    <w:nsid w:val="68EBC55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65">
    <w:nsid w:val="2DF6D648"/>
    <w:multiLevelType w:val="hybridMultilevel"/>
    <w:lvl w:ilvl="0">
      <w:lvlJc w:val="left"/>
      <w:lvlText w:val="(%1)"/>
      <w:numFmt w:val="lowerRoman"/>
      <w:start w:val="3"/>
    </w:lvl>
  </w:abstractNum>
  <w:abstractNum w:abstractNumId="66">
    <w:nsid w:val="46B7D447"/>
    <w:multiLevelType w:val="hybridMultilevel"/>
    <w:lvl w:ilvl="0">
      <w:lvlJc w:val="left"/>
      <w:lvlText w:val="(%1)"/>
      <w:numFmt w:val="lowerLetter"/>
      <w:start w:val="2"/>
    </w:lvl>
    <w:lvl w:ilvl="1">
      <w:lvlJc w:val="left"/>
      <w:lvlText w:val="(%2)"/>
      <w:numFmt w:val="lowerRoman"/>
      <w:start w:val="1"/>
    </w:lvl>
  </w:abstractNum>
  <w:abstractNum w:abstractNumId="67">
    <w:nsid w:val="4A2AC315"/>
    <w:multiLevelType w:val="hybridMultilevel"/>
    <w:lvl w:ilvl="0">
      <w:lvlJc w:val="left"/>
      <w:lvlText w:val="%1"/>
      <w:numFmt w:val="lowerLetter"/>
      <w:start w:val="1"/>
    </w:lvl>
    <w:lvl w:ilvl="1">
      <w:lvlJc w:val="left"/>
      <w:lvlText w:val="(%2)"/>
      <w:numFmt w:val="lowerLetter"/>
      <w:start w:val="5"/>
    </w:lvl>
  </w:abstractNum>
  <w:abstractNum w:abstractNumId="68">
    <w:nsid w:val="39EE015C"/>
    <w:multiLevelType w:val="hybridMultilevel"/>
    <w:lvl w:ilvl="0">
      <w:lvlJc w:val="left"/>
      <w:lvlText w:val="(%1)"/>
      <w:numFmt w:val="lowerLetter"/>
      <w:start w:val="9"/>
    </w:lvl>
    <w:lvl w:ilvl="1">
      <w:lvlJc w:val="left"/>
      <w:lvlText w:val="(%2)"/>
      <w:numFmt w:val="lowerLetter"/>
      <w:start w:val="7"/>
    </w:lvl>
  </w:abstractNum>
  <w:abstractNum w:abstractNumId="69">
    <w:nsid w:val="57FC4FBB"/>
    <w:multiLevelType w:val="hybridMultilevel"/>
    <w:lvl w:ilvl="0">
      <w:lvlJc w:val="left"/>
      <w:lvlText w:val="%1."/>
      <w:numFmt w:val="decimal"/>
      <w:start w:val="4"/>
    </w:lvl>
    <w:lvl w:ilvl="1">
      <w:lvlJc w:val="left"/>
      <w:lvlText w:val="(%2)"/>
      <w:numFmt w:val="lowerLetter"/>
      <w:start w:val="1"/>
    </w:lvl>
  </w:abstractNum>
  <w:abstractNum w:abstractNumId="70">
    <w:nsid w:val="CC1016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71">
    <w:nsid w:val="43F18422"/>
    <w:multiLevelType w:val="hybridMultilevel"/>
    <w:lvl w:ilvl="0">
      <w:lvlJc w:val="left"/>
      <w:lvlText w:val="(%1)"/>
      <w:numFmt w:val="lowerRoman"/>
      <w:start w:val="2"/>
    </w:lvl>
  </w:abstractNum>
  <w:abstractNum w:abstractNumId="72">
    <w:nsid w:val="60EF0119"/>
    <w:multiLevelType w:val="hybridMultilevel"/>
    <w:lvl w:ilvl="0">
      <w:lvlJc w:val="left"/>
      <w:lvlText w:val="%1"/>
      <w:numFmt w:val="decimal"/>
      <w:start w:val="1"/>
    </w:lvl>
    <w:lvl w:ilvl="1">
      <w:lvlJc w:val="left"/>
      <w:lvlText w:val="(%2)"/>
      <w:numFmt w:val="lowerLetter"/>
      <w:start w:val="3"/>
    </w:lvl>
  </w:abstractNum>
  <w:abstractNum w:abstractNumId="73">
    <w:nsid w:val="26F324BA"/>
    <w:multiLevelType w:val="hybridMultilevel"/>
    <w:lvl w:ilvl="0">
      <w:lvlJc w:val="left"/>
      <w:lvlText w:val="%1."/>
      <w:numFmt w:val="decimal"/>
      <w:start w:val="6"/>
    </w:lvl>
    <w:lvl w:ilvl="1">
      <w:lvlJc w:val="left"/>
      <w:lvlText w:val="(%2)"/>
      <w:numFmt w:val="lowerLetter"/>
      <w:start w:val="1"/>
    </w:lvl>
  </w:abstractNum>
  <w:abstractNum w:abstractNumId="74">
    <w:nsid w:val="7F01579B"/>
    <w:multiLevelType w:val="hybridMultilevel"/>
    <w:lvl w:ilvl="0">
      <w:lvlJc w:val="left"/>
      <w:lvlText w:val="%1"/>
      <w:numFmt w:val="decimal"/>
      <w:start w:val="1"/>
    </w:lvl>
    <w:lvl w:ilvl="1">
      <w:lvlJc w:val="left"/>
      <w:lvlText w:val="(%2)"/>
      <w:numFmt w:val="lowerLetter"/>
      <w:start w:val="2"/>
    </w:lvl>
  </w:abstractNum>
  <w:abstractNum w:abstractNumId="75">
    <w:nsid w:val="49DA307D"/>
    <w:multiLevelType w:val="hybridMultilevel"/>
    <w:lvl w:ilvl="0">
      <w:lvlJc w:val="left"/>
      <w:lvlText w:val="%1."/>
      <w:numFmt w:val="decimal"/>
      <w:start w:val="7"/>
    </w:lvl>
    <w:lvl w:ilvl="1">
      <w:lvlJc w:val="left"/>
      <w:lvlText w:val="(%2)"/>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Roman"/>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1."/>
      <w:numFmt w:val="decimal"/>
      <w:start w:val="1"/>
    </w:lvl>
  </w:abstractNum>
  <w:abstractNum w:abstractNumId="80">
    <w:nsid w:val="5FB8011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81">
    <w:nsid w:val="6AA78F7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82">
    <w:nsid w:val="7672BD23"/>
    <w:multiLevelType w:val="hybridMultilevel"/>
    <w:lvl w:ilvl="0">
      <w:lvlJc w:val="left"/>
      <w:lvlText w:val="(%1)"/>
      <w:numFmt w:val="lowerRoman"/>
      <w:start w:val="3"/>
    </w:lvl>
  </w:abstractNum>
  <w:abstractNum w:abstractNumId="83">
    <w:nsid w:val="6FC75AF8"/>
    <w:multiLevelType w:val="hybridMultilevel"/>
    <w:lvl w:ilvl="0">
      <w:lvlJc w:val="left"/>
      <w:lvlText w:val="(%1)"/>
      <w:numFmt w:val="lowerLetter"/>
      <w:start w:val="2"/>
    </w:lvl>
    <w:lvl w:ilvl="1">
      <w:lvlJc w:val="left"/>
      <w:lvlText w:val="(%2)"/>
      <w:numFmt w:val="lowerRoman"/>
      <w:start w:val="1"/>
    </w:lvl>
  </w:abstractNum>
  <w:abstractNum w:abstractNumId="84">
    <w:nsid w:val="6A5F7029"/>
    <w:multiLevelType w:val="hybridMultilevel"/>
    <w:lvl w:ilvl="0">
      <w:lvlJc w:val="left"/>
      <w:lvlText w:val="%1"/>
      <w:numFmt w:val="lowerLetter"/>
      <w:start w:val="1"/>
    </w:lvl>
    <w:lvl w:ilvl="1">
      <w:lvlJc w:val="left"/>
      <w:lvlText w:val="(%2)"/>
      <w:numFmt w:val="lowerLetter"/>
      <w:start w:val="5"/>
    </w:lvl>
  </w:abstractNum>
  <w:abstractNum w:abstractNumId="85">
    <w:nsid w:val="7D5E18F8"/>
    <w:multiLevelType w:val="hybridMultilevel"/>
    <w:lvl w:ilvl="0">
      <w:lvlJc w:val="left"/>
      <w:lvlText w:val="(%1)"/>
      <w:numFmt w:val="lowerLetter"/>
      <w:start w:val="9"/>
    </w:lvl>
    <w:lvl w:ilvl="1">
      <w:lvlJc w:val="left"/>
      <w:lvlText w:val="(%2)"/>
      <w:numFmt w:val="lowerLetter"/>
      <w:start w:val="7"/>
    </w:lvl>
  </w:abstractNum>
  <w:abstractNum w:abstractNumId="86">
    <w:nsid w:val="5F3534A4"/>
    <w:multiLevelType w:val="hybridMultilevel"/>
    <w:lvl w:ilvl="0">
      <w:lvlJc w:val="left"/>
      <w:lvlText w:val="%1."/>
      <w:numFmt w:val="decimal"/>
      <w:start w:val="4"/>
    </w:lvl>
    <w:lvl w:ilvl="1">
      <w:lvlJc w:val="left"/>
      <w:lvlText w:val="(%2)"/>
      <w:numFmt w:val="lowerLetter"/>
      <w:start w:val="1"/>
    </w:lvl>
  </w:abstractNum>
  <w:abstractNum w:abstractNumId="87">
    <w:nsid w:val="73A1821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88">
    <w:nsid w:val="7DE67713"/>
    <w:multiLevelType w:val="hybridMultilevel"/>
    <w:lvl w:ilvl="0">
      <w:lvlJc w:val="left"/>
      <w:lvlText w:val="(%1)"/>
      <w:numFmt w:val="lowerRoman"/>
      <w:start w:val="2"/>
    </w:lvl>
  </w:abstractNum>
  <w:abstractNum w:abstractNumId="89">
    <w:nsid w:val="555C55B5"/>
    <w:multiLevelType w:val="hybridMultilevel"/>
    <w:lvl w:ilvl="0">
      <w:lvlJc w:val="left"/>
      <w:lvlText w:val="%1"/>
      <w:numFmt w:val="decimal"/>
      <w:start w:val="1"/>
    </w:lvl>
    <w:lvl w:ilvl="1">
      <w:lvlJc w:val="left"/>
      <w:lvlText w:val="(%2)"/>
      <w:numFmt w:val="lowerLetter"/>
      <w:start w:val="3"/>
    </w:lvl>
  </w:abstractNum>
  <w:abstractNum w:abstractNumId="90">
    <w:nsid w:val="3FA62ACA"/>
    <w:multiLevelType w:val="hybridMultilevel"/>
    <w:lvl w:ilvl="0">
      <w:lvlJc w:val="left"/>
      <w:lvlText w:val="%1."/>
      <w:numFmt w:val="decimal"/>
      <w:start w:val="6"/>
    </w:lvl>
    <w:lvl w:ilvl="1">
      <w:lvlJc w:val="left"/>
      <w:lvlText w:val="(%2)"/>
      <w:numFmt w:val="lowerLetter"/>
      <w:start w:val="1"/>
    </w:lvl>
  </w:abstractNum>
  <w:abstractNum w:abstractNumId="91">
    <w:nsid w:val="14FCE74E"/>
    <w:multiLevelType w:val="hybridMultilevel"/>
    <w:lvl w:ilvl="0">
      <w:lvlJc w:val="left"/>
      <w:lvlText w:val="%1"/>
      <w:numFmt w:val="decimal"/>
      <w:start w:val="1"/>
    </w:lvl>
    <w:lvl w:ilvl="1">
      <w:lvlJc w:val="left"/>
      <w:lvlText w:val="(%2)"/>
      <w:numFmt w:val="lowerLetter"/>
      <w:start w:val="2"/>
    </w:lvl>
  </w:abstractNum>
  <w:abstractNum w:abstractNumId="92">
    <w:nsid w:val="6A3DD3E8"/>
    <w:multiLevelType w:val="hybridMultilevel"/>
    <w:lvl w:ilvl="0">
      <w:lvlJc w:val="left"/>
      <w:lvlText w:val="%1."/>
      <w:numFmt w:val="decimal"/>
      <w:start w:val="7"/>
    </w:lvl>
    <w:lvl w:ilvl="1">
      <w:lvlJc w:val="left"/>
      <w:lvlText w:val="(%2)"/>
      <w:numFmt w:val="lowerLetter"/>
      <w:start w:val="1"/>
    </w:lvl>
  </w:abstractNum>
  <w:abstractNum w:abstractNumId="93">
    <w:nsid w:val="71C91298"/>
    <w:multiLevelType w:val="hybridMultilevel"/>
    <w:lvl w:ilvl="0">
      <w:lvlJc w:val="left"/>
      <w:lvlText w:val="(%1)"/>
      <w:numFmt w:val="lowerLetter"/>
      <w:start w:val="2"/>
    </w:lvl>
  </w:abstractNum>
  <w:abstractNum w:abstractNumId="94">
    <w:nsid w:val="9DAF632"/>
    <w:multiLevelType w:val="hybridMultilevel"/>
    <w:lvl w:ilvl="0">
      <w:lvlJc w:val="left"/>
      <w:lvlText w:val="(%1)"/>
      <w:numFmt w:val="lowerRoman"/>
      <w:start w:val="1"/>
    </w:lvl>
  </w:abstractNum>
  <w:abstractNum w:abstractNumId="95">
    <w:nsid w:val="53299938"/>
    <w:multiLevelType w:val="hybridMultilevel"/>
    <w:lvl w:ilvl="0">
      <w:lvlJc w:val="left"/>
      <w:lvlText w:val="%1."/>
      <w:numFmt w:val="decimal"/>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98">
    <w:nsid w:val="1D545C4D"/>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99">
    <w:nsid w:val="59ADEA3D"/>
    <w:multiLevelType w:val="hybridMultilevel"/>
    <w:lvl w:ilvl="0">
      <w:lvlJc w:val="left"/>
      <w:lvlText w:val="(%1)"/>
      <w:numFmt w:val="lowerRoman"/>
      <w:start w:val="3"/>
    </w:lvl>
  </w:abstractNum>
  <w:abstractNum w:abstractNumId="100">
    <w:nsid w:val="288F1A3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1">
    <w:nsid w:val="2A155DBC"/>
    <w:multiLevelType w:val="hybridMultilevel"/>
    <w:lvl w:ilvl="0">
      <w:lvlJc w:val="left"/>
      <w:lvlText w:val="(%1)"/>
      <w:numFmt w:val="decimal"/>
      <w:start w:val="12"/>
    </w:lvl>
    <w:lvl w:ilvl="1">
      <w:lvlJc w:val="left"/>
      <w:lvlText w:val="(%2)"/>
      <w:numFmt w:val="lowerLetter"/>
      <w:start w:val="2"/>
    </w:lvl>
    <w:lvl w:ilvl="2">
      <w:lvlJc w:val="left"/>
      <w:lvlText w:val="(%3)"/>
      <w:numFmt w:val="lowerRoman"/>
      <w:start w:val="1"/>
    </w:lvl>
  </w:abstractNum>
  <w:abstractNum w:abstractNumId="102">
    <w:nsid w:val="1D9F6E5F"/>
    <w:multiLevelType w:val="hybridMultilevel"/>
    <w:lvl w:ilvl="0">
      <w:lvlJc w:val="left"/>
      <w:lvlText w:val="%1"/>
      <w:numFmt w:val="lowerLetter"/>
      <w:start w:val="1"/>
    </w:lvl>
    <w:lvl w:ilvl="1">
      <w:lvlJc w:val="left"/>
      <w:lvlText w:val="(%2)"/>
      <w:numFmt w:val="lowerLetter"/>
      <w:start w:val="5"/>
    </w:lvl>
  </w:abstractNum>
  <w:abstractNum w:abstractNumId="103">
    <w:nsid w:val="97E1B4E"/>
    <w:multiLevelType w:val="hybridMultilevel"/>
    <w:lvl w:ilvl="0">
      <w:lvlJc w:val="left"/>
      <w:lvlText w:val="(%1)"/>
      <w:numFmt w:val="lowerLetter"/>
      <w:start w:val="9"/>
    </w:lvl>
    <w:lvl w:ilvl="1">
      <w:lvlJc w:val="left"/>
      <w:lvlText w:val="(%2)"/>
      <w:numFmt w:val="lowerLetter"/>
      <w:start w:val="7"/>
    </w:lvl>
  </w:abstractNum>
  <w:abstractNum w:abstractNumId="104">
    <w:nsid w:val="51088277"/>
    <w:multiLevelType w:val="hybridMultilevel"/>
    <w:lvl w:ilvl="0">
      <w:lvlJc w:val="left"/>
      <w:lvlText w:val="%1."/>
      <w:numFmt w:val="decimal"/>
      <w:start w:val="4"/>
    </w:lvl>
    <w:lvl w:ilvl="1">
      <w:lvlJc w:val="left"/>
      <w:lvlText w:val="(%2)"/>
      <w:numFmt w:val="lowerLetter"/>
      <w:start w:val="1"/>
    </w:lvl>
  </w:abstractNum>
  <w:abstractNum w:abstractNumId="105">
    <w:nsid w:val="1CA0C5F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06">
    <w:nsid w:val="53584BCB"/>
    <w:multiLevelType w:val="hybridMultilevel"/>
    <w:lvl w:ilvl="0">
      <w:lvlJc w:val="left"/>
      <w:lvlText w:val="(%1)"/>
      <w:numFmt w:val="lowerRoman"/>
      <w:start w:val="2"/>
    </w:lvl>
  </w:abstractNum>
  <w:abstractNum w:abstractNumId="107">
    <w:nsid w:val="415E286C"/>
    <w:multiLevelType w:val="hybridMultilevel"/>
    <w:lvl w:ilvl="0">
      <w:lvlJc w:val="left"/>
      <w:lvlText w:val="%1"/>
      <w:numFmt w:val="decimal"/>
      <w:start w:val="1"/>
    </w:lvl>
    <w:lvl w:ilvl="1">
      <w:lvlJc w:val="left"/>
      <w:lvlText w:val="(%2)"/>
      <w:numFmt w:val="lowerLetter"/>
      <w:start w:val="3"/>
    </w:lvl>
  </w:abstractNum>
  <w:abstractNum w:abstractNumId="108">
    <w:nsid w:val="7C58FD05"/>
    <w:multiLevelType w:val="hybridMultilevel"/>
    <w:lvl w:ilvl="0">
      <w:lvlJc w:val="left"/>
      <w:lvlText w:val="%1."/>
      <w:numFmt w:val="decimal"/>
      <w:start w:val="6"/>
    </w:lvl>
    <w:lvl w:ilvl="1">
      <w:lvlJc w:val="left"/>
      <w:lvlText w:val="(%2)"/>
      <w:numFmt w:val="lowerLetter"/>
      <w:start w:val="1"/>
    </w:lvl>
  </w:abstractNum>
  <w:abstractNum w:abstractNumId="109">
    <w:nsid w:val="23D86AAC"/>
    <w:multiLevelType w:val="hybridMultilevel"/>
    <w:lvl w:ilvl="0">
      <w:lvlJc w:val="left"/>
      <w:lvlText w:val="%1"/>
      <w:numFmt w:val="decimal"/>
      <w:start w:val="1"/>
    </w:lvl>
    <w:lvl w:ilvl="1">
      <w:lvlJc w:val="left"/>
      <w:lvlText w:val="(%2)"/>
      <w:numFmt w:val="lowerLetter"/>
      <w:start w:val="2"/>
    </w:lvl>
  </w:abstractNum>
  <w:abstractNum w:abstractNumId="110">
    <w:nsid w:val="45E6D486"/>
    <w:multiLevelType w:val="hybridMultilevel"/>
    <w:lvl w:ilvl="0">
      <w:lvlJc w:val="left"/>
      <w:lvlText w:val="%1."/>
      <w:numFmt w:val="decimal"/>
      <w:start w:val="7"/>
    </w:lvl>
    <w:lvl w:ilvl="1">
      <w:lvlJc w:val="left"/>
      <w:lvlText w:val="(%2)"/>
      <w:numFmt w:val="lowerLetter"/>
      <w:start w:val="1"/>
    </w:lvl>
  </w:abstractNum>
  <w:abstractNum w:abstractNumId="111">
    <w:nsid w:val="5C10FE21"/>
    <w:multiLevelType w:val="hybridMultilevel"/>
    <w:lvl w:ilvl="0">
      <w:lvlJc w:val="left"/>
      <w:lvlText w:val="(%1)"/>
      <w:numFmt w:val="lowerLetter"/>
      <w:start w:val="2"/>
    </w:lvl>
  </w:abstractNum>
  <w:abstractNum w:abstractNumId="112">
    <w:nsid w:val="E7FFA2B"/>
    <w:multiLevelType w:val="hybridMultilevel"/>
    <w:lvl w:ilvl="0">
      <w:lvlJc w:val="left"/>
      <w:lvlText w:val="(%1)"/>
      <w:numFmt w:val="lowerRoman"/>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2024-08-08T05:43:27Z</dcterms:created>
  <dcterms:modified xsi:type="dcterms:W3CDTF">2024-08-08T05:43:27Z</dcterms:modified>
</cp:coreProperties>
</file>