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415925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329565</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FORM 10-Q</w:t>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72" w:lineRule="exact"/>
        <w:rPr>
          <w:sz w:val="24"/>
          <w:szCs w:val="24"/>
          <w:color w:val="auto"/>
        </w:rPr>
      </w:pPr>
    </w:p>
    <w:p>
      <w:pPr>
        <w:ind w:left="3900" w:right="1840" w:hanging="3865"/>
        <w:spacing w:after="0" w:line="461" w:lineRule="auto"/>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3975100</wp:posOffset>
            </wp:positionH>
            <wp:positionV relativeFrom="paragraph">
              <wp:posOffset>248920</wp:posOffset>
            </wp:positionV>
            <wp:extent cx="838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tbl>
      <w:tblPr>
        <w:tblLayout w:type="fixed"/>
        <w:tblInd w:w="1520" w:type="dxa"/>
        <w:tblCellMar>
          <w:top w:w="0" w:type="dxa"/>
          <w:left w:w="0" w:type="dxa"/>
          <w:bottom w:w="0" w:type="dxa"/>
          <w:right w:w="0" w:type="dxa"/>
        </w:tblCellMar>
      </w:tblPr>
      <w:tr>
        <w:trPr>
          <w:trHeight w:val="220"/>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89"/>
              </w:rPr>
              <w:t>Commission file number: 001-34511</w:t>
            </w:r>
          </w:p>
        </w:tc>
        <w:tc>
          <w:tcPr>
            <w:tcW w:w="1460" w:type="dxa"/>
            <w:vAlign w:val="bottom"/>
          </w:tcPr>
          <w:p>
            <w:pPr>
              <w:spacing w:after="0"/>
              <w:rPr>
                <w:sz w:val="19"/>
                <w:szCs w:val="19"/>
                <w:color w:val="auto"/>
              </w:rPr>
            </w:pPr>
          </w:p>
        </w:tc>
      </w:tr>
      <w:tr>
        <w:trPr>
          <w:trHeight w:val="207"/>
        </w:trPr>
        <w:tc>
          <w:tcPr>
            <w:tcW w:w="6220" w:type="dxa"/>
            <w:vAlign w:val="bottom"/>
          </w:tcPr>
          <w:p>
            <w:pPr>
              <w:jc w:val="center"/>
              <w:ind w:left="2071"/>
              <w:spacing w:after="0"/>
              <w:rPr>
                <w:sz w:val="20"/>
                <w:szCs w:val="20"/>
                <w:color w:val="auto"/>
              </w:rPr>
            </w:pPr>
            <w:r>
              <w:rPr>
                <w:rFonts w:ascii="Arial" w:cs="Arial" w:eastAsia="Arial" w:hAnsi="Arial"/>
                <w:sz w:val="18"/>
                <w:szCs w:val="18"/>
                <w:color w:val="auto"/>
                <w:w w:val="89"/>
              </w:rPr>
              <w:t>______________________________________</w:t>
            </w:r>
          </w:p>
        </w:tc>
        <w:tc>
          <w:tcPr>
            <w:tcW w:w="1460" w:type="dxa"/>
            <w:vAlign w:val="bottom"/>
          </w:tcPr>
          <w:p>
            <w:pPr>
              <w:spacing w:after="0"/>
              <w:rPr>
                <w:sz w:val="18"/>
                <w:szCs w:val="18"/>
                <w:color w:val="auto"/>
              </w:rPr>
            </w:pPr>
          </w:p>
        </w:tc>
      </w:tr>
      <w:tr>
        <w:trPr>
          <w:trHeight w:val="329"/>
        </w:trPr>
        <w:tc>
          <w:tcPr>
            <w:tcW w:w="6220" w:type="dxa"/>
            <w:vAlign w:val="bottom"/>
          </w:tcPr>
          <w:p>
            <w:pPr>
              <w:jc w:val="center"/>
              <w:ind w:left="2111"/>
              <w:spacing w:after="0"/>
              <w:rPr>
                <w:sz w:val="20"/>
                <w:szCs w:val="20"/>
                <w:color w:val="auto"/>
              </w:rPr>
            </w:pPr>
            <w:r>
              <w:rPr>
                <w:rFonts w:ascii="Arial" w:cs="Arial" w:eastAsia="Arial" w:hAnsi="Arial"/>
                <w:sz w:val="25"/>
                <w:szCs w:val="25"/>
                <w:b w:val="1"/>
                <w:bCs w:val="1"/>
                <w:color w:val="auto"/>
              </w:rPr>
              <w:t>FORTINET, INC.</w:t>
            </w:r>
          </w:p>
        </w:tc>
        <w:tc>
          <w:tcPr>
            <w:tcW w:w="1460" w:type="dxa"/>
            <w:vAlign w:val="bottom"/>
          </w:tcPr>
          <w:p>
            <w:pPr>
              <w:spacing w:after="0"/>
              <w:rPr>
                <w:sz w:val="24"/>
                <w:szCs w:val="24"/>
                <w:color w:val="auto"/>
              </w:rPr>
            </w:pPr>
          </w:p>
        </w:tc>
      </w:tr>
      <w:tr>
        <w:trPr>
          <w:trHeight w:val="198"/>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460" w:type="dxa"/>
            <w:vAlign w:val="bottom"/>
          </w:tcPr>
          <w:p>
            <w:pPr>
              <w:spacing w:after="0"/>
              <w:rPr>
                <w:sz w:val="17"/>
                <w:szCs w:val="17"/>
                <w:color w:val="auto"/>
              </w:rPr>
            </w:pPr>
          </w:p>
        </w:tc>
      </w:tr>
      <w:tr>
        <w:trPr>
          <w:trHeight w:val="206"/>
        </w:trPr>
        <w:tc>
          <w:tcPr>
            <w:tcW w:w="6220" w:type="dxa"/>
            <w:vAlign w:val="bottom"/>
          </w:tcPr>
          <w:p>
            <w:pPr>
              <w:jc w:val="center"/>
              <w:ind w:left="2091"/>
              <w:spacing w:after="0"/>
              <w:rPr>
                <w:sz w:val="20"/>
                <w:szCs w:val="20"/>
                <w:color w:val="auto"/>
              </w:rPr>
            </w:pPr>
            <w:r>
              <w:rPr>
                <w:rFonts w:ascii="Arial" w:cs="Arial" w:eastAsia="Arial" w:hAnsi="Arial"/>
                <w:sz w:val="16"/>
                <w:szCs w:val="16"/>
                <w:color w:val="auto"/>
                <w:w w:val="91"/>
              </w:rPr>
              <w:t>______________________________________</w:t>
            </w:r>
          </w:p>
        </w:tc>
        <w:tc>
          <w:tcPr>
            <w:tcW w:w="1460" w:type="dxa"/>
            <w:vAlign w:val="bottom"/>
          </w:tcPr>
          <w:p>
            <w:pPr>
              <w:spacing w:after="0"/>
              <w:rPr>
                <w:sz w:val="17"/>
                <w:szCs w:val="17"/>
                <w:color w:val="auto"/>
              </w:rPr>
            </w:pPr>
          </w:p>
        </w:tc>
      </w:tr>
      <w:tr>
        <w:trPr>
          <w:trHeight w:val="587"/>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Delaware</w:t>
            </w:r>
          </w:p>
        </w:tc>
        <w:tc>
          <w:tcPr>
            <w:tcW w:w="146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220" w:type="dxa"/>
            <w:vAlign w:val="bottom"/>
          </w:tcPr>
          <w:p>
            <w:pPr>
              <w:jc w:val="center"/>
              <w:ind w:right="3431"/>
              <w:spacing w:after="0"/>
              <w:rPr>
                <w:sz w:val="20"/>
                <w:szCs w:val="20"/>
                <w:color w:val="auto"/>
              </w:rPr>
            </w:pPr>
            <w:r>
              <w:rPr>
                <w:rFonts w:ascii="Arial" w:cs="Arial" w:eastAsia="Arial" w:hAnsi="Arial"/>
                <w:sz w:val="16"/>
                <w:szCs w:val="16"/>
                <w:b w:val="1"/>
                <w:bCs w:val="1"/>
                <w:color w:val="auto"/>
                <w:w w:val="91"/>
              </w:rPr>
              <w:t>(State or other jurisdiction of</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92"/>
              </w:rPr>
              <w:t>incorporation or organization)</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220" w:type="dxa"/>
            <w:vAlign w:val="bottom"/>
          </w:tcPr>
          <w:p>
            <w:pPr>
              <w:jc w:val="center"/>
              <w:ind w:right="3431"/>
              <w:spacing w:after="0"/>
              <w:rPr>
                <w:sz w:val="20"/>
                <w:szCs w:val="20"/>
                <w:color w:val="auto"/>
              </w:rPr>
            </w:pPr>
            <w:r>
              <w:rPr>
                <w:rFonts w:ascii="Arial" w:cs="Arial" w:eastAsia="Arial" w:hAnsi="Arial"/>
                <w:sz w:val="18"/>
                <w:szCs w:val="18"/>
                <w:b w:val="1"/>
                <w:bCs w:val="1"/>
                <w:color w:val="auto"/>
                <w:w w:val="93"/>
              </w:rPr>
              <w:t>899 Kifer Road</w:t>
            </w:r>
          </w:p>
        </w:tc>
        <w:tc>
          <w:tcPr>
            <w:tcW w:w="1460" w:type="dxa"/>
            <w:vAlign w:val="bottom"/>
          </w:tcPr>
          <w:p>
            <w:pPr>
              <w:spacing w:after="0"/>
              <w:rPr>
                <w:sz w:val="24"/>
                <w:szCs w:val="24"/>
                <w:color w:val="auto"/>
              </w:rPr>
            </w:pPr>
          </w:p>
        </w:tc>
      </w:tr>
      <w:tr>
        <w:trPr>
          <w:trHeight w:val="234"/>
        </w:trPr>
        <w:tc>
          <w:tcPr>
            <w:tcW w:w="6220" w:type="dxa"/>
            <w:vAlign w:val="bottom"/>
          </w:tcPr>
          <w:p>
            <w:pPr>
              <w:jc w:val="center"/>
              <w:ind w:right="3451"/>
              <w:spacing w:after="0"/>
              <w:rPr>
                <w:sz w:val="20"/>
                <w:szCs w:val="20"/>
                <w:color w:val="auto"/>
              </w:rPr>
            </w:pPr>
            <w:r>
              <w:rPr>
                <w:rFonts w:ascii="Arial" w:cs="Arial" w:eastAsia="Arial" w:hAnsi="Arial"/>
                <w:sz w:val="18"/>
                <w:szCs w:val="18"/>
                <w:b w:val="1"/>
                <w:bCs w:val="1"/>
                <w:color w:val="auto"/>
                <w:w w:val="91"/>
              </w:rPr>
              <w:t>Sunnyvale, California</w:t>
            </w:r>
          </w:p>
        </w:tc>
        <w:tc>
          <w:tcPr>
            <w:tcW w:w="146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220" w:type="dxa"/>
            <w:vAlign w:val="bottom"/>
          </w:tcPr>
          <w:p>
            <w:pPr>
              <w:jc w:val="center"/>
              <w:ind w:right="3451"/>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460" w:type="dxa"/>
            <w:vAlign w:val="bottom"/>
          </w:tcPr>
          <w:p>
            <w:pPr>
              <w:jc w:val="center"/>
              <w:ind w:left="11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220" w:type="dxa"/>
            <w:vAlign w:val="bottom"/>
          </w:tcPr>
          <w:p>
            <w:pPr>
              <w:jc w:val="center"/>
              <w:ind w:left="2091"/>
              <w:spacing w:after="0"/>
              <w:rPr>
                <w:sz w:val="20"/>
                <w:szCs w:val="20"/>
                <w:color w:val="auto"/>
              </w:rPr>
            </w:pPr>
            <w:r>
              <w:rPr>
                <w:rFonts w:ascii="Arial" w:cs="Arial" w:eastAsia="Arial" w:hAnsi="Arial"/>
                <w:sz w:val="18"/>
                <w:szCs w:val="18"/>
                <w:b w:val="1"/>
                <w:bCs w:val="1"/>
                <w:color w:val="auto"/>
                <w:w w:val="90"/>
              </w:rPr>
              <w:t>(408) 235-7700</w:t>
            </w:r>
          </w:p>
        </w:tc>
        <w:tc>
          <w:tcPr>
            <w:tcW w:w="1460" w:type="dxa"/>
            <w:vAlign w:val="bottom"/>
          </w:tcPr>
          <w:p>
            <w:pPr>
              <w:spacing w:after="0"/>
              <w:rPr>
                <w:sz w:val="20"/>
                <w:szCs w:val="20"/>
                <w:color w:val="auto"/>
              </w:rPr>
            </w:pPr>
          </w:p>
        </w:tc>
      </w:tr>
      <w:tr>
        <w:trPr>
          <w:trHeight w:val="210"/>
        </w:trPr>
        <w:tc>
          <w:tcPr>
            <w:tcW w:w="6220" w:type="dxa"/>
            <w:vAlign w:val="bottom"/>
          </w:tcPr>
          <w:p>
            <w:pPr>
              <w:jc w:val="center"/>
              <w:ind w:left="2071"/>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460" w:type="dxa"/>
            <w:vAlign w:val="bottom"/>
          </w:tcPr>
          <w:p>
            <w:pPr>
              <w:spacing w:after="0"/>
              <w:rPr>
                <w:sz w:val="18"/>
                <w:szCs w:val="18"/>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7" w:lineRule="exact"/>
        <w:rPr>
          <w:sz w:val="24"/>
          <w:szCs w:val="24"/>
          <w:color w:val="auto"/>
        </w:rPr>
      </w:pPr>
    </w:p>
    <w:p>
      <w:pPr>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x</w:t>
            </w:r>
          </w:p>
        </w:tc>
        <w:tc>
          <w:tcPr>
            <w:tcW w:w="5020" w:type="dxa"/>
            <w:vAlign w:val="bottom"/>
          </w:tcPr>
          <w:p>
            <w:pPr>
              <w:ind w:left="27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5020" w:type="dxa"/>
            <w:vAlign w:val="bottom"/>
          </w:tcPr>
          <w:p>
            <w:pPr>
              <w:ind w:left="270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340" w:type="dxa"/>
            <w:vAlign w:val="bottom"/>
          </w:tcPr>
          <w:p>
            <w:pPr>
              <w:ind w:left="540"/>
              <w:spacing w:after="0"/>
              <w:rPr>
                <w:sz w:val="20"/>
                <w:szCs w:val="20"/>
                <w:color w:val="auto"/>
              </w:rPr>
            </w:pPr>
            <w:r>
              <w:rPr>
                <w:rFonts w:ascii="Arial" w:cs="Arial" w:eastAsia="Arial" w:hAnsi="Arial"/>
                <w:sz w:val="18"/>
                <w:szCs w:val="18"/>
                <w:color w:val="auto"/>
              </w:rPr>
              <w:t>o</w:t>
            </w:r>
          </w:p>
        </w:tc>
        <w:tc>
          <w:tcPr>
            <w:tcW w:w="5020" w:type="dxa"/>
            <w:vAlign w:val="bottom"/>
          </w:tcPr>
          <w:p>
            <w:pPr>
              <w:ind w:left="27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o</w:t>
            </w:r>
          </w:p>
        </w:tc>
      </w:tr>
    </w:tbl>
    <w:p>
      <w:pPr>
        <w:sectPr>
          <w:pgSz w:w="11900" w:h="16838" w:orient="portrait"/>
          <w:cols w:equalWidth="0" w:num="1">
            <w:col w:w="11380"/>
          </w:cols>
          <w:pgMar w:left="240" w:top="229" w:right="27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40"/>
          </w:cols>
          <w:pgMar w:left="240" w:top="121" w:right="319" w:bottom="1440" w:gutter="0" w:footer="0" w:header="0"/>
        </w:sectPr>
      </w:pPr>
    </w:p>
    <w:p>
      <w:pPr>
        <w:spacing w:after="0" w:line="11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Yes o</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x</w:t>
      </w:r>
    </w:p>
    <w:p>
      <w:pPr>
        <w:spacing w:after="0" w:line="117" w:lineRule="exact"/>
        <w:rPr>
          <w:sz w:val="20"/>
          <w:szCs w:val="20"/>
          <w:color w:val="auto"/>
        </w:rPr>
      </w:pPr>
    </w:p>
    <w:p>
      <w:pPr>
        <w:sectPr>
          <w:pgSz w:w="11900" w:h="16838" w:orient="portrait"/>
          <w:cols w:equalWidth="0" w:num="3">
            <w:col w:w="7700" w:space="180"/>
            <w:col w:w="440" w:space="220"/>
            <w:col w:w="2800"/>
          </w:cols>
          <w:pgMar w:left="240" w:top="121" w:right="319" w:bottom="1440" w:gutter="0" w:footer="0" w:header="0"/>
          <w:type w:val="continuous"/>
        </w:sectPr>
      </w:pPr>
    </w:p>
    <w:p>
      <w:pPr>
        <w:spacing w:after="0"/>
        <w:rPr>
          <w:sz w:val="20"/>
          <w:szCs w:val="20"/>
          <w:color w:val="auto"/>
        </w:rPr>
      </w:pPr>
      <w:r>
        <w:rPr>
          <w:rFonts w:ascii="Arial" w:cs="Arial" w:eastAsia="Arial" w:hAnsi="Arial"/>
          <w:sz w:val="16"/>
          <w:szCs w:val="16"/>
          <w:color w:val="auto"/>
        </w:rPr>
        <w:t>Securities registered pursuant to Section 12(b) of the Exchange Act:</w:t>
      </w:r>
    </w:p>
    <w:p>
      <w:pPr>
        <w:sectPr>
          <w:pgSz w:w="11900" w:h="16838" w:orient="portrait"/>
          <w:cols w:equalWidth="0" w:num="1">
            <w:col w:w="11340"/>
          </w:cols>
          <w:pgMar w:left="240" w:top="121" w:right="319" w:bottom="1440" w:gutter="0" w:footer="0" w:header="0"/>
          <w:type w:val="continuous"/>
        </w:sectPr>
      </w:pPr>
    </w:p>
    <w:p>
      <w:pPr>
        <w:spacing w:after="0" w:line="29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Common Stock, $0.001 Par Value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ind w:right="1720"/>
        <w:spacing w:after="0"/>
        <w:rPr>
          <w:sz w:val="20"/>
          <w:szCs w:val="20"/>
          <w:color w:val="auto"/>
        </w:rPr>
      </w:pPr>
      <w:r>
        <w:rPr>
          <w:rFonts w:ascii="Arial" w:cs="Arial" w:eastAsia="Arial" w:hAnsi="Arial"/>
          <w:sz w:val="16"/>
          <w:szCs w:val="16"/>
          <w:b w:val="1"/>
          <w:bCs w:val="1"/>
          <w:color w:val="auto"/>
        </w:rPr>
        <w:t>FTNT</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91" w:lineRule="exact"/>
        <w:rPr>
          <w:sz w:val="20"/>
          <w:szCs w:val="20"/>
          <w:color w:val="auto"/>
        </w:rPr>
      </w:pPr>
    </w:p>
    <w:p>
      <w:pPr>
        <w:sectPr>
          <w:pgSz w:w="11900" w:h="16838" w:orient="portrait"/>
          <w:cols w:equalWidth="0" w:num="3">
            <w:col w:w="4740" w:space="720"/>
            <w:col w:w="2140" w:space="720"/>
            <w:col w:w="3020"/>
          </w:cols>
          <w:pgMar w:left="240" w:top="121" w:right="319" w:bottom="1440" w:gutter="0" w:footer="0" w:header="0"/>
          <w:type w:val="continuous"/>
        </w:sectPr>
      </w:pPr>
    </w:p>
    <w:p>
      <w:pPr>
        <w:ind w:left="11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(Name of exchange on which registered)</w:t>
      </w:r>
    </w:p>
    <w:p>
      <w:pPr>
        <w:spacing w:after="0" w:line="213" w:lineRule="exact"/>
        <w:rPr>
          <w:sz w:val="20"/>
          <w:szCs w:val="20"/>
          <w:color w:val="auto"/>
        </w:rPr>
      </w:pPr>
    </w:p>
    <w:p>
      <w:pPr>
        <w:sectPr>
          <w:pgSz w:w="11900" w:h="16838" w:orient="portrait"/>
          <w:cols w:equalWidth="0" w:num="3">
            <w:col w:w="4340" w:space="720"/>
            <w:col w:w="2380" w:space="720"/>
            <w:col w:w="3180"/>
          </w:cols>
          <w:pgMar w:left="240" w:top="121" w:right="319" w:bottom="1440" w:gutter="0" w:footer="0" w:header="0"/>
          <w:type w:val="continuous"/>
        </w:sectPr>
      </w:pPr>
    </w:p>
    <w:p>
      <w:pPr>
        <w:spacing w:after="0" w:line="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April 30, 2019, there were 170,760,612 shares of the registrant’s common stock outstanding.</w:t>
      </w:r>
    </w:p>
    <w:p>
      <w:pPr>
        <w:sectPr>
          <w:pgSz w:w="11900" w:h="16838" w:orient="portrait"/>
          <w:cols w:equalWidth="0" w:num="1">
            <w:col w:w="11340"/>
          </w:cols>
          <w:pgMar w:left="240" w:top="121" w:right="319" w:bottom="1440" w:gutter="0" w:footer="0" w:header="0"/>
          <w:type w:val="continuous"/>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2019</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20" w:type="dxa"/>
            <w:vAlign w:val="bottom"/>
            <w:gridSpan w:val="10"/>
            <w:vMerge w:val="restart"/>
          </w:tcPr>
          <w:p>
            <w:pPr>
              <w:jc w:val="center"/>
              <w:ind w:right="1780"/>
              <w:spacing w:after="0"/>
              <w:rPr>
                <w:sz w:val="20"/>
                <w:szCs w:val="20"/>
                <w:color w:val="auto"/>
              </w:rPr>
            </w:pPr>
            <w:r>
              <w:rPr>
                <w:rFonts w:ascii="Arial" w:cs="Arial" w:eastAsia="Arial" w:hAnsi="Arial"/>
                <w:sz w:val="18"/>
                <w:szCs w:val="18"/>
                <w:b w:val="1"/>
                <w:bCs w:val="1"/>
                <w:color w:val="auto"/>
              </w:rPr>
              <w:t>PART I</w:t>
            </w:r>
            <w:r>
              <w:rPr>
                <w:rFonts w:ascii="Arial" w:cs="Arial" w:eastAsia="Arial" w:hAnsi="Arial"/>
                <w:sz w:val="18"/>
                <w:szCs w:val="18"/>
                <w:color w:val="auto"/>
              </w:rPr>
              <w:t>—</w:t>
            </w: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20" w:type="dxa"/>
            <w:vAlign w:val="bottom"/>
            <w:gridSpan w:val="10"/>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Financial Statements</w:t>
              </w:r>
            </w:hyperlink>
          </w:p>
        </w:tc>
        <w:tc>
          <w:tcPr>
            <w:tcW w:w="8280" w:type="dxa"/>
            <w:vAlign w:val="bottom"/>
            <w:gridSpan w:val="11"/>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62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as of March 31, 2019 and December 31, 2018</w:t>
              </w:r>
            </w:hyperlink>
          </w:p>
        </w:tc>
        <w:tc>
          <w:tcPr>
            <w:tcW w:w="3500" w:type="dxa"/>
            <w:vAlign w:val="bottom"/>
            <w:gridSpan w:val="6"/>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Months Ended March 31,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Comprehensive Income for the Three Months Ended March 31, 2019 and 2018</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838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Statements of Stockholders’ Equity for the Three Months Ended March 31, 2019 and 2018</w:t>
              </w:r>
            </w:hyperlink>
          </w:p>
        </w:tc>
        <w:tc>
          <w:tcPr>
            <w:tcW w:w="180" w:type="dxa"/>
            <w:vAlign w:val="bottom"/>
            <w:tcBorders>
              <w:top w:val="single" w:sz="8" w:color="0000EE"/>
            </w:tcBorders>
          </w:tcPr>
          <w:p>
            <w:pPr>
              <w:spacing w:after="0"/>
              <w:rPr>
                <w:sz w:val="21"/>
                <w:szCs w:val="21"/>
                <w:color w:val="auto"/>
              </w:rPr>
            </w:pPr>
          </w:p>
        </w:tc>
        <w:tc>
          <w:tcPr>
            <w:tcW w:w="12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77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for the Three Months Ended March 31, 2019 and 2018</w:t>
              </w:r>
            </w:hyperlink>
          </w:p>
        </w:tc>
        <w:tc>
          <w:tcPr>
            <w:tcW w:w="208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978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Management’s Discussion and Analysis of Financial Condition and Results of Operations</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332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548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20" w:type="dxa"/>
            <w:vAlign w:val="bottom"/>
            <w:gridSpan w:val="10"/>
          </w:tcPr>
          <w:p>
            <w:pPr>
              <w:jc w:val="center"/>
              <w:ind w:right="1800"/>
              <w:spacing w:after="0"/>
              <w:rPr>
                <w:sz w:val="20"/>
                <w:szCs w:val="20"/>
                <w:color w:val="auto"/>
              </w:rPr>
            </w:pPr>
            <w:r>
              <w:rPr>
                <w:rFonts w:ascii="Arial" w:cs="Arial" w:eastAsia="Arial" w:hAnsi="Arial"/>
                <w:sz w:val="18"/>
                <w:szCs w:val="18"/>
                <w:b w:val="1"/>
                <w:bCs w:val="1"/>
                <w:color w:val="auto"/>
              </w:rPr>
              <w:t>PART II—OTHER INFORMATION</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Risk Factors</w:t>
              </w:r>
            </w:hyperlink>
          </w:p>
        </w:tc>
        <w:tc>
          <w:tcPr>
            <w:tcW w:w="420" w:type="dxa"/>
            <w:vAlign w:val="bottom"/>
            <w:gridSpan w:val="2"/>
          </w:tcPr>
          <w:p>
            <w:pPr>
              <w:spacing w:after="0"/>
              <w:rPr>
                <w:sz w:val="21"/>
                <w:szCs w:val="21"/>
                <w:color w:val="auto"/>
              </w:rPr>
            </w:pPr>
          </w:p>
        </w:tc>
        <w:tc>
          <w:tcPr>
            <w:tcW w:w="8460" w:type="dxa"/>
            <w:vAlign w:val="bottom"/>
            <w:gridSpan w:val="1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360" w:type="dxa"/>
            <w:vAlign w:val="bottom"/>
            <w:gridSpan w:val="6"/>
            <w:shd w:val="clear" w:color="auto" w:fill="0000EE"/>
          </w:tcPr>
          <w:p>
            <w:pPr>
              <w:spacing w:after="0" w:line="20" w:lineRule="exact"/>
              <w:rPr>
                <w:sz w:val="1"/>
                <w:szCs w:val="1"/>
                <w:color w:val="auto"/>
              </w:rPr>
            </w:pPr>
          </w:p>
        </w:tc>
        <w:tc>
          <w:tcPr>
            <w:tcW w:w="54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Exhibits</w:t>
              </w:r>
            </w:hyperlink>
          </w:p>
        </w:tc>
        <w:tc>
          <w:tcPr>
            <w:tcW w:w="3740" w:type="dxa"/>
            <w:vAlign w:val="bottom"/>
            <w:gridSpan w:val="9"/>
          </w:tcPr>
          <w:p>
            <w:pPr>
              <w:spacing w:after="0"/>
              <w:rPr>
                <w:sz w:val="21"/>
                <w:szCs w:val="21"/>
                <w:color w:val="auto"/>
              </w:rPr>
            </w:pPr>
          </w:p>
        </w:tc>
        <w:tc>
          <w:tcPr>
            <w:tcW w:w="544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5">
              <w:r>
                <w:rPr>
                  <w:rFonts w:ascii="Arial" w:cs="Arial" w:eastAsia="Arial" w:hAnsi="Arial"/>
                  <w:sz w:val="18"/>
                  <w:szCs w:val="18"/>
                  <w:color w:val="0000EE"/>
                </w:rPr>
                <w:t>62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80" w:type="dxa"/>
            <w:vAlign w:val="bottom"/>
            <w:gridSpan w:val="4"/>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Exhibit Index</w:t>
              </w:r>
            </w:hyperlink>
          </w:p>
        </w:tc>
        <w:tc>
          <w:tcPr>
            <w:tcW w:w="880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2"/>
          </w:tcPr>
          <w:p>
            <w:pPr>
              <w:spacing w:after="0"/>
              <w:rPr>
                <w:rFonts w:ascii="Arial" w:cs="Arial" w:eastAsia="Arial" w:hAnsi="Arial"/>
                <w:sz w:val="18"/>
                <w:szCs w:val="18"/>
                <w:color w:val="0000EE"/>
                <w:w w:val="85"/>
              </w:rPr>
            </w:pPr>
            <w:hyperlink w:anchor="page67">
              <w:r>
                <w:rPr>
                  <w:rFonts w:ascii="Arial" w:cs="Arial" w:eastAsia="Arial" w:hAnsi="Arial"/>
                  <w:sz w:val="18"/>
                  <w:szCs w:val="18"/>
                  <w:color w:val="0000EE"/>
                  <w:w w:val="85"/>
                </w:rPr>
                <w:t>Signatures</w:t>
              </w:r>
            </w:hyperlink>
          </w:p>
        </w:tc>
        <w:tc>
          <w:tcPr>
            <w:tcW w:w="220" w:type="dxa"/>
            <w:vAlign w:val="bottom"/>
            <w:gridSpan w:val="2"/>
          </w:tcPr>
          <w:p>
            <w:pPr>
              <w:spacing w:after="0"/>
              <w:rPr>
                <w:sz w:val="21"/>
                <w:szCs w:val="21"/>
                <w:color w:val="auto"/>
              </w:rPr>
            </w:pPr>
          </w:p>
        </w:tc>
        <w:tc>
          <w:tcPr>
            <w:tcW w:w="880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rPr>
              <w:t>PART I—FINANCIAL INFORMATION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20" w:type="dxa"/>
            <w:vAlign w:val="bottom"/>
          </w:tcPr>
          <w:p>
            <w:pPr>
              <w:ind w:left="480"/>
              <w:spacing w:after="0"/>
              <w:rPr>
                <w:sz w:val="20"/>
                <w:szCs w:val="20"/>
                <w:color w:val="auto"/>
              </w:rPr>
            </w:pPr>
            <w:r>
              <w:rPr>
                <w:rFonts w:ascii="Arial" w:cs="Arial" w:eastAsia="Arial" w:hAnsi="Arial"/>
                <w:sz w:val="18"/>
                <w:szCs w:val="18"/>
                <w:b w:val="1"/>
                <w:bCs w:val="1"/>
                <w:color w:val="auto"/>
              </w:rPr>
              <w:t>Financial Statements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rPr>
              <w:t>FORTINET, INC.</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9"/>
        </w:trPr>
        <w:tc>
          <w:tcPr>
            <w:tcW w:w="820" w:type="dxa"/>
            <w:vAlign w:val="bottom"/>
          </w:tcPr>
          <w:p>
            <w:pPr>
              <w:spacing w:after="0"/>
              <w:rPr>
                <w:sz w:val="24"/>
                <w:szCs w:val="24"/>
                <w:color w:val="auto"/>
              </w:rPr>
            </w:pPr>
          </w:p>
        </w:tc>
        <w:tc>
          <w:tcPr>
            <w:tcW w:w="7520" w:type="dxa"/>
            <w:vAlign w:val="bottom"/>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820" w:type="dxa"/>
            <w:vAlign w:val="bottom"/>
          </w:tcPr>
          <w:p>
            <w:pPr>
              <w:spacing w:after="0"/>
              <w:rPr>
                <w:sz w:val="20"/>
                <w:szCs w:val="20"/>
                <w:color w:val="auto"/>
              </w:rPr>
            </w:pPr>
          </w:p>
        </w:tc>
        <w:tc>
          <w:tcPr>
            <w:tcW w:w="7520" w:type="dxa"/>
            <w:vAlign w:val="bottom"/>
          </w:tcPr>
          <w:p>
            <w:pPr>
              <w:jc w:val="center"/>
              <w:ind w:left="2190"/>
              <w:spacing w:after="0"/>
              <w:rPr>
                <w:sz w:val="20"/>
                <w:szCs w:val="20"/>
                <w:color w:val="auto"/>
              </w:rPr>
            </w:pPr>
            <w:r>
              <w:rPr>
                <w:rFonts w:ascii="Arial" w:cs="Arial" w:eastAsia="Arial" w:hAnsi="Arial"/>
                <w:sz w:val="18"/>
                <w:szCs w:val="18"/>
                <w:b w:val="1"/>
                <w:bCs w:val="1"/>
                <w:color w:val="auto"/>
                <w:w w:val="89"/>
              </w:rPr>
              <w:t>(unaudited, in millions, except per share amounts)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24"/>
                <w:szCs w:val="24"/>
                <w:color w:val="auto"/>
              </w:rPr>
            </w:pPr>
          </w:p>
        </w:tc>
        <w:tc>
          <w:tcPr>
            <w:tcW w:w="1300" w:type="dxa"/>
            <w:vAlign w:val="bottom"/>
          </w:tcPr>
          <w:p>
            <w:pPr>
              <w:jc w:val="right"/>
              <w:ind w:right="191"/>
              <w:spacing w:after="0"/>
              <w:rPr>
                <w:sz w:val="20"/>
                <w:szCs w:val="20"/>
                <w:color w:val="auto"/>
              </w:rPr>
            </w:pPr>
            <w:r>
              <w:rPr>
                <w:rFonts w:ascii="Arial" w:cs="Arial" w:eastAsia="Arial" w:hAnsi="Arial"/>
                <w:sz w:val="16"/>
                <w:szCs w:val="16"/>
                <w:b w:val="1"/>
                <w:bCs w:val="1"/>
                <w:color w:val="auto"/>
                <w:w w:val="96"/>
              </w:rPr>
              <w:t>December 31,</w:t>
            </w:r>
          </w:p>
        </w:tc>
      </w:tr>
      <w:tr>
        <w:trPr>
          <w:trHeight w:val="210"/>
        </w:trPr>
        <w:tc>
          <w:tcPr>
            <w:tcW w:w="8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5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537.2</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444.5</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90.0</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2,220.9</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271.4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CONTRACT COSTS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255.0</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ASSETS—NET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r>
      <w:tr>
        <w:trPr>
          <w:trHeight w:val="297"/>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3,205.7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98.4</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28.2</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965.9</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1,256.4</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LIABILITIES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r>
      <w:tr>
        <w:trPr>
          <w:trHeight w:val="237"/>
        </w:trPr>
        <w:tc>
          <w:tcPr>
            <w:tcW w:w="82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2,067.8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83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Common stock, $0.001 par value—300 shares authorized; 170.7 and 169.8 shares issued and outstanding at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March 31, 2019 and December 31, 2018,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1,108.1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1,068.3</w:t>
            </w:r>
          </w:p>
        </w:tc>
      </w:tr>
      <w:tr>
        <w:trPr>
          <w:trHeight w:val="27"/>
        </w:trPr>
        <w:tc>
          <w:tcPr>
            <w:tcW w:w="8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34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820" w:type="dxa"/>
            <w:vAlign w:val="bottom"/>
            <w:tcBorders>
              <w:bottom w:val="single" w:sz="8" w:color="CCEEFF"/>
            </w:tcBorders>
          </w:tcPr>
          <w:p>
            <w:pPr>
              <w:spacing w:after="0"/>
              <w:rPr>
                <w:sz w:val="2"/>
                <w:szCs w:val="2"/>
                <w:color w:val="auto"/>
              </w:rPr>
            </w:pPr>
          </w:p>
        </w:tc>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0" w:type="dxa"/>
            <w:vAlign w:val="bottom"/>
            <w:tcBorders>
              <w:bottom w:val="single" w:sz="8" w:color="CCEEFF"/>
            </w:tcBorders>
            <w:shd w:val="clear" w:color="auto" w:fill="CCEEFF"/>
          </w:tcPr>
          <w:p>
            <w:pPr>
              <w:spacing w:after="0"/>
              <w:rPr>
                <w:sz w:val="22"/>
                <w:szCs w:val="22"/>
                <w:color w:val="auto"/>
              </w:rPr>
            </w:pPr>
          </w:p>
        </w:tc>
        <w:tc>
          <w:tcPr>
            <w:tcW w:w="7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1,010.2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3,205.7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3,078.0</w:t>
            </w:r>
          </w:p>
        </w:tc>
      </w:tr>
      <w:tr>
        <w:trPr>
          <w:trHeight w:val="20"/>
        </w:trPr>
        <w:tc>
          <w:tcPr>
            <w:tcW w:w="8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7"/>
        </w:trPr>
        <w:tc>
          <w:tcPr>
            <w:tcW w:w="8340" w:type="dxa"/>
            <w:vAlign w:val="bottom"/>
          </w:tcPr>
          <w:p>
            <w:pPr>
              <w:ind w:left="92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 (Note 9):</w:t>
            </w: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unrealized gains (losses) on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Tax provision related to change in unrealized gains (losses) on investments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40.4</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40" w:type="dxa"/>
            <w:vAlign w:val="bottom"/>
            <w:gridSpan w:val="9"/>
          </w:tcPr>
          <w:p>
            <w:pPr>
              <w:ind w:left="40"/>
              <w:spacing w:after="0"/>
              <w:rPr>
                <w:sz w:val="20"/>
                <w:szCs w:val="20"/>
                <w:color w:val="auto"/>
              </w:rPr>
            </w:pPr>
            <w:r>
              <w:rPr>
                <w:rFonts w:ascii="Arial" w:cs="Arial" w:eastAsia="Arial" w:hAnsi="Arial"/>
                <w:sz w:val="16"/>
                <w:szCs w:val="16"/>
                <w:b w:val="1"/>
                <w:bCs w:val="1"/>
                <w:color w:val="auto"/>
                <w:w w:val="96"/>
              </w:rPr>
              <w:t>Three Months Ended March 31, 2019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40" w:type="dxa"/>
            <w:vAlign w:val="bottom"/>
            <w:gridSpan w:val="4"/>
            <w:vMerge w:val="restart"/>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2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1,010.2</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Cumulative-effect adjustment from adoption of ASU 2018-</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02</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BALANCE—March 31, 2019</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1,108.1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40" w:type="dxa"/>
            <w:vAlign w:val="bottom"/>
            <w:gridSpan w:val="9"/>
          </w:tcPr>
          <w:p>
            <w:pPr>
              <w:ind w:left="40"/>
              <w:spacing w:after="0"/>
              <w:rPr>
                <w:sz w:val="20"/>
                <w:szCs w:val="20"/>
                <w:color w:val="auto"/>
              </w:rPr>
            </w:pPr>
            <w:r>
              <w:rPr>
                <w:rFonts w:ascii="Arial" w:cs="Arial" w:eastAsia="Arial" w:hAnsi="Arial"/>
                <w:sz w:val="16"/>
                <w:szCs w:val="16"/>
                <w:b w:val="1"/>
                <w:bCs w:val="1"/>
                <w:color w:val="auto"/>
                <w:w w:val="96"/>
              </w:rPr>
              <w:t>Three Months Ended March 31, 2018</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040" w:type="dxa"/>
            <w:vAlign w:val="bottom"/>
            <w:gridSpan w:val="4"/>
            <w:vMerge w:val="restart"/>
          </w:tcPr>
          <w:p>
            <w:pPr>
              <w:jc w:val="right"/>
              <w:ind w:right="351"/>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Accumulated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040" w:type="dxa"/>
            <w:vAlign w:val="bottom"/>
            <w:tcBorders>
              <w:bottom w:val="single" w:sz="8" w:color="auto"/>
            </w:tcBorders>
            <w:gridSpan w:val="4"/>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2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82"/>
        </w:trPr>
        <w:tc>
          <w:tcPr>
            <w:tcW w:w="4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line="182" w:lineRule="exact"/>
              <w:rPr>
                <w:sz w:val="20"/>
                <w:szCs w:val="20"/>
                <w:color w:val="auto"/>
              </w:rPr>
            </w:pPr>
            <w:r>
              <w:rPr>
                <w:rFonts w:ascii="Arial" w:cs="Arial" w:eastAsia="Arial" w:hAnsi="Arial"/>
                <w:sz w:val="16"/>
                <w:szCs w:val="16"/>
                <w:b w:val="1"/>
                <w:bCs w:val="1"/>
                <w:color w:val="auto"/>
                <w:w w:val="97"/>
              </w:rPr>
              <w:t>Paid-In</w:t>
            </w:r>
          </w:p>
        </w:tc>
        <w:tc>
          <w:tcPr>
            <w:tcW w:w="1240" w:type="dxa"/>
            <w:vAlign w:val="bottom"/>
            <w:gridSpan w:val="3"/>
          </w:tcPr>
          <w:p>
            <w:pPr>
              <w:jc w:val="center"/>
              <w:ind w:right="80"/>
              <w:spacing w:after="0" w:line="182" w:lineRule="exact"/>
              <w:rPr>
                <w:sz w:val="20"/>
                <w:szCs w:val="20"/>
                <w:color w:val="auto"/>
              </w:rPr>
            </w:pPr>
            <w:r>
              <w:rPr>
                <w:rFonts w:ascii="Arial" w:cs="Arial" w:eastAsia="Arial" w:hAnsi="Arial"/>
                <w:sz w:val="16"/>
                <w:szCs w:val="16"/>
                <w:b w:val="1"/>
                <w:bCs w:val="1"/>
                <w:color w:val="auto"/>
                <w:w w:val="89"/>
              </w:rPr>
              <w:t>Comprehensive</w:t>
            </w:r>
          </w:p>
        </w:tc>
        <w:tc>
          <w:tcPr>
            <w:tcW w:w="1120" w:type="dxa"/>
            <w:vAlign w:val="bottom"/>
            <w:gridSpan w:val="3"/>
          </w:tcPr>
          <w:p>
            <w:pPr>
              <w:ind w:left="40"/>
              <w:spacing w:after="0" w:line="182" w:lineRule="exact"/>
              <w:rPr>
                <w:sz w:val="20"/>
                <w:szCs w:val="20"/>
                <w:color w:val="auto"/>
              </w:rPr>
            </w:pPr>
            <w:r>
              <w:rPr>
                <w:rFonts w:ascii="Arial" w:cs="Arial" w:eastAsia="Arial" w:hAnsi="Arial"/>
                <w:sz w:val="16"/>
                <w:szCs w:val="16"/>
                <w:b w:val="1"/>
                <w:bCs w:val="1"/>
                <w:color w:val="auto"/>
              </w:rPr>
              <w:t>Accumulated</w:t>
            </w:r>
          </w:p>
        </w:tc>
        <w:tc>
          <w:tcPr>
            <w:tcW w:w="1020" w:type="dxa"/>
            <w:vAlign w:val="bottom"/>
            <w:gridSpan w:val="2"/>
          </w:tcPr>
          <w:p>
            <w:pPr>
              <w:ind w:left="20"/>
              <w:spacing w:after="0" w:line="182" w:lineRule="exact"/>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Capital</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0"/>
              </w:rPr>
              <w:t>Loss</w:t>
            </w:r>
          </w:p>
        </w:tc>
        <w:tc>
          <w:tcPr>
            <w:tcW w:w="200" w:type="dxa"/>
            <w:vAlign w:val="bottom"/>
          </w:tcPr>
          <w:p>
            <w:pPr>
              <w:spacing w:after="0"/>
              <w:rPr>
                <w:sz w:val="18"/>
                <w:szCs w:val="18"/>
                <w:color w:val="auto"/>
              </w:rPr>
            </w:pPr>
          </w:p>
        </w:tc>
        <w:tc>
          <w:tcPr>
            <w:tcW w:w="920" w:type="dxa"/>
            <w:vAlign w:val="bottom"/>
            <w:gridSpan w:val="2"/>
          </w:tcPr>
          <w:p>
            <w:pPr>
              <w:ind w:left="80"/>
              <w:spacing w:after="0"/>
              <w:rPr>
                <w:sz w:val="20"/>
                <w:szCs w:val="20"/>
                <w:color w:val="auto"/>
              </w:rPr>
            </w:pPr>
            <w:r>
              <w:rPr>
                <w:rFonts w:ascii="Arial" w:cs="Arial" w:eastAsia="Arial" w:hAnsi="Arial"/>
                <w:sz w:val="16"/>
                <w:szCs w:val="16"/>
                <w:b w:val="1"/>
                <w:bCs w:val="1"/>
                <w:color w:val="auto"/>
              </w:rPr>
              <w:t>Deficit</w:t>
            </w:r>
          </w:p>
        </w:tc>
        <w:tc>
          <w:tcPr>
            <w:tcW w:w="2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3"/>
        </w:trPr>
        <w:tc>
          <w:tcPr>
            <w:tcW w:w="4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29"/>
        </w:trPr>
        <w:tc>
          <w:tcPr>
            <w:tcW w:w="4600" w:type="dxa"/>
            <w:vAlign w:val="bottom"/>
          </w:tcPr>
          <w:p>
            <w:pPr>
              <w:ind w:left="280"/>
              <w:spacing w:after="0"/>
              <w:rPr>
                <w:sz w:val="20"/>
                <w:szCs w:val="20"/>
                <w:color w:val="auto"/>
              </w:rPr>
            </w:pPr>
            <w:r>
              <w:rPr>
                <w:rFonts w:ascii="Arial" w:cs="Arial" w:eastAsia="Arial" w:hAnsi="Arial"/>
                <w:sz w:val="18"/>
                <w:szCs w:val="18"/>
                <w:color w:val="auto"/>
              </w:rPr>
              <w:t>Issuance of common stock in connection with equity</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280"/>
              <w:spacing w:after="0"/>
              <w:rPr>
                <w:sz w:val="20"/>
                <w:szCs w:val="20"/>
                <w:color w:val="auto"/>
              </w:rPr>
            </w:pPr>
            <w:r>
              <w:rPr>
                <w:rFonts w:ascii="Arial" w:cs="Arial" w:eastAsia="Arial" w:hAnsi="Arial"/>
                <w:sz w:val="18"/>
                <w:szCs w:val="18"/>
                <w:color w:val="auto"/>
              </w:rPr>
              <w:t>incentive plans - net of tax withholding</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 and retirement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Cumulative effect adjustments from adoption of Topic 606</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43"/>
        </w:trPr>
        <w:tc>
          <w:tcPr>
            <w:tcW w:w="4600" w:type="dxa"/>
            <w:vAlign w:val="bottom"/>
          </w:tcPr>
          <w:p>
            <w:pPr>
              <w:ind w:left="280"/>
              <w:spacing w:after="0"/>
              <w:rPr>
                <w:sz w:val="20"/>
                <w:szCs w:val="20"/>
                <w:color w:val="auto"/>
              </w:rPr>
            </w:pPr>
            <w:r>
              <w:rPr>
                <w:rFonts w:ascii="Arial" w:cs="Arial" w:eastAsia="Arial" w:hAnsi="Arial"/>
                <w:sz w:val="18"/>
                <w:szCs w:val="18"/>
                <w:color w:val="auto"/>
              </w:rPr>
              <w:t>Net unrealized gain on investments - net of tax</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7"/>
        </w:trPr>
        <w:tc>
          <w:tcPr>
            <w:tcW w:w="4600" w:type="dxa"/>
            <w:vAlign w:val="bottom"/>
          </w:tcPr>
          <w:p>
            <w:pPr>
              <w:ind w:left="40"/>
              <w:spacing w:after="0"/>
              <w:rPr>
                <w:sz w:val="20"/>
                <w:szCs w:val="20"/>
                <w:color w:val="auto"/>
              </w:rPr>
            </w:pPr>
            <w:r>
              <w:rPr>
                <w:rFonts w:ascii="Arial" w:cs="Arial" w:eastAsia="Arial" w:hAnsi="Arial"/>
                <w:sz w:val="18"/>
                <w:szCs w:val="18"/>
                <w:color w:val="auto"/>
              </w:rPr>
              <w:t>BALANCE—March 31, 2018</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957.9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20"/>
          </w:cols>
          <w:pgMar w:left="24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40" w:type="dxa"/>
            <w:vAlign w:val="bottom"/>
            <w:gridSpan w:val="4"/>
          </w:tcPr>
          <w:p>
            <w:pPr>
              <w:jc w:val="right"/>
              <w:ind w:right="608"/>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33"/>
        </w:trPr>
        <w:tc>
          <w:tcPr>
            <w:tcW w:w="8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8"/>
                <w:szCs w:val="18"/>
                <w:color w:val="auto"/>
              </w:rPr>
            </w:pPr>
          </w:p>
        </w:tc>
        <w:tc>
          <w:tcPr>
            <w:tcW w:w="1160" w:type="dxa"/>
            <w:vAlign w:val="bottom"/>
          </w:tcPr>
          <w:p>
            <w:pPr>
              <w:jc w:val="right"/>
              <w:ind w:right="268"/>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0"/>
        </w:trPr>
        <w:tc>
          <w:tcPr>
            <w:tcW w:w="8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46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448"/>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Stock-based compensation</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deferred contract costs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 net of accretion of purchase discounts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8580" w:type="dxa"/>
            <w:vAlign w:val="bottom"/>
          </w:tcPr>
          <w:p>
            <w:pPr>
              <w:ind w:left="9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contract costs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Accrued payroll and compensation</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liabilities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64"/>
        </w:trPr>
        <w:tc>
          <w:tcPr>
            <w:tcW w:w="8580" w:type="dxa"/>
            <w:vAlign w:val="bottom"/>
          </w:tcPr>
          <w:p>
            <w:pPr>
              <w:ind w:left="1460"/>
              <w:spacing w:after="0"/>
              <w:rPr>
                <w:sz w:val="20"/>
                <w:szCs w:val="20"/>
                <w:color w:val="auto"/>
              </w:rPr>
            </w:pPr>
            <w:r>
              <w:rPr>
                <w:rFonts w:ascii="Arial" w:cs="Arial" w:eastAsia="Arial" w:hAnsi="Arial"/>
                <w:sz w:val="14"/>
                <w:szCs w:val="14"/>
                <w:color w:val="auto"/>
              </w:rPr>
              <w:t>Deferred revenue</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79.0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(264.5)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(134.9)</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Sales of investments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Maturities of investments</w:t>
            </w:r>
          </w:p>
        </w:tc>
        <w:tc>
          <w:tcPr>
            <w:tcW w:w="200" w:type="dxa"/>
            <w:vAlign w:val="bottom"/>
          </w:tcPr>
          <w:p>
            <w:pPr>
              <w:spacing w:after="0"/>
              <w:rPr>
                <w:sz w:val="22"/>
                <w:szCs w:val="22"/>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227.6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104.7</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(39.0)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580" w:type="dxa"/>
            <w:vAlign w:val="bottom"/>
          </w:tcPr>
          <w:p>
            <w:pPr>
              <w:ind w:left="500"/>
              <w:spacing w:after="0"/>
              <w:rPr>
                <w:sz w:val="20"/>
                <w:szCs w:val="20"/>
                <w:color w:val="auto"/>
              </w:rPr>
            </w:pPr>
            <w:r>
              <w:rPr>
                <w:rFonts w:ascii="Arial" w:cs="Arial" w:eastAsia="Arial" w:hAnsi="Arial"/>
                <w:sz w:val="14"/>
                <w:szCs w:val="14"/>
                <w:color w:val="auto"/>
              </w:rPr>
              <w:t>Repurchase and retirement of common stock</w:t>
            </w:r>
          </w:p>
        </w:tc>
        <w:tc>
          <w:tcPr>
            <w:tcW w:w="200" w:type="dxa"/>
            <w:vAlign w:val="bottom"/>
          </w:tcPr>
          <w:p>
            <w:pPr>
              <w:spacing w:after="0"/>
              <w:rPr>
                <w:sz w:val="22"/>
                <w:szCs w:val="22"/>
                <w:color w:val="auto"/>
              </w:rPr>
            </w:pPr>
          </w:p>
        </w:tc>
        <w:tc>
          <w:tcPr>
            <w:tcW w:w="1180" w:type="dxa"/>
            <w:vAlign w:val="bottom"/>
          </w:tcPr>
          <w:p>
            <w:pPr>
              <w:jc w:val="right"/>
              <w:ind w:right="7"/>
              <w:spacing w:after="0"/>
              <w:rPr>
                <w:sz w:val="20"/>
                <w:szCs w:val="20"/>
                <w:color w:val="auto"/>
              </w:rPr>
            </w:pPr>
            <w:r>
              <w:rPr>
                <w:rFonts w:ascii="Arial" w:cs="Arial" w:eastAsia="Arial" w:hAnsi="Arial"/>
                <w:sz w:val="14"/>
                <w:szCs w:val="14"/>
                <w:color w:val="auto"/>
              </w:rPr>
              <w:t>(60.4)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76"/>
        </w:trPr>
        <w:tc>
          <w:tcPr>
            <w:tcW w:w="85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Taxes paid related to net share settlement of equity awards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50"/>
        </w:trPr>
        <w:tc>
          <w:tcPr>
            <w:tcW w:w="858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00" w:type="dxa"/>
            <w:vAlign w:val="bottom"/>
          </w:tcPr>
          <w:p>
            <w:pPr>
              <w:spacing w:after="0"/>
              <w:rPr>
                <w:sz w:val="21"/>
                <w:szCs w:val="21"/>
                <w:color w:val="auto"/>
              </w:rPr>
            </w:pPr>
          </w:p>
        </w:tc>
        <w:tc>
          <w:tcPr>
            <w:tcW w:w="1180" w:type="dxa"/>
            <w:vAlign w:val="bottom"/>
          </w:tcPr>
          <w:p>
            <w:pPr>
              <w:jc w:val="right"/>
              <w:ind w:right="47"/>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1,112.4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811.0</w:t>
            </w:r>
          </w:p>
        </w:tc>
        <w:tc>
          <w:tcPr>
            <w:tcW w:w="0" w:type="dxa"/>
            <w:vAlign w:val="bottom"/>
          </w:tcPr>
          <w:p>
            <w:pPr>
              <w:spacing w:after="0"/>
              <w:rPr>
                <w:sz w:val="1"/>
                <w:szCs w:val="1"/>
                <w:color w:val="auto"/>
              </w:rPr>
            </w:pPr>
          </w:p>
        </w:tc>
      </w:tr>
      <w:tr>
        <w:trPr>
          <w:trHeight w:val="283"/>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1,216.9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835.6</w:t>
            </w:r>
          </w:p>
        </w:tc>
        <w:tc>
          <w:tcPr>
            <w:tcW w:w="0" w:type="dxa"/>
            <w:vAlign w:val="bottom"/>
          </w:tcPr>
          <w:p>
            <w:pPr>
              <w:spacing w:after="0"/>
              <w:rPr>
                <w:sz w:val="1"/>
                <w:szCs w:val="1"/>
                <w:color w:val="auto"/>
              </w:rPr>
            </w:pPr>
          </w:p>
        </w:tc>
      </w:tr>
      <w:tr>
        <w:trPr>
          <w:trHeight w:val="251"/>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Operating lease liabilities arising from obtaining right-of-use assets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Cash paid to settle liability incurred for repurchase of common stock</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5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Transfers of evaluation units from inventory to property and equipment</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Pr>
          <w:p>
            <w:pPr>
              <w:ind w:left="500"/>
              <w:spacing w:after="0"/>
              <w:rPr>
                <w:sz w:val="20"/>
                <w:szCs w:val="20"/>
                <w:color w:val="auto"/>
              </w:rPr>
            </w:pPr>
            <w:r>
              <w:rPr>
                <w:rFonts w:ascii="Arial" w:cs="Arial" w:eastAsia="Arial" w:hAnsi="Arial"/>
                <w:sz w:val="14"/>
                <w:szCs w:val="14"/>
                <w:color w:val="auto"/>
              </w:rPr>
              <w:t>Liability for purchase of property and equipment and asset retirement obligations</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b w:val="1"/>
          <w:bCs w:val="1"/>
          <w:color w:val="auto"/>
        </w:rPr>
        <w:t>Basis of Presentation and Preparation</w:t>
      </w:r>
      <w:r>
        <w:rPr>
          <w:rFonts w:ascii="Arial" w:cs="Arial" w:eastAsia="Arial" w:hAnsi="Arial"/>
          <w:sz w:val="18"/>
          <w:szCs w:val="18"/>
          <w:color w:val="auto"/>
        </w:rPr>
        <w:t>—The unaudited condensed consolidated financial statements of Fortinet, Inc. and its wholly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(collectively, “we,” “us” or “our”) have been prepared in accordance with generally accepted accounting principles in the United States (“GAAP”) for interim financial information, as well as the instructions to Form 10-Q pursuant to the rules and regulations of the U.S. Securities and Exchange Commission (the “SEC”). Accordingly, they do not include all of the information and footnotes required by GAAP for complete financial statements, and should be read in conjunction with our audited consolidated financial statements as of and for the year ended December 31, 2018, contained in our Annual Report on Form 10-K filed with the SEC on February 27, 2019. In the opinion of management, all adjustments, which includes normal recurring adjustments, considered necessary for a fair presentation have been included. All intercompany balances, transactions and cash flows have been eliminated. The results of operations for the three months ended March 31, 2019 are not necessarily indicative of the results for the full year or for any future periods. The condensed consolidated balance sheet as of December 31, 2018 is derived from the audited consolidated financial statements for the year ended December 31, 2018.</w:t>
      </w:r>
    </w:p>
    <w:p>
      <w:pPr>
        <w:spacing w:after="0" w:line="19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have been no material changes to our significant accounting policies as of and for the three months ended March 31, 2019, except for the accounting policies for leases that were updated as a result of adopting Accounting Standards Update (“ASU”) 2016-02—Leases (Topic 842) (“Topic 842”). For more information, refer to the “Recently Adopted Accounting Standards” and Note 10.</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February 2016, the Financial Accounting Standards Board (the “FASB”) issued Topic 842, which requires the recognition of right-of-use (“ROU”) assets and lease liabilities for operating leases on the condensed consolidated balance sheet. We adopted Topic 842 and its related amendments as of January 1, 2019 using a modified retrospective transition approach by applying the new standard to all leases existing at the date of initial application and not restating comparative periods. We elected the package of practical expedients permitted under the transition guidance, which allowed us to not reassess whether arrangements contain leases, not reassess lease classification and not reassess initial direct costs.</w:t>
      </w:r>
    </w:p>
    <w:p>
      <w:pPr>
        <w:spacing w:after="0" w:line="173"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the new guidance, we determine if an arrangement contains a lease and the classification of that lease, if applicable, at inception or upon modification of a contract. We have elected to not recognize a lease liability or ROU asset for short-term leases (leases with a term of twelve months or less and does not include an option to purchase the underlying asset that the Company is reasonably certain to exercise). We have elected to not allocate the contract consideration for operating lease contracts with lease and non-lease components, and account for the lease and non-lease components as a single lease component. ROU assets represent our right to use an underlying asset for the lease term. Lease liabilities represent our obligation to make lease payments under the lease. Operating lease ROU assets and liabilities are recognized at the lease commencement date based on the present value of lease payments over the lease term. The implicit rate within our operating leases is generally not determinable and therefore we use our incremental borrowing rate at the lease commencement date to determine the present value of lease payments. The determination of our incremental borrowing rate requires judgment. We determine our incremental borrowing rate for each lease using indicative bank borrowing rates, adjusted for various factors including level of collateralization, term and currency to align with the terms of a lease. The operating lease ROU asset also includes any lease prepayments, net of lease incentives. Certain of our leases include options to extend or terminate the lease. An option to extend the lease is considered in connection with determining the ROU asset and lease liability when it is reasonably certain we will exercise that option. An option to terminate is considered unless it is reasonably certain we will not exercise the option.</w:t>
      </w:r>
    </w:p>
    <w:p>
      <w:pPr>
        <w:spacing w:after="0" w:line="18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primary impact of adopting Topic 842 was the recognition of ROU assets and lease liabilities for operating leases of $39.1 million and $40.6 million, respectively, on January 1, 2019, which included reclassifying prepaid rent and deferred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rent as a component of the ROU asset. Topic 842 did not have a material impact on our condensed consolidated statements of income and cash flows.</w:t>
      </w:r>
    </w:p>
    <w:p>
      <w:pPr>
        <w:spacing w:after="0" w:line="23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ROU assets and the short-term and long-term lease liabilities from our operating leases are included in other assets, accrued liabilities and other liabilities in our condensed consolidated balance sheets, respectively. Our accounting for finance leases (formerly referred to as capital leases prior to the adoption of Topic 842) remains substantially unchanged. Finance leases are not material to our condensed consolidated financial statements.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lease payments for our operating leases is recognized on a straight-line basis over the term of the lease.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Comprehensive Income</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February 2018, the FASB issued ASU 2018-02—Income Statement—Reporting Comprehensive Income (Topic 220): Reclassification of Certain Tax Effects from Accumulated Other Comprehensive Income, which allows companies to reclassify stranded tax effects resulting from the Tax Cuts and Jobs Act (the “2017 Tax Act”) from accumulated other comprehensive income to retained earnings. We adopted ASU 2018-02 on January 1, 2019 and elected to reclassify $0.1 million of stranded tax effects as of that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June 2018, the FASB issued ASU 2018-07—Compensation—Stock Compensation (Topic 718): Improvements to Nonemployee Share-Based Payment Accounting, which simplifies the accounting for share-based payments to nonemployees by aligning it with the accounting for share-based payments to employees subject to certain exceptions. ASU 2018-07 expands the scope of Accounting Standards Codification (“ASC”) Topic 718, Compensation— Stock Compensation (“ASC 718”), to include share-based payments granted to nonemployees in exchange for goods or services used or consumed in an entity’s own operations and supersedes the guidance in ASC 505, Equity, by moving it to ASC 718. We adopted ASU 2018-07 on January 1, 2019, ASU 2018-07 did not have a material impact to our condensed consolidated financial statements.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Standards Not Yet Effective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Cloud Computing</w:t>
      </w:r>
    </w:p>
    <w:p>
      <w:pPr>
        <w:spacing w:after="0" w:line="225"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In August 2018, the FASB issued ASU 2018-15—Intangibles-Goodwill and Other—Internal-Use Software (Subtopic 350-40): Customer’s Accounting for Implementation Costs Incurred in a Cloud Computing Arrangement That Is a Service Contract, which requires a customer in a cloud computing arrangement that is a service contract to follow the internal-use software guidance in ASC Topic 350, Intangibles—Goodwill and Other, to determine which implementation costs to capitalize as assets or expense as incurred. ASU 2018-15 is effective for us beginning January 1, 2020, and early adoption is permitted. We are currently evaluating the impact of ASU 2018-15 to our condensed consolidated financial statements.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August 2018, the FASB issued ASU 2018-13—Fair Value Measurement (Topic 820): Disclosure Framework—Changes to the Disclosure Requirements for Fair Value Measurement, which eliminates, adds and modifies certain disclosure requirements for fair value measurements in ASC 820, Fair Value Measurement, as part of its disclosure framework project. ASU 2018-13 is effective for us beginning January 1, 2020. The amendments in ASU 2018-13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in ASU 2018-13 should be applied retrospectively to all periods presented upon their effective date. Early adoption is permitted upon issuance of ASU 2018-13. An entity is permitted to early adopt any removed or modified disclosures upon issuance of ASU 2018-13 and delay adoption of the additional disclosures until their effective date. We are currently assessing the impact the new guidance will have on our disclosures.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June 2016, the FASB issued ASU 2016-13—Financial Instruments—Credit Losses (Topic 326): Measurement of Credit Losses on Financial Instruments and in November 2018, the FASB issued ASU 2018-19—Codification Improvements to Topic 326, Financial Instruments—Credit Losses, as a subsequent amendment to the initial guidance (collectively, Topic 326). Topic 326 requires a financial asset (or a group of financial assets) to be measured at an amortized cost basis to be presented at the net amount expected to be collected. The new approach to estimating credit losses (referred to as the current expected credit losses model) applies to most financial assets measured at amortized cost and certain other instruments, including trade and other receivables, loans and held-to-maturity debt securities. Topic 326 is effective for us beginning on January 1, 2020, and early adoption is permitted. We are currently assessing the impact of Topic 326 on our condensed consolidated financial statements.</w:t>
      </w:r>
    </w:p>
    <w:p>
      <w:pPr>
        <w:spacing w:after="0" w:line="174"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Our revenue consists of product and service revenue. Product revenue primarily consists of sales from our FortiGate products. Service revenue relates to sales of our FortiGuard security subscription, FortiCare technical support services and other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major product and service lines (in millions):</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200" w:type="dxa"/>
            <w:vAlign w:val="bottom"/>
            <w:gridSpan w:val="4"/>
          </w:tcPr>
          <w:p>
            <w:pPr>
              <w:jc w:val="right"/>
              <w:ind w:right="494"/>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76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260" w:type="dxa"/>
            <w:vAlign w:val="bottom"/>
          </w:tcPr>
          <w:p>
            <w:pPr>
              <w:jc w:val="right"/>
              <w:ind w:right="115"/>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ind w:right="114"/>
              <w:spacing w:after="0"/>
              <w:rPr>
                <w:sz w:val="20"/>
                <w:szCs w:val="20"/>
                <w:color w:val="auto"/>
              </w:rPr>
            </w:pPr>
            <w:r>
              <w:rPr>
                <w:rFonts w:ascii="Arial" w:cs="Arial" w:eastAsia="Arial" w:hAnsi="Arial"/>
                <w:sz w:val="16"/>
                <w:szCs w:val="16"/>
                <w:b w:val="1"/>
                <w:bCs w:val="1"/>
                <w:color w:val="auto"/>
              </w:rPr>
              <w:t>2018</w:t>
            </w:r>
          </w:p>
        </w:tc>
        <w:tc>
          <w:tcPr>
            <w:tcW w:w="540" w:type="dxa"/>
            <w:vAlign w:val="bottom"/>
          </w:tcPr>
          <w:p>
            <w:pPr>
              <w:spacing w:after="0"/>
              <w:rPr>
                <w:sz w:val="18"/>
                <w:szCs w:val="18"/>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260" w:type="dxa"/>
            <w:vAlign w:val="bottom"/>
            <w:tcBorders>
              <w:bottom w:val="single" w:sz="8" w:color="CCEEFF"/>
            </w:tcBorders>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142.8</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Service:</w:t>
            </w:r>
          </w:p>
        </w:tc>
        <w:tc>
          <w:tcPr>
            <w:tcW w:w="1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Security subscription</w:t>
            </w:r>
          </w:p>
        </w:tc>
        <w:tc>
          <w:tcPr>
            <w:tcW w:w="1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169.6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136.6</w:t>
            </w:r>
          </w:p>
        </w:tc>
      </w:tr>
      <w:tr>
        <w:trPr>
          <w:trHeight w:val="243"/>
        </w:trPr>
        <w:tc>
          <w:tcPr>
            <w:tcW w:w="7640" w:type="dxa"/>
            <w:vAlign w:val="bottom"/>
          </w:tcPr>
          <w:p>
            <w:pPr>
              <w:ind w:left="160"/>
              <w:spacing w:after="0"/>
              <w:rPr>
                <w:sz w:val="20"/>
                <w:szCs w:val="20"/>
                <w:color w:val="auto"/>
              </w:rPr>
            </w:pPr>
            <w:r>
              <w:rPr>
                <w:rFonts w:ascii="Arial" w:cs="Arial" w:eastAsia="Arial" w:hAnsi="Arial"/>
                <w:sz w:val="18"/>
                <w:szCs w:val="18"/>
                <w:color w:val="auto"/>
              </w:rPr>
              <w:t>Technical support and other</w:t>
            </w:r>
          </w:p>
        </w:tc>
        <w:tc>
          <w:tcPr>
            <w:tcW w:w="12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140.3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119.6</w:t>
            </w:r>
          </w:p>
        </w:tc>
      </w:tr>
      <w:tr>
        <w:trPr>
          <w:trHeight w:val="27"/>
        </w:trPr>
        <w:tc>
          <w:tcPr>
            <w:tcW w:w="7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service revenue</w:t>
            </w:r>
          </w:p>
        </w:tc>
        <w:tc>
          <w:tcPr>
            <w:tcW w:w="12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309.9</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256.2</w:t>
            </w:r>
          </w:p>
        </w:tc>
      </w:tr>
      <w:tr>
        <w:trPr>
          <w:trHeight w:val="257"/>
        </w:trPr>
        <w:tc>
          <w:tcPr>
            <w:tcW w:w="76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6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472.6</w:t>
            </w:r>
          </w:p>
        </w:tc>
        <w:tc>
          <w:tcPr>
            <w:tcW w:w="100" w:type="dxa"/>
            <w:vAlign w:val="bottom"/>
          </w:tcPr>
          <w:p>
            <w:pPr>
              <w:spacing w:after="0"/>
              <w:rPr>
                <w:sz w:val="22"/>
                <w:szCs w:val="22"/>
                <w:color w:val="auto"/>
              </w:rPr>
            </w:pPr>
          </w:p>
        </w:tc>
        <w:tc>
          <w:tcPr>
            <w:tcW w:w="1280" w:type="dxa"/>
            <w:vAlign w:val="bottom"/>
            <w:tcBorders>
              <w:top w:val="single" w:sz="8" w:color="auto"/>
              <w:bottom w:val="single" w:sz="8" w:color="auto"/>
            </w:tcBorders>
          </w:tcPr>
          <w:p>
            <w:pPr>
              <w:jc w:val="right"/>
              <w:ind w:right="107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399.0</w:t>
            </w:r>
          </w:p>
        </w:tc>
      </w:tr>
      <w:tr>
        <w:trPr>
          <w:trHeight w:val="20"/>
        </w:trPr>
        <w:tc>
          <w:tcPr>
            <w:tcW w:w="7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25"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As of March 31, 2019, the aggregate amount of the transaction price allocated to remaining performance obligations was $1.77 billion, which was substantially comprised of deferred security subscription and technical support services. We expect to recognize revenue on approximately 80% of these remaining performance obligations over the next one to two years, with the remaining balance to be recognized in three to five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Trade accounts receivable are recorded at the invoiced amount. Trade accounts receivable is reduced by an allowance for doubtful accounts which is determined based on our assessment of the collectability of customer accounts. The allowance for doubtful accounts was $0.8 million and $0.9 million as of March 31, 2019 and December 31,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Contract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Sales commissions earned by our sales force are considered incremental and recoverable costs of obtaining a contract with a customer. The amortization of deferred contract costs is included in sales and marketing expense in our condensed consolidated statements of income. Amortization of deferred contract costs during the three months ended March 31, 2019 and March 31, 2018 were $25.1 million and $20.8 million, respectively. No impairment loss was recognized during the three months ended March 31, 2019 or March 31, 2018.</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three months ended March 31, 2019 and March 31, 2018, we recognized $288.6 million and $239.1 million in revenue that was included in the deferred revenue balance as of December 31, 2018 and December 31,2017, respectively.</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FAIR VALUE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our investments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4"/>
              </w:rPr>
              <w:t>March 31, 2019</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150.6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65.9</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635.1</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December 31, 2018</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Amortized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Unrealized</w:t>
            </w:r>
          </w:p>
        </w:tc>
        <w:tc>
          <w:tcPr>
            <w:tcW w:w="340" w:type="dxa"/>
            <w:vAlign w:val="bottom"/>
          </w:tcPr>
          <w:p>
            <w:pPr>
              <w:spacing w:after="0"/>
              <w:rPr>
                <w:sz w:val="18"/>
                <w:szCs w:val="18"/>
                <w:color w:val="auto"/>
              </w:rPr>
            </w:pPr>
          </w:p>
        </w:tc>
        <w:tc>
          <w:tcPr>
            <w:tcW w:w="1140" w:type="dxa"/>
            <w:vAlign w:val="bottom"/>
          </w:tcPr>
          <w:p>
            <w:pPr>
              <w:jc w:val="center"/>
              <w:ind w:right="233"/>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4"/>
              </w:rPr>
              <w:t>Cost</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Gains</w:t>
            </w: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140" w:type="dxa"/>
            <w:vAlign w:val="bottom"/>
          </w:tcPr>
          <w:p>
            <w:pPr>
              <w:jc w:val="center"/>
              <w:ind w:right="253"/>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298.3</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102.5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Certificates of deposit and term deposits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145.8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57.6</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5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80" w:hanging="186"/>
        <w:spacing w:after="0"/>
        <w:tabs>
          <w:tab w:leader="none" w:pos="68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majority of our certificates of deposit and term deposits are foreign deposits.</w:t>
      </w:r>
    </w:p>
    <w:p>
      <w:pPr>
        <w:spacing w:after="0" w:line="200" w:lineRule="exact"/>
        <w:rPr>
          <w:sz w:val="20"/>
          <w:szCs w:val="20"/>
          <w:color w:val="auto"/>
        </w:rPr>
      </w:pPr>
    </w:p>
    <w:p>
      <w:pPr>
        <w:spacing w:after="0" w:line="24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tables show the gross unrealized losses and the related fair values of our investments that have been in a continuous unrealized loss position (in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240" w:type="dxa"/>
            <w:vAlign w:val="bottom"/>
            <w:gridSpan w:val="5"/>
          </w:tcPr>
          <w:p>
            <w:pPr>
              <w:ind w:left="200"/>
              <w:spacing w:after="0"/>
              <w:rPr>
                <w:sz w:val="20"/>
                <w:szCs w:val="20"/>
                <w:color w:val="auto"/>
              </w:rPr>
            </w:pPr>
            <w:r>
              <w:rPr>
                <w:rFonts w:ascii="Arial" w:cs="Arial" w:eastAsia="Arial" w:hAnsi="Arial"/>
                <w:sz w:val="16"/>
                <w:szCs w:val="16"/>
                <w:b w:val="1"/>
                <w:bCs w:val="1"/>
                <w:color w:val="auto"/>
              </w:rPr>
              <w:t>12 Months or Greater</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8"/>
                <w:szCs w:val="18"/>
                <w:color w:val="auto"/>
              </w:rPr>
            </w:pPr>
          </w:p>
        </w:tc>
        <w:tc>
          <w:tcPr>
            <w:tcW w:w="78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3"/>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24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3"/>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5"/>
          </w:tcPr>
          <w:p>
            <w:pPr>
              <w:jc w:val="right"/>
              <w:ind w:right="474"/>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20"/>
                <w:szCs w:val="20"/>
                <w:color w:val="auto"/>
              </w:rPr>
            </w:pPr>
          </w:p>
        </w:tc>
        <w:tc>
          <w:tcPr>
            <w:tcW w:w="2140" w:type="dxa"/>
            <w:vAlign w:val="bottom"/>
            <w:gridSpan w:val="5"/>
          </w:tcPr>
          <w:p>
            <w:pPr>
              <w:jc w:val="right"/>
              <w:ind w:right="334"/>
              <w:spacing w:after="0"/>
              <w:rPr>
                <w:sz w:val="20"/>
                <w:szCs w:val="20"/>
                <w:color w:val="auto"/>
              </w:rPr>
            </w:pPr>
            <w:r>
              <w:rPr>
                <w:rFonts w:ascii="Arial" w:cs="Arial" w:eastAsia="Arial" w:hAnsi="Arial"/>
                <w:sz w:val="16"/>
                <w:szCs w:val="16"/>
                <w:b w:val="1"/>
                <w:bCs w:val="1"/>
                <w:color w:val="auto"/>
              </w:rPr>
              <w:t>12 Months or Greater</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160" w:type="dxa"/>
            <w:vAlign w:val="bottom"/>
          </w:tcPr>
          <w:p>
            <w:pPr>
              <w:spacing w:after="0"/>
              <w:rPr>
                <w:sz w:val="18"/>
                <w:szCs w:val="18"/>
                <w:color w:val="auto"/>
              </w:rPr>
            </w:pPr>
          </w:p>
        </w:tc>
        <w:tc>
          <w:tcPr>
            <w:tcW w:w="980" w:type="dxa"/>
            <w:vAlign w:val="bottom"/>
          </w:tcPr>
          <w:p>
            <w:pPr>
              <w:jc w:val="right"/>
              <w:ind w:right="114"/>
              <w:spacing w:after="0"/>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21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12"/>
              <w:spacing w:after="0"/>
              <w:rPr>
                <w:sz w:val="20"/>
                <w:szCs w:val="20"/>
                <w:color w:val="auto"/>
              </w:rPr>
            </w:pPr>
            <w:r>
              <w:rPr>
                <w:rFonts w:ascii="Arial" w:cs="Arial" w:eastAsia="Arial" w:hAnsi="Arial"/>
                <w:sz w:val="16"/>
                <w:szCs w:val="16"/>
                <w:b w:val="1"/>
                <w:bCs w:val="1"/>
                <w:color w:val="auto"/>
                <w:w w:val="93"/>
              </w:rPr>
              <w:t>Unrealized</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Losses</w:t>
            </w:r>
          </w:p>
        </w:tc>
        <w:tc>
          <w:tcPr>
            <w:tcW w:w="24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Losses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88"/>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52"/>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U.S. government and agency securities</w:t>
            </w:r>
          </w:p>
        </w:tc>
        <w:tc>
          <w:tcPr>
            <w:tcW w:w="26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0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35"/>
        </w:trPr>
        <w:tc>
          <w:tcPr>
            <w:tcW w:w="6560" w:type="dxa"/>
            <w:vAlign w:val="bottom"/>
            <w:gridSpan w:val="7"/>
          </w:tcPr>
          <w:p>
            <w:pPr>
              <w:jc w:val="right"/>
              <w:ind w:right="460"/>
              <w:spacing w:after="0"/>
              <w:rPr>
                <w:sz w:val="20"/>
                <w:szCs w:val="20"/>
                <w:color w:val="auto"/>
              </w:rPr>
            </w:pPr>
            <w:r>
              <w:rPr>
                <w:rFonts w:ascii="Arial" w:cs="Arial" w:eastAsia="Arial" w:hAnsi="Arial"/>
                <w:sz w:val="18"/>
                <w:szCs w:val="18"/>
                <w:color w:val="auto"/>
              </w:rPr>
              <w:t>The contractual maturities of our investments were as follows (in millions):</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0"/>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5"/>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7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4"/>
          </w:tcPr>
          <w:p>
            <w:pPr>
              <w:jc w:val="right"/>
              <w:ind w:right="652"/>
              <w:spacing w:after="0"/>
              <w:rPr>
                <w:sz w:val="20"/>
                <w:szCs w:val="20"/>
                <w:color w:val="auto"/>
              </w:rPr>
            </w:pPr>
            <w:r>
              <w:rPr>
                <w:rFonts w:ascii="Arial" w:cs="Arial" w:eastAsia="Arial" w:hAnsi="Arial"/>
                <w:sz w:val="16"/>
                <w:szCs w:val="16"/>
                <w:b w:val="1"/>
                <w:bCs w:val="1"/>
                <w:color w:val="auto"/>
              </w:rPr>
              <w:t>2018</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584.9</w:t>
            </w:r>
          </w:p>
        </w:tc>
        <w:tc>
          <w:tcPr>
            <w:tcW w:w="66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Due within one to three years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67.0</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635.1</w:t>
            </w:r>
          </w:p>
        </w:tc>
        <w:tc>
          <w:tcPr>
            <w:tcW w:w="66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604.2</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Available-for-sale securities are reported at fair value, with unrealized gains and losses and the related tax impact included as a separate component of stockholders’ equity and in comprehensive income. Realized gains and losses on available-for-sale securities were insignificant in the periods presented and are included in other expense—net in our condensed consolidated statements of income. We use the specific identification method to determine the cost basis of investments sold.</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unrealized losses on our available-for-sale securities were caused by fluctuations in market value and interest rates as a result of the economic environment. As the decline in market value are attributable to changes in market conditions and not credit quality, and because we have concluded currently that we neither intend to sell nor is it more likely than not that we will be required to sell these investments prior to a recovery of par value, we do not consider these investments to be other-than temporarily impaired as of March 31, 2019.</w:t>
      </w:r>
    </w:p>
    <w:p>
      <w:pPr>
        <w:spacing w:after="0" w:line="16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Fair Value Accounting—We apply the following fair value hierarchy for disclosure of the inputs used to measure fair value. This hierarchy prioritizes the inputs into three broad levels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w:t>
      </w:r>
    </w:p>
    <w:p>
      <w:pPr>
        <w:spacing w:after="0" w:line="225" w:lineRule="exact"/>
        <w:rPr>
          <w:sz w:val="20"/>
          <w:szCs w:val="20"/>
          <w:color w:val="auto"/>
        </w:rPr>
      </w:pPr>
    </w:p>
    <w:p>
      <w:pPr>
        <w:ind w:left="1300" w:right="280" w:hanging="647"/>
        <w:spacing w:after="0" w:line="277" w:lineRule="auto"/>
        <w:rPr>
          <w:sz w:val="20"/>
          <w:szCs w:val="20"/>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70" w:lineRule="exact"/>
        <w:rPr>
          <w:sz w:val="20"/>
          <w:szCs w:val="20"/>
          <w:color w:val="auto"/>
        </w:rPr>
      </w:pPr>
    </w:p>
    <w:p>
      <w:pPr>
        <w:ind w:left="1300" w:right="500" w:hanging="647"/>
        <w:spacing w:after="0" w:line="277" w:lineRule="auto"/>
        <w:rPr>
          <w:sz w:val="20"/>
          <w:szCs w:val="20"/>
          <w:color w:val="auto"/>
        </w:rPr>
      </w:pPr>
      <w:r>
        <w:rPr>
          <w:rFonts w:ascii="Arial" w:cs="Arial" w:eastAsia="Arial" w:hAnsi="Arial"/>
          <w:sz w:val="18"/>
          <w:szCs w:val="18"/>
          <w:color w:val="auto"/>
        </w:rPr>
        <w:t>Level 3—Unobservable inputs based on our own assumptions used to measure assets and liabilities at fair value. The inputs require significant management judgment or estimation.</w:t>
      </w:r>
    </w:p>
    <w:p>
      <w:pPr>
        <w:spacing w:after="0" w:line="170"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measure the fair value of money market funds and certain U.S. government and agency securities using quoted prices in active markets for identical assets. The fair value of all other financial instruments was based on quoted prices for similar assets in active markets, or model-driven valuations using significant inputs derived from or corroborated by observable market data.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investments within Level 1 if quoted prices are available in active markets for identical securities.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classify items within Level 2 if the investments are valued using model-driven valuations using observable inputs such as quoted market prices, benchmark yields, reported trades, broker/dealer quotes or alternative pricing sources with reasonable levels of price transparency. Investments are held by custodians who obtain investment prices from a third-party pricing provider that incorporates standard inputs in various asset price models.</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at Fair Value on a Recurring Basis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tables present the fair value of our financial assets measured at fair value on a recurring basis as of March 31, 2019 and December 31, 2018 (in millions):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5"/>
          </w:tcPr>
          <w:p>
            <w:pPr>
              <w:ind w:left="38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5"/>
          </w:tcPr>
          <w:p>
            <w:pPr>
              <w:ind w:left="360"/>
              <w:spacing w:after="0"/>
              <w:rPr>
                <w:sz w:val="20"/>
                <w:szCs w:val="20"/>
                <w:color w:val="auto"/>
              </w:rPr>
            </w:pPr>
            <w:r>
              <w:rPr>
                <w:rFonts w:ascii="Arial" w:cs="Arial" w:eastAsia="Arial" w:hAnsi="Arial"/>
                <w:sz w:val="16"/>
                <w:szCs w:val="16"/>
                <w:b w:val="1"/>
                <w:bCs w:val="1"/>
                <w:color w:val="auto"/>
              </w:rPr>
              <w:t>December 31, 2018</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7"/>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8" w:lineRule="exact"/>
              <w:rPr>
                <w:sz w:val="20"/>
                <w:szCs w:val="20"/>
                <w:color w:val="auto"/>
              </w:rPr>
            </w:pPr>
            <w:r>
              <w:rPr>
                <w:rFonts w:ascii="Arial" w:cs="Arial" w:eastAsia="Arial" w:hAnsi="Arial"/>
                <w:sz w:val="13"/>
                <w:szCs w:val="13"/>
                <w:b w:val="1"/>
                <w:bCs w:val="1"/>
                <w:color w:val="auto"/>
                <w:w w:val="87"/>
              </w:rPr>
              <w:t>Quoted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w w:val="87"/>
              </w:rPr>
              <w:t>Quoted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4"/>
              </w:rPr>
              <w:t>Prices in</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40" w:type="dxa"/>
            <w:vAlign w:val="bottom"/>
          </w:tcPr>
          <w:p>
            <w:pPr>
              <w:spacing w:after="0"/>
              <w:rPr>
                <w:sz w:val="11"/>
                <w:szCs w:val="11"/>
                <w:color w:val="auto"/>
              </w:rPr>
            </w:pPr>
          </w:p>
        </w:tc>
        <w:tc>
          <w:tcPr>
            <w:tcW w:w="980" w:type="dxa"/>
            <w:vAlign w:val="bottom"/>
          </w:tcPr>
          <w:p>
            <w:pPr>
              <w:jc w:val="center"/>
              <w:ind w:right="82"/>
              <w:spacing w:after="0" w:line="135" w:lineRule="exact"/>
              <w:rPr>
                <w:sz w:val="20"/>
                <w:szCs w:val="20"/>
                <w:color w:val="auto"/>
              </w:rPr>
            </w:pPr>
            <w:r>
              <w:rPr>
                <w:rFonts w:ascii="Arial" w:cs="Arial" w:eastAsia="Arial" w:hAnsi="Arial"/>
                <w:sz w:val="13"/>
                <w:szCs w:val="13"/>
                <w:b w:val="1"/>
                <w:bCs w:val="1"/>
                <w:color w:val="auto"/>
                <w:w w:val="87"/>
              </w:rPr>
              <w:t>Significant</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Active</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2"/>
              </w:rPr>
              <w:t>Other</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w w:val="87"/>
              </w:rPr>
              <w:t>Aggregate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40" w:type="dxa"/>
            <w:vAlign w:val="bottom"/>
          </w:tcPr>
          <w:p>
            <w:pPr>
              <w:spacing w:after="0"/>
              <w:rPr>
                <w:sz w:val="11"/>
                <w:szCs w:val="11"/>
                <w:color w:val="auto"/>
              </w:rPr>
            </w:pPr>
          </w:p>
        </w:tc>
        <w:tc>
          <w:tcPr>
            <w:tcW w:w="8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Unobservable</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w w:val="87"/>
              </w:rPr>
              <w:t>Aggregate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Markets For</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88"/>
              </w:rPr>
              <w:t>Unobservable</w:t>
            </w:r>
          </w:p>
        </w:tc>
      </w:tr>
      <w:tr>
        <w:trPr>
          <w:trHeight w:val="135"/>
        </w:trPr>
        <w:tc>
          <w:tcPr>
            <w:tcW w:w="2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56"/>
              <w:spacing w:after="0" w:line="135"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Identical</w:t>
            </w:r>
          </w:p>
        </w:tc>
        <w:tc>
          <w:tcPr>
            <w:tcW w:w="14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760" w:type="dxa"/>
            <w:vAlign w:val="bottom"/>
          </w:tcPr>
          <w:p>
            <w:pPr>
              <w:jc w:val="center"/>
              <w:ind w:right="76"/>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Remaining</w:t>
            </w:r>
          </w:p>
        </w:tc>
        <w:tc>
          <w:tcPr>
            <w:tcW w:w="140" w:type="dxa"/>
            <w:vAlign w:val="bottom"/>
          </w:tcPr>
          <w:p>
            <w:pPr>
              <w:spacing w:after="0"/>
              <w:rPr>
                <w:sz w:val="11"/>
                <w:szCs w:val="11"/>
                <w:color w:val="auto"/>
              </w:rPr>
            </w:pPr>
          </w:p>
        </w:tc>
        <w:tc>
          <w:tcPr>
            <w:tcW w:w="980" w:type="dxa"/>
            <w:vAlign w:val="bottom"/>
          </w:tcPr>
          <w:p>
            <w:pPr>
              <w:jc w:val="center"/>
              <w:ind w:right="62"/>
              <w:spacing w:after="0" w:line="135" w:lineRule="exact"/>
              <w:rPr>
                <w:sz w:val="20"/>
                <w:szCs w:val="20"/>
                <w:color w:val="auto"/>
              </w:rPr>
            </w:pPr>
            <w:r>
              <w:rPr>
                <w:rFonts w:ascii="Arial" w:cs="Arial" w:eastAsia="Arial" w:hAnsi="Arial"/>
                <w:sz w:val="13"/>
                <w:szCs w:val="13"/>
                <w:b w:val="1"/>
                <w:bCs w:val="1"/>
                <w:color w:val="auto"/>
                <w:w w:val="90"/>
              </w:rPr>
              <w:t>Remaining</w:t>
            </w:r>
          </w:p>
        </w:tc>
      </w:tr>
      <w:tr>
        <w:trPr>
          <w:trHeight w:val="174"/>
        </w:trPr>
        <w:tc>
          <w:tcPr>
            <w:tcW w:w="2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86"/>
              </w:rPr>
              <w:t>Value</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63"/>
              <w:spacing w:after="0"/>
              <w:rPr>
                <w:sz w:val="20"/>
                <w:szCs w:val="20"/>
                <w:color w:val="auto"/>
              </w:rPr>
            </w:pPr>
            <w:r>
              <w:rPr>
                <w:rFonts w:ascii="Arial" w:cs="Arial" w:eastAsia="Arial" w:hAnsi="Arial"/>
                <w:sz w:val="13"/>
                <w:szCs w:val="13"/>
                <w:b w:val="1"/>
                <w:bCs w:val="1"/>
                <w:color w:val="auto"/>
                <w:w w:val="74"/>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3"/>
                <w:szCs w:val="13"/>
                <w:b w:val="1"/>
                <w:bCs w:val="1"/>
                <w:color w:val="auto"/>
                <w:w w:val="92"/>
              </w:rPr>
              <w:t>Inputs</w:t>
            </w:r>
          </w:p>
        </w:tc>
      </w:tr>
      <w:tr>
        <w:trPr>
          <w:trHeight w:val="224"/>
        </w:trPr>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3)</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(Level 1)</w:t>
            </w:r>
          </w:p>
        </w:tc>
        <w:tc>
          <w:tcPr>
            <w:tcW w:w="120" w:type="dxa"/>
            <w:vAlign w:val="bottom"/>
          </w:tcPr>
          <w:p>
            <w:pPr>
              <w:spacing w:after="0"/>
              <w:rPr>
                <w:sz w:val="19"/>
                <w:szCs w:val="19"/>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(Level 2)</w:t>
            </w:r>
          </w:p>
        </w:tc>
        <w:tc>
          <w:tcPr>
            <w:tcW w:w="140" w:type="dxa"/>
            <w:vAlign w:val="bottom"/>
          </w:tcPr>
          <w:p>
            <w:pPr>
              <w:spacing w:after="0"/>
              <w:rPr>
                <w:sz w:val="19"/>
                <w:szCs w:val="19"/>
                <w:color w:val="auto"/>
              </w:rPr>
            </w:pPr>
          </w:p>
        </w:tc>
        <w:tc>
          <w:tcPr>
            <w:tcW w:w="980" w:type="dxa"/>
            <w:vAlign w:val="bottom"/>
          </w:tcPr>
          <w:p>
            <w:pPr>
              <w:jc w:val="center"/>
              <w:ind w:right="62"/>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349.9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349.9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299.3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299.3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201.0</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184.7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9"/>
        </w:trPr>
        <w:tc>
          <w:tcPr>
            <w:tcW w:w="2740" w:type="dxa"/>
            <w:vAlign w:val="bottom"/>
          </w:tcPr>
          <w:p>
            <w:pPr>
              <w:ind w:left="480"/>
              <w:spacing w:after="0"/>
              <w:rPr>
                <w:sz w:val="20"/>
                <w:szCs w:val="20"/>
                <w:color w:val="auto"/>
              </w:rPr>
            </w:pPr>
            <w:r>
              <w:rPr>
                <w:rFonts w:ascii="Arial" w:cs="Arial" w:eastAsia="Arial" w:hAnsi="Arial"/>
                <w:sz w:val="18"/>
                <w:szCs w:val="18"/>
                <w:color w:val="auto"/>
              </w:rPr>
              <w:t>Certificates of deposit and</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740" w:type="dxa"/>
            <w:vAlign w:val="bottom"/>
          </w:tcPr>
          <w:p>
            <w:pPr>
              <w:ind w:left="480"/>
              <w:spacing w:after="0"/>
              <w:rPr>
                <w:sz w:val="20"/>
                <w:szCs w:val="20"/>
                <w:color w:val="auto"/>
              </w:rPr>
            </w:pPr>
            <w:r>
              <w:rPr>
                <w:rFonts w:ascii="Arial" w:cs="Arial" w:eastAsia="Arial" w:hAnsi="Arial"/>
                <w:sz w:val="18"/>
                <w:szCs w:val="18"/>
                <w:color w:val="auto"/>
              </w:rPr>
              <w:t>term deposits</w:t>
            </w:r>
          </w:p>
        </w:tc>
        <w:tc>
          <w:tcPr>
            <w:tcW w:w="160" w:type="dxa"/>
            <w:vAlign w:val="bottom"/>
          </w:tcPr>
          <w:p>
            <w:pPr>
              <w:spacing w:after="0"/>
              <w:rPr>
                <w:sz w:val="20"/>
                <w:szCs w:val="20"/>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80" w:type="dxa"/>
            <w:vAlign w:val="bottom"/>
          </w:tcPr>
          <w:p>
            <w:pPr>
              <w:jc w:val="right"/>
              <w:ind w:right="22"/>
              <w:spacing w:after="0"/>
              <w:rPr>
                <w:sz w:val="20"/>
                <w:szCs w:val="20"/>
                <w:color w:val="auto"/>
              </w:rPr>
            </w:pPr>
            <w:r>
              <w:rPr>
                <w:rFonts w:ascii="Arial" w:cs="Arial" w:eastAsia="Arial" w:hAnsi="Arial"/>
                <w:sz w:val="18"/>
                <w:szCs w:val="18"/>
                <w:color w:val="auto"/>
              </w:rPr>
              <w:t>217.4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U.S. government and agency</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65.9</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43"/>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701.6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634.1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Reported as: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213.4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584.9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740" w:type="dxa"/>
            <w:vAlign w:val="bottom"/>
          </w:tcPr>
          <w:p>
            <w:pPr>
              <w:ind w:left="480"/>
              <w:spacing w:after="0"/>
              <w:rPr>
                <w:sz w:val="20"/>
                <w:szCs w:val="20"/>
                <w:color w:val="auto"/>
              </w:rPr>
            </w:pPr>
            <w:r>
              <w:rPr>
                <w:rFonts w:ascii="Arial" w:cs="Arial" w:eastAsia="Arial" w:hAnsi="Arial"/>
                <w:sz w:val="18"/>
                <w:szCs w:val="18"/>
                <w:color w:val="auto"/>
              </w:rPr>
              <w:t>Long-term investments</w:t>
            </w:r>
          </w:p>
        </w:tc>
        <w:tc>
          <w:tcPr>
            <w:tcW w:w="160" w:type="dxa"/>
            <w:vAlign w:val="bottom"/>
          </w:tcPr>
          <w:p>
            <w:pPr>
              <w:spacing w:after="0"/>
              <w:rPr>
                <w:sz w:val="21"/>
                <w:szCs w:val="21"/>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57"/>
        </w:trPr>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701.6</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817.6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were no transfers between Level 1 and Level 2 of the fair value hierarchy during the three months ended March 31, 2019 and year ended December 31, 2018.</w:t>
      </w:r>
    </w:p>
    <w:p>
      <w:pPr>
        <w:spacing w:after="0" w:line="166"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546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5460" w:type="dxa"/>
            <w:vAlign w:val="bottom"/>
            <w:tcBorders>
              <w:bottom w:val="single" w:sz="8" w:color="CCEEFF"/>
            </w:tcBorders>
            <w:gridSpan w:val="2"/>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40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7"/>
        </w:trPr>
        <w:tc>
          <w:tcPr>
            <w:tcW w:w="33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5460" w:type="dxa"/>
            <w:vAlign w:val="bottom"/>
            <w:gridSpan w:val="2"/>
            <w:shd w:val="clear" w:color="auto" w:fill="CCEEFF"/>
          </w:tcPr>
          <w:p>
            <w:pPr>
              <w:jc w:val="right"/>
              <w:ind w:right="119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bottom w:val="single" w:sz="8" w:color="CCEEFF"/>
            </w:tcBorders>
            <w:vMerge w:val="restart"/>
          </w:tcPr>
          <w:p>
            <w:pPr>
              <w:jc w:val="right"/>
              <w:ind w:right="1552"/>
              <w:spacing w:after="0"/>
              <w:rPr>
                <w:sz w:val="20"/>
                <w:szCs w:val="20"/>
                <w:color w:val="auto"/>
              </w:rPr>
            </w:pPr>
            <w:r>
              <w:rPr>
                <w:rFonts w:ascii="Arial" w:cs="Arial" w:eastAsia="Arial" w:hAnsi="Arial"/>
                <w:sz w:val="18"/>
                <w:szCs w:val="18"/>
                <w:color w:val="auto"/>
              </w:rPr>
              <w:t>11</w:t>
            </w: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3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equipment—net consisted of the following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ind w:right="43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440" w:type="dxa"/>
            <w:vAlign w:val="bottom"/>
          </w:tcPr>
          <w:p>
            <w:pPr>
              <w:spacing w:after="0"/>
              <w:rPr>
                <w:sz w:val="18"/>
                <w:szCs w:val="18"/>
                <w:color w:val="auto"/>
              </w:rPr>
            </w:pPr>
          </w:p>
        </w:tc>
        <w:tc>
          <w:tcPr>
            <w:tcW w:w="1340" w:type="dxa"/>
            <w:vAlign w:val="bottom"/>
          </w:tcPr>
          <w:p>
            <w:pPr>
              <w:jc w:val="right"/>
              <w:ind w:right="114"/>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711"/>
              <w:spacing w:after="0"/>
              <w:rPr>
                <w:sz w:val="20"/>
                <w:szCs w:val="20"/>
                <w:color w:val="auto"/>
              </w:rPr>
            </w:pPr>
            <w:r>
              <w:rPr>
                <w:rFonts w:ascii="Arial" w:cs="Arial" w:eastAsia="Arial" w:hAnsi="Arial"/>
                <w:sz w:val="16"/>
                <w:szCs w:val="16"/>
                <w:b w:val="1"/>
                <w:bCs w:val="1"/>
                <w:color w:val="auto"/>
              </w:rPr>
              <w:t>2018</w:t>
            </w:r>
          </w:p>
        </w:tc>
      </w:tr>
      <w:tr>
        <w:trPr>
          <w:trHeight w:val="33"/>
        </w:trPr>
        <w:tc>
          <w:tcPr>
            <w:tcW w:w="74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340" w:type="dxa"/>
            <w:vAlign w:val="bottom"/>
            <w:tcBorders>
              <w:bottom w:val="single" w:sz="8" w:color="CCEEFF"/>
            </w:tcBorders>
            <w:shd w:val="clear" w:color="auto" w:fill="CCEEFF"/>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144.2</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17.9</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3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15.7</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37"/>
        </w:trPr>
        <w:tc>
          <w:tcPr>
            <w:tcW w:w="744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1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382.2</w:t>
            </w:r>
          </w:p>
        </w:tc>
      </w:tr>
      <w:tr>
        <w:trPr>
          <w:trHeight w:val="27"/>
        </w:trPr>
        <w:tc>
          <w:tcPr>
            <w:tcW w:w="7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13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1340" w:type="dxa"/>
            <w:vAlign w:val="bottom"/>
            <w:tcBorders>
              <w:top w:val="single" w:sz="8" w:color="auto"/>
              <w:bottom w:val="single" w:sz="8" w:color="auto"/>
            </w:tcBorders>
          </w:tcPr>
          <w:p>
            <w:pPr>
              <w:jc w:val="right"/>
              <w:ind w:right="1134"/>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271.4</w:t>
            </w:r>
          </w:p>
        </w:tc>
      </w:tr>
      <w:tr>
        <w:trPr>
          <w:trHeight w:val="20"/>
        </w:trPr>
        <w:tc>
          <w:tcPr>
            <w:tcW w:w="7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Depreciation expense was $12.7 million and $11.4 million during the three months ended March 31, 2019 and March 31, 2018, respectively.</w:t>
      </w:r>
    </w:p>
    <w:p>
      <w:pPr>
        <w:spacing w:after="0" w:line="22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PRIVATELY HELD COMPANIES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investments in the equity securities of privately held companies totaled $9.1 million as of March 31, 2019 and December 31, 2018. These investments are accounted for at cost, adjusted for changes in observable prices minus impairment. We own less than 20% of the voting securities in each of these investments and do not have the ability to exercise significant influence over operating and financial policies of the respective entities. These investments are recorded as other assets in our condensed consolidated balance sheets and would be measured at fair value if indicators of an increase in value or impairment existed. As of March 31, 2019, no events have occurred that would affect the carrying value of these investments.</w:t>
      </w:r>
    </w:p>
    <w:p>
      <w:pPr>
        <w:spacing w:after="0" w:line="169"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ZoneFox Holdings Limited</w:t>
      </w:r>
    </w:p>
    <w:p>
      <w:pPr>
        <w:spacing w:after="0" w:line="225"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On October 22, 2018, we acquired all outstanding shares of ZoneFox Holdings Limited (“ZoneFox”), a privately held cloud-based company providing insider threat detection and response. ZoneFox is headquartered in Edinburgh, Scotland. We expect the ZoneFox acquisition will allow us to provide additional user and entity behavior analytics features.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the business combination method of accounting in accordance with ASC Topic 805, Business Combinations (“ASC 805”), the total purchase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price was allocated to ZoneFox’s identifiable tangible and intangible assets acquired and liabilities assumed based on their estimated fair values using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management’s best estimates and assumptions to assign fair value as of the acquisition date. The purchase price for ZoneFox was $16.1 million, of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was allocated to goodwill that was non-deductible for tax purposes, and $6.8 million was allocated to identifiable intangible assets the majority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which was developed technology offset by $3.2 million of net liabilities assumed. Acquisition-related costs related to the ZoneFox acquisition were not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material. Goodwill recorded in connection with this acquisition represents the value we expect to be created through expansion into markets within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existing business, and potential cost savings and synergies.</w:t>
      </w:r>
    </w:p>
    <w:p>
      <w:pPr>
        <w:spacing w:after="0" w:line="21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March 31, 2019, no fair value was assigned to the contingent consideration based on the estimated probability of attainment of the performance conditions.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Bradford Networks, Inc.</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June 4, 2018, we acquired all outstanding shares of Bradford Networks, Inc. (“Bradford”), a provider of network access control security products and services. We believe that this acquisition will extend the Fortinet Security Fabric to include network access control that helps with a security assessment related to devices accessing the network, including Internet of Things devices.</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Under the business combination method of accounting in accordance with ASC 805, the total purchase price was allocated to Bradford’s identifiable tangible and intangible assets acquired and liabilities assumed based on their estimated fair values using management's best estimates and assumptions to assign fair value as of the acquisition date. The purchase price for Bradford was $6.8 million, of which $11.1 million was allocated to goodwill that was non-deductible for tax purposes, and $8.0 million was allocated to identifiable intangible assets the majority of which was developed technology offset by $12.3 million of net liabilities assumed. Acquisition-related costs related to the Bradford acquisition were not material. Goodwill recorded in connection with this acquisition represents the value we expect to be created through expansion into markets within our existing business, and potential cost savings and synergies.</w:t>
      </w:r>
    </w:p>
    <w:p>
      <w:pPr>
        <w:spacing w:after="0" w:line="16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may pay an additional $2.0 million in cash consideration as an earn-out that is subject in full to satisfaction of certain performance conditions. As of March 31, 2019, no fair value was assigned to the contingent consideration based on the estimated probability of attainment of the performance conditions.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 forma information has not been presented for these acquisitions as the impact to our condensed consolidated financial statements was not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material.</w:t>
      </w:r>
    </w:p>
    <w:p>
      <w:pPr>
        <w:spacing w:after="0" w:line="207"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As of March 31, 2019 and December 31, 2018, we had goodwill of $38.2 million. There were no impairments to goodwill during the three months ended March 31, 2019 or during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other intangible assets—net as of March 31, 2019 and December 31, 2018 (in millions, except years):</w:t>
      </w:r>
    </w:p>
    <w:p>
      <w:pPr>
        <w:spacing w:after="0" w:line="200" w:lineRule="exact"/>
        <w:rPr>
          <w:sz w:val="20"/>
          <w:szCs w:val="20"/>
          <w:color w:val="auto"/>
        </w:rPr>
      </w:pPr>
    </w:p>
    <w:p>
      <w:pPr>
        <w:spacing w:after="0" w:line="201"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3.8</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78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37465</wp:posOffset>
            </wp:positionV>
            <wp:extent cx="3764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50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Useful Life (in</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0"/>
        </w:trPr>
        <w:tc>
          <w:tcPr>
            <w:tcW w:w="55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Years)</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18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340" w:type="dxa"/>
            <w:vAlign w:val="bottom"/>
          </w:tcPr>
          <w:p>
            <w:pPr>
              <w:spacing w:after="0"/>
              <w:rPr>
                <w:sz w:val="18"/>
                <w:szCs w:val="18"/>
                <w:color w:val="auto"/>
              </w:rPr>
            </w:pPr>
          </w:p>
        </w:tc>
        <w:tc>
          <w:tcPr>
            <w:tcW w:w="1020" w:type="dxa"/>
            <w:vAlign w:val="bottom"/>
          </w:tcPr>
          <w:p>
            <w:pPr>
              <w:jc w:val="right"/>
              <w:ind w:right="472"/>
              <w:spacing w:after="0"/>
              <w:rPr>
                <w:sz w:val="20"/>
                <w:szCs w:val="20"/>
                <w:color w:val="auto"/>
              </w:rPr>
            </w:pPr>
            <w:r>
              <w:rPr>
                <w:rFonts w:ascii="Arial" w:cs="Arial" w:eastAsia="Arial" w:hAnsi="Arial"/>
                <w:sz w:val="16"/>
                <w:szCs w:val="16"/>
                <w:b w:val="1"/>
                <w:bCs w:val="1"/>
                <w:color w:val="auto"/>
              </w:rPr>
              <w:t>Net</w:t>
            </w:r>
          </w:p>
        </w:tc>
      </w:tr>
      <w:tr>
        <w:trPr>
          <w:trHeight w:val="33"/>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assets—net:</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Developed technologies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43"/>
        </w:trPr>
        <w:tc>
          <w:tcPr>
            <w:tcW w:w="5500" w:type="dxa"/>
            <w:vAlign w:val="bottom"/>
          </w:tcPr>
          <w:p>
            <w:pPr>
              <w:ind w:left="500"/>
              <w:spacing w:after="0"/>
              <w:rPr>
                <w:sz w:val="20"/>
                <w:szCs w:val="20"/>
                <w:color w:val="auto"/>
              </w:rPr>
            </w:pPr>
            <w:r>
              <w:rPr>
                <w:rFonts w:ascii="Arial" w:cs="Arial" w:eastAsia="Arial" w:hAnsi="Arial"/>
                <w:sz w:val="18"/>
                <w:szCs w:val="18"/>
                <w:color w:val="auto"/>
              </w:rPr>
              <w:t>Customer relationships</w:t>
            </w: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4.7</w:t>
            </w:r>
          </w:p>
        </w:tc>
      </w:tr>
      <w:tr>
        <w:trPr>
          <w:trHeight w:val="27"/>
        </w:trPr>
        <w:tc>
          <w:tcPr>
            <w:tcW w:w="55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intangible assets—net</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0"/>
        </w:trPr>
        <w:tc>
          <w:tcPr>
            <w:tcW w:w="5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Amortization expense was $3.0 million and $1.8 million during the three months ended March 31, 2019 and March 31, 2018, respectively.</w:t>
      </w:r>
    </w:p>
    <w:p>
      <w:pPr>
        <w:spacing w:after="0" w:line="3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estimated future amortization expense of finite-lived intangible assets—net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tcPr>
          <w:p>
            <w:pPr>
              <w:jc w:val="right"/>
              <w:ind w:right="771"/>
              <w:spacing w:after="0"/>
              <w:rPr>
                <w:sz w:val="20"/>
                <w:szCs w:val="20"/>
                <w:color w:val="auto"/>
              </w:rPr>
            </w:pPr>
            <w:r>
              <w:rPr>
                <w:rFonts w:ascii="Arial" w:cs="Arial" w:eastAsia="Arial" w:hAnsi="Arial"/>
                <w:sz w:val="16"/>
                <w:szCs w:val="16"/>
                <w:b w:val="1"/>
                <w:bCs w:val="1"/>
                <w:color w:val="auto"/>
              </w:rPr>
              <w:t>Amount</w:t>
            </w:r>
          </w:p>
        </w:tc>
      </w:tr>
      <w:tr>
        <w:trPr>
          <w:trHeight w:val="33"/>
        </w:trPr>
        <w:tc>
          <w:tcPr>
            <w:tcW w:w="9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2019 (the remainder of 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7"/>
        </w:trPr>
        <w:tc>
          <w:tcPr>
            <w:tcW w:w="9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r>
      <w:tr>
        <w:trPr>
          <w:trHeight w:val="20"/>
        </w:trPr>
        <w:tc>
          <w:tcPr>
            <w:tcW w:w="9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right="100" w:firstLine="648"/>
        <w:spacing w:after="0" w:line="302"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during the period, plus the dilutive effects of restricted stock units (“RSUs”), stock options and our Employee Stock Purchase Plan (the “ESPP”), which was terminated in February 2019 at the completion of the prior offering period. Dilutive shares of common stock are determined by applying the treasury stock method.</w:t>
      </w:r>
    </w:p>
    <w:p>
      <w:pPr>
        <w:spacing w:after="0" w:line="15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(in millions, except per share amounts):</w:t>
      </w:r>
    </w:p>
    <w:p>
      <w:pPr>
        <w:spacing w:after="0" w:line="306"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37465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66" w:lineRule="exact"/>
        <w:rPr>
          <w:sz w:val="20"/>
          <w:szCs w:val="20"/>
          <w:color w:val="auto"/>
        </w:rPr>
      </w:pPr>
    </w:p>
    <w:p>
      <w:pPr>
        <w:ind w:left="8840"/>
        <w:spacing w:after="0"/>
        <w:tabs>
          <w:tab w:leader="none" w:pos="10340" w:val="left"/>
        </w:tabs>
        <w:rPr>
          <w:sz w:val="20"/>
          <w:szCs w:val="20"/>
          <w:color w:val="auto"/>
        </w:rPr>
      </w:pPr>
      <w:r>
        <w:rPr>
          <w:rFonts w:ascii="Arial" w:cs="Arial" w:eastAsia="Arial" w:hAnsi="Arial"/>
          <w:sz w:val="16"/>
          <w:szCs w:val="16"/>
          <w:b w:val="1"/>
          <w:bCs w:val="1"/>
          <w:color w:val="auto"/>
        </w:rPr>
        <w:t>March 31,</w:t>
      </w:r>
      <w:r>
        <w:rPr>
          <w:sz w:val="20"/>
          <w:szCs w:val="20"/>
          <w:color w:val="auto"/>
        </w:rPr>
        <w:tab/>
      </w:r>
      <w:r>
        <w:rPr>
          <w:rFonts w:ascii="Arial" w:cs="Arial" w:eastAsia="Arial" w:hAnsi="Arial"/>
          <w:sz w:val="15"/>
          <w:szCs w:val="15"/>
          <w:b w:val="1"/>
          <w:bCs w:val="1"/>
          <w:color w:val="auto"/>
        </w:rPr>
        <w:t>March 31,</w:t>
      </w:r>
    </w:p>
    <w:p>
      <w:pPr>
        <w:spacing w:after="0" w:line="26" w:lineRule="exact"/>
        <w:rPr>
          <w:sz w:val="20"/>
          <w:szCs w:val="20"/>
          <w:color w:val="auto"/>
        </w:rPr>
      </w:pPr>
    </w:p>
    <w:p>
      <w:pPr>
        <w:ind w:left="904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Numerator:</w:t>
      </w: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Basic shares: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Diluted shares: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Weighted-average common stock outstanding-basic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Effect of potentially dilutive securities: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tabs>
          <w:tab w:leader="none" w:pos="1020" w:val="left"/>
          <w:tab w:leader="none" w:pos="158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58.8</w:t>
        <w:tab/>
        <w:t>$</w:t>
      </w:r>
      <w:r>
        <w:rPr>
          <w:sz w:val="20"/>
          <w:szCs w:val="20"/>
          <w:color w:val="auto"/>
        </w:rPr>
        <w:tab/>
      </w:r>
      <w:r>
        <w:rPr>
          <w:rFonts w:ascii="Arial" w:cs="Arial" w:eastAsia="Arial" w:hAnsi="Arial"/>
          <w:sz w:val="16"/>
          <w:szCs w:val="16"/>
          <w:color w:val="auto"/>
        </w:rPr>
        <w:t>41.6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878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170.2</w:t>
      </w:r>
      <w:r>
        <w:rPr>
          <w:sz w:val="20"/>
          <w:szCs w:val="20"/>
          <w:color w:val="auto"/>
        </w:rPr>
        <w:tab/>
      </w:r>
      <w:r>
        <w:rPr>
          <w:rFonts w:ascii="Arial" w:cs="Arial" w:eastAsia="Arial" w:hAnsi="Arial"/>
          <w:sz w:val="16"/>
          <w:szCs w:val="16"/>
          <w:color w:val="auto"/>
        </w:rPr>
        <w:t>167.7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878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54" w:lineRule="exact"/>
        <w:rPr>
          <w:sz w:val="20"/>
          <w:szCs w:val="20"/>
          <w:color w:val="auto"/>
        </w:rPr>
      </w:pPr>
    </w:p>
    <w:p>
      <w:pPr>
        <w:jc w:val="right"/>
        <w:ind w:right="100"/>
        <w:spacing w:after="0"/>
        <w:tabs>
          <w:tab w:leader="none" w:pos="400" w:val="left"/>
        </w:tabs>
        <w:rPr>
          <w:sz w:val="20"/>
          <w:szCs w:val="20"/>
          <w:color w:val="auto"/>
        </w:rPr>
      </w:pPr>
      <w:r>
        <w:rPr>
          <w:rFonts w:ascii="Arial" w:cs="Arial" w:eastAsia="Arial" w:hAnsi="Arial"/>
          <w:sz w:val="18"/>
          <w:szCs w:val="18"/>
          <w:color w:val="auto"/>
        </w:rPr>
        <w:t>170.2</w:t>
      </w:r>
      <w:r>
        <w:rPr>
          <w:sz w:val="20"/>
          <w:szCs w:val="20"/>
          <w:color w:val="auto"/>
        </w:rPr>
        <w:tab/>
      </w:r>
      <w:r>
        <w:rPr>
          <w:rFonts w:ascii="Arial" w:cs="Arial" w:eastAsia="Arial" w:hAnsi="Arial"/>
          <w:sz w:val="16"/>
          <w:szCs w:val="16"/>
          <w:color w:val="auto"/>
        </w:rPr>
        <w:t>167.7</w:t>
      </w:r>
    </w:p>
    <w:p>
      <w:pPr>
        <w:spacing w:after="0" w:line="333" w:lineRule="exact"/>
        <w:rPr>
          <w:sz w:val="20"/>
          <w:szCs w:val="20"/>
          <w:color w:val="auto"/>
        </w:rPr>
      </w:pPr>
    </w:p>
    <w:p>
      <w:pPr>
        <w:sectPr>
          <w:pgSz w:w="11900" w:h="16838" w:orient="portrait"/>
          <w:cols w:equalWidth="0" w:num="2">
            <w:col w:w="7760" w:space="720"/>
            <w:col w:w="294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380" w:type="dxa"/>
            <w:vAlign w:val="bottom"/>
          </w:tcPr>
          <w:p>
            <w:pPr>
              <w:ind w:left="920"/>
              <w:spacing w:after="0"/>
              <w:rPr>
                <w:sz w:val="20"/>
                <w:szCs w:val="20"/>
                <w:color w:val="auto"/>
              </w:rPr>
            </w:pPr>
            <w:r>
              <w:rPr>
                <w:rFonts w:ascii="Arial" w:cs="Arial" w:eastAsia="Arial" w:hAnsi="Arial"/>
                <w:sz w:val="18"/>
                <w:szCs w:val="18"/>
                <w:color w:val="auto"/>
              </w:rPr>
              <w:t>RSUs</w:t>
            </w:r>
          </w:p>
        </w:tc>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3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5380" w:type="dxa"/>
            <w:vAlign w:val="bottom"/>
          </w:tcPr>
          <w:p>
            <w:pPr>
              <w:ind w:left="920"/>
              <w:spacing w:after="0"/>
              <w:rPr>
                <w:sz w:val="20"/>
                <w:szCs w:val="20"/>
                <w:color w:val="auto"/>
              </w:rPr>
            </w:pPr>
            <w:r>
              <w:rPr>
                <w:rFonts w:ascii="Arial" w:cs="Arial" w:eastAsia="Arial" w:hAnsi="Arial"/>
                <w:sz w:val="18"/>
                <w:szCs w:val="18"/>
                <w:color w:val="auto"/>
              </w:rPr>
              <w:t>ESPP</w:t>
            </w:r>
          </w:p>
        </w:tc>
        <w:tc>
          <w:tcPr>
            <w:tcW w:w="3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Weighted-average shares used to compute diluted net income per share</w:t>
            </w:r>
          </w:p>
        </w:tc>
        <w:tc>
          <w:tcPr>
            <w:tcW w:w="3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8"/>
                <w:szCs w:val="18"/>
                <w:color w:val="auto"/>
              </w:rPr>
              <w:t>Net income per share:</w:t>
            </w:r>
          </w:p>
        </w:tc>
        <w:tc>
          <w:tcPr>
            <w:tcW w:w="3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380" w:type="dxa"/>
            <w:vAlign w:val="bottom"/>
            <w:vMerge w:val="continue"/>
          </w:tcPr>
          <w:p>
            <w:pPr>
              <w:spacing w:after="0"/>
              <w:rPr>
                <w:sz w:val="20"/>
                <w:szCs w:val="20"/>
                <w:color w:val="auto"/>
              </w:rPr>
            </w:pPr>
          </w:p>
        </w:tc>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30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ind w:left="500"/>
              <w:spacing w:after="0"/>
              <w:rPr>
                <w:sz w:val="20"/>
                <w:szCs w:val="20"/>
                <w:color w:val="auto"/>
              </w:rPr>
            </w:pPr>
            <w:r>
              <w:rPr>
                <w:rFonts w:ascii="Arial" w:cs="Arial" w:eastAsia="Arial" w:hAnsi="Arial"/>
                <w:sz w:val="18"/>
                <w:szCs w:val="18"/>
                <w:color w:val="auto"/>
              </w:rPr>
              <w:t>Diluted</w:t>
            </w:r>
          </w:p>
        </w:tc>
        <w:tc>
          <w:tcPr>
            <w:tcW w:w="3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3080" w:type="dxa"/>
            <w:vAlign w:val="bottom"/>
            <w:vMerge w:val="restart"/>
          </w:tcPr>
          <w:p>
            <w:pPr>
              <w:jc w:val="right"/>
              <w:ind w:right="2570"/>
              <w:spacing w:after="0"/>
              <w:rPr>
                <w:sz w:val="20"/>
                <w:szCs w:val="20"/>
                <w:color w:val="auto"/>
              </w:rPr>
            </w:pPr>
            <w:r>
              <w:rPr>
                <w:rFonts w:ascii="Arial" w:cs="Arial" w:eastAsia="Arial" w:hAnsi="Arial"/>
                <w:sz w:val="18"/>
                <w:szCs w:val="18"/>
                <w:color w:val="auto"/>
              </w:rPr>
              <w:t>14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millions):</w:t>
      </w:r>
    </w:p>
    <w:p>
      <w:pPr>
        <w:spacing w:after="0" w:line="306"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37465</wp:posOffset>
            </wp:positionV>
            <wp:extent cx="19551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1120" w:type="dxa"/>
            <w:vAlign w:val="bottom"/>
          </w:tcPr>
          <w:p>
            <w:pPr>
              <w:ind w:left="380"/>
              <w:spacing w:after="0"/>
              <w:rPr>
                <w:sz w:val="20"/>
                <w:szCs w:val="20"/>
                <w:color w:val="auto"/>
              </w:rPr>
            </w:pPr>
            <w:r>
              <w:rPr>
                <w:rFonts w:ascii="Arial" w:cs="Arial" w:eastAsia="Arial" w:hAnsi="Arial"/>
                <w:sz w:val="16"/>
                <w:szCs w:val="16"/>
                <w:b w:val="1"/>
                <w:bCs w:val="1"/>
                <w:color w:val="auto"/>
                <w:w w:val="97"/>
              </w:rPr>
              <w:t>March 31,</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9460" w:type="dxa"/>
            <w:vAlign w:val="bottom"/>
            <w:gridSpan w:val="2"/>
          </w:tcPr>
          <w:p>
            <w:pPr>
              <w:ind w:left="8920"/>
              <w:spacing w:after="0"/>
              <w:rPr>
                <w:sz w:val="20"/>
                <w:szCs w:val="20"/>
                <w:color w:val="auto"/>
              </w:rPr>
            </w:pPr>
            <w:r>
              <w:rPr>
                <w:rFonts w:ascii="Arial" w:cs="Arial" w:eastAsia="Arial" w:hAnsi="Arial"/>
                <w:sz w:val="16"/>
                <w:szCs w:val="16"/>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9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5"/>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9460" w:type="dxa"/>
            <w:vAlign w:val="bottom"/>
            <w:gridSpan w:val="2"/>
          </w:tcPr>
          <w:p>
            <w:pPr>
              <w:ind w:left="40"/>
              <w:spacing w:after="0"/>
              <w:rPr>
                <w:sz w:val="20"/>
                <w:szCs w:val="20"/>
                <w:color w:val="auto"/>
              </w:rPr>
            </w:pPr>
            <w:r>
              <w:rPr>
                <w:rFonts w:ascii="Arial" w:cs="Arial" w:eastAsia="Arial" w:hAnsi="Arial"/>
                <w:sz w:val="18"/>
                <w:szCs w:val="18"/>
                <w:color w:val="auto"/>
              </w:rPr>
              <w:t>Stock options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0.3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have operating leases for offices, research and development facilities and data centers. Our leases have remaining terms of less than one year to approximately eight years, some of which include one or more options to renew, with renewal terms of up to five years. We do not include any of our renewal options in our lease terms for calculating our lease liability, as the renewal options allow us to maintain operational flexibility and we are not reasonably certain we will exercise these renewal options at the time of the lease commencement. Our finance leases are not material to our financial statements.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4"/>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9"/>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214"/>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4"/>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expense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r>
      <w:tr>
        <w:trPr>
          <w:trHeight w:val="270"/>
        </w:trPr>
        <w:tc>
          <w:tcPr>
            <w:tcW w:w="91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Variable lease expense </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2020" w:type="dxa"/>
            <w:vAlign w:val="bottom"/>
          </w:tcPr>
          <w:p>
            <w:pPr>
              <w:jc w:val="right"/>
              <w:ind w:right="14"/>
              <w:spacing w:after="0"/>
              <w:rPr>
                <w:sz w:val="20"/>
                <w:szCs w:val="20"/>
                <w:color w:val="auto"/>
              </w:rPr>
            </w:pPr>
            <w:r>
              <w:rPr>
                <w:rFonts w:ascii="Arial" w:cs="Arial" w:eastAsia="Arial" w:hAnsi="Arial"/>
                <w:sz w:val="18"/>
                <w:szCs w:val="18"/>
                <w:color w:val="auto"/>
              </w:rPr>
              <w:t>0.6</w:t>
            </w: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lease expense</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r>
      <w:tr>
        <w:trPr>
          <w:trHeight w:val="257"/>
        </w:trPr>
        <w:tc>
          <w:tcPr>
            <w:tcW w:w="9140" w:type="dxa"/>
            <w:vAlign w:val="bottom"/>
          </w:tcPr>
          <w:p>
            <w:pPr>
              <w:ind w:left="380"/>
              <w:spacing w:after="0"/>
              <w:rPr>
                <w:sz w:val="20"/>
                <w:szCs w:val="20"/>
                <w:color w:val="auto"/>
              </w:rPr>
            </w:pPr>
            <w:r>
              <w:rPr>
                <w:rFonts w:ascii="Arial" w:cs="Arial" w:eastAsia="Arial" w:hAnsi="Arial"/>
                <w:sz w:val="18"/>
                <w:szCs w:val="18"/>
                <w:color w:val="auto"/>
              </w:rPr>
              <w:t>Total lease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Variable lease expense for the three months ended March 31, 2019 predominantly included common area maintenance charges and parking expense.</w:t>
      </w:r>
    </w:p>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Rent expense was $4.1 million during the three months ended March 31, 2018. Rent expense was recognized in accordance with ASC 840, Leases, using the straight-line method over the term of a lease.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balance sheet information related to our operating leases was as follows (in millions, except lease term and discount rate):</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193"/>
              <w:spacing w:after="0"/>
              <w:rPr>
                <w:sz w:val="20"/>
                <w:szCs w:val="20"/>
                <w:color w:val="auto"/>
              </w:rPr>
            </w:pPr>
            <w:r>
              <w:rPr>
                <w:rFonts w:ascii="Arial" w:cs="Arial" w:eastAsia="Arial" w:hAnsi="Arial"/>
                <w:sz w:val="16"/>
                <w:szCs w:val="16"/>
                <w:b w:val="1"/>
                <w:bCs w:val="1"/>
                <w:color w:val="auto"/>
                <w:w w:val="93"/>
              </w:rPr>
              <w:t>Three Months Ended</w:t>
            </w:r>
          </w:p>
        </w:tc>
      </w:tr>
      <w:tr>
        <w:trPr>
          <w:trHeight w:val="33"/>
        </w:trPr>
        <w:tc>
          <w:tcPr>
            <w:tcW w:w="63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9"/>
        </w:trPr>
        <w:tc>
          <w:tcPr>
            <w:tcW w:w="6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80" w:type="dxa"/>
            <w:vAlign w:val="bottom"/>
          </w:tcPr>
          <w:p>
            <w:pPr>
              <w:jc w:val="center"/>
              <w:ind w:right="23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634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Classification</w:t>
            </w:r>
          </w:p>
        </w:tc>
        <w:tc>
          <w:tcPr>
            <w:tcW w:w="280" w:type="dxa"/>
            <w:vAlign w:val="bottom"/>
          </w:tcPr>
          <w:p>
            <w:pPr>
              <w:spacing w:after="0"/>
              <w:rPr>
                <w:sz w:val="18"/>
                <w:szCs w:val="18"/>
                <w:color w:val="auto"/>
              </w:rPr>
            </w:pPr>
          </w:p>
        </w:tc>
        <w:tc>
          <w:tcPr>
            <w:tcW w:w="2080" w:type="dxa"/>
            <w:vAlign w:val="bottom"/>
          </w:tcPr>
          <w:p>
            <w:pPr>
              <w:jc w:val="center"/>
              <w:ind w:right="193"/>
              <w:spacing w:after="0"/>
              <w:rPr>
                <w:sz w:val="20"/>
                <w:szCs w:val="20"/>
                <w:color w:val="auto"/>
              </w:rPr>
            </w:pPr>
            <w:r>
              <w:rPr>
                <w:rFonts w:ascii="Arial" w:cs="Arial" w:eastAsia="Arial" w:hAnsi="Arial"/>
                <w:sz w:val="16"/>
                <w:szCs w:val="16"/>
                <w:b w:val="1"/>
                <w:bCs w:val="1"/>
                <w:color w:val="auto"/>
                <w:w w:val="89"/>
              </w:rPr>
              <w:t>2019</w:t>
            </w:r>
          </w:p>
        </w:tc>
      </w:tr>
      <w:tr>
        <w:trPr>
          <w:trHeight w:val="33"/>
        </w:trPr>
        <w:tc>
          <w:tcPr>
            <w:tcW w:w="634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ROU assets - non-current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39.2</w:t>
            </w:r>
          </w:p>
        </w:tc>
      </w:tr>
      <w:tr>
        <w:trPr>
          <w:trHeight w:val="20"/>
        </w:trPr>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84"/>
        </w:trPr>
        <w:tc>
          <w:tcPr>
            <w:tcW w:w="6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 current</w:t>
            </w:r>
          </w:p>
        </w:tc>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11.9</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Operating lease liabilities - non-current</w:t>
            </w:r>
          </w:p>
        </w:tc>
        <w:tc>
          <w:tcPr>
            <w:tcW w:w="27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2080" w:type="dxa"/>
            <w:vAlign w:val="bottom"/>
          </w:tcPr>
          <w:p>
            <w:pPr>
              <w:jc w:val="right"/>
              <w:ind w:right="93"/>
              <w:spacing w:after="0"/>
              <w:rPr>
                <w:sz w:val="20"/>
                <w:szCs w:val="20"/>
                <w:color w:val="auto"/>
              </w:rPr>
            </w:pPr>
            <w:r>
              <w:rPr>
                <w:rFonts w:ascii="Arial" w:cs="Arial" w:eastAsia="Arial" w:hAnsi="Arial"/>
                <w:sz w:val="18"/>
                <w:szCs w:val="18"/>
                <w:color w:val="auto"/>
              </w:rPr>
              <w:t>27.5</w:t>
            </w:r>
          </w:p>
        </w:tc>
      </w:tr>
      <w:tr>
        <w:trPr>
          <w:trHeight w:val="27"/>
        </w:trPr>
        <w:tc>
          <w:tcPr>
            <w:tcW w:w="634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lease liabilities</w:t>
            </w:r>
          </w:p>
        </w:tc>
        <w:tc>
          <w:tcPr>
            <w:tcW w:w="27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39.4</w:t>
            </w:r>
          </w:p>
        </w:tc>
      </w:tr>
      <w:tr>
        <w:trPr>
          <w:trHeight w:val="20"/>
        </w:trPr>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284"/>
        </w:trPr>
        <w:tc>
          <w:tcPr>
            <w:tcW w:w="63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5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 - operating leases</w:t>
            </w:r>
          </w:p>
        </w:tc>
        <w:tc>
          <w:tcPr>
            <w:tcW w:w="2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color w:val="auto"/>
              </w:rPr>
              <w:t>Weighted average discount rate - operating leases</w:t>
            </w:r>
          </w:p>
        </w:tc>
        <w:tc>
          <w:tcPr>
            <w:tcW w:w="2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4"/>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33"/>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214"/>
              <w:spacing w:after="0"/>
              <w:rPr>
                <w:sz w:val="20"/>
                <w:szCs w:val="20"/>
                <w:color w:val="auto"/>
              </w:rPr>
            </w:pPr>
            <w:r>
              <w:rPr>
                <w:rFonts w:ascii="Arial" w:cs="Arial" w:eastAsia="Arial" w:hAnsi="Arial"/>
                <w:sz w:val="16"/>
                <w:szCs w:val="16"/>
                <w:b w:val="1"/>
                <w:bCs w:val="1"/>
                <w:color w:val="auto"/>
                <w:w w:val="97"/>
              </w:rPr>
              <w:t>March 31,</w:t>
            </w:r>
          </w:p>
        </w:tc>
        <w:tc>
          <w:tcPr>
            <w:tcW w:w="0" w:type="dxa"/>
            <w:vAlign w:val="bottom"/>
          </w:tcPr>
          <w:p>
            <w:pPr>
              <w:spacing w:after="0"/>
              <w:rPr>
                <w:sz w:val="1"/>
                <w:szCs w:val="1"/>
                <w:color w:val="auto"/>
              </w:rPr>
            </w:pPr>
          </w:p>
        </w:tc>
      </w:tr>
      <w:tr>
        <w:trPr>
          <w:trHeight w:val="210"/>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4"/>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33"/>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9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Operating cash flows used for operating leases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84"/>
        </w:trPr>
        <w:tc>
          <w:tcPr>
            <w:tcW w:w="9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660"/>
              <w:spacing w:after="0"/>
              <w:rPr>
                <w:sz w:val="20"/>
                <w:szCs w:val="20"/>
                <w:color w:val="auto"/>
              </w:rPr>
            </w:pPr>
            <w:r>
              <w:rPr>
                <w:rFonts w:ascii="Arial" w:cs="Arial" w:eastAsia="Arial" w:hAnsi="Arial"/>
                <w:sz w:val="18"/>
                <w:szCs w:val="18"/>
                <w:color w:val="auto"/>
              </w:rPr>
              <w:t>Maturities of operating lease liabilities as of March 31, 2019 were as follows (in millions):</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9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260" w:type="dxa"/>
            <w:vAlign w:val="bottom"/>
          </w:tcPr>
          <w:p>
            <w:pPr>
              <w:spacing w:after="0"/>
              <w:rPr>
                <w:sz w:val="24"/>
                <w:szCs w:val="24"/>
                <w:color w:val="auto"/>
              </w:rPr>
            </w:pPr>
          </w:p>
        </w:tc>
        <w:tc>
          <w:tcPr>
            <w:tcW w:w="2020" w:type="dxa"/>
            <w:vAlign w:val="bottom"/>
          </w:tcPr>
          <w:p>
            <w:pPr>
              <w:jc w:val="center"/>
              <w:ind w:right="174"/>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2019 (the remainder of 2019)</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2022</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Thereafter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lease payments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8.2</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3.7</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31750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42.0</w:t>
      </w:r>
    </w:p>
    <w:p>
      <w:pPr>
        <w:spacing w:after="0" w:line="63"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-5810885</wp:posOffset>
            </wp:positionH>
            <wp:positionV relativeFrom="paragraph">
              <wp:posOffset>39370</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8" w:lineRule="exact"/>
        <w:rPr>
          <w:sz w:val="20"/>
          <w:szCs w:val="20"/>
          <w:color w:val="auto"/>
        </w:rPr>
      </w:pPr>
    </w:p>
    <w:p>
      <w:pPr>
        <w:spacing w:after="0"/>
        <w:tabs>
          <w:tab w:leader="none" w:pos="1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48895</wp:posOffset>
            </wp:positionV>
            <wp:extent cx="14490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60"/>
          </w:cols>
          <w:pgMar w:left="240" w:top="125" w:right="239" w:bottom="1440" w:gutter="0" w:footer="0" w:header="0"/>
          <w:type w:val="continuous"/>
        </w:sectPr>
      </w:pPr>
    </w:p>
    <w:p>
      <w:pPr>
        <w:spacing w:after="0" w:line="29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March 31, 2019, we had additional minimum lease payments of $1.5 million relating to operating office space lease which was signed but had not yet commenced and therefore excluded from the table above. This lease will commence during 2019 with a lease term of approximately 5 years.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our future principal contractual obligations for operating lease commitments as of December 31, 2018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Year ending December 31,</w:t>
            </w:r>
          </w:p>
        </w:tc>
        <w:tc>
          <w:tcPr>
            <w:tcW w:w="46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0"/>
        </w:trPr>
        <w:tc>
          <w:tcPr>
            <w:tcW w:w="9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Total future principal contractual obligations for operating lease commitments as of December 31, 2018 exceeded our undiscounted lease liability as of Topic 842 adoption date, primarily because the lease liability did not include short-term lease payments, which were excluded due to the adoption of the short-term lease exemption, and minimum lease payments relating to an operating office space lease that was signed but had not yet commenced.</w:t>
      </w:r>
    </w:p>
    <w:p>
      <w:pPr>
        <w:sectPr>
          <w:pgSz w:w="11900" w:h="16838" w:orient="portrait"/>
          <w:cols w:equalWidth="0" w:num="1">
            <w:col w:w="11420"/>
          </w:cols>
          <w:pgMar w:left="240" w:top="125" w:right="239" w:bottom="1440" w:gutter="0" w:footer="0" w:header="0"/>
          <w:type w:val="continuous"/>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future principal contractual obligations as of March 31, 2019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Arial" w:cs="Arial" w:eastAsia="Arial" w:hAnsi="Arial"/>
                <w:sz w:val="16"/>
                <w:szCs w:val="16"/>
                <w:b w:val="1"/>
                <w:bCs w:val="1"/>
                <w:color w:val="auto"/>
              </w:rPr>
              <w:t>Total</w:t>
            </w:r>
          </w:p>
        </w:tc>
        <w:tc>
          <w:tcPr>
            <w:tcW w:w="380" w:type="dxa"/>
            <w:vAlign w:val="bottom"/>
          </w:tcPr>
          <w:p>
            <w:pPr>
              <w:spacing w:after="0"/>
              <w:rPr>
                <w:sz w:val="18"/>
                <w:szCs w:val="18"/>
                <w:color w:val="auto"/>
              </w:rPr>
            </w:pPr>
          </w:p>
        </w:tc>
        <w:tc>
          <w:tcPr>
            <w:tcW w:w="900" w:type="dxa"/>
            <w:vAlign w:val="bottom"/>
          </w:tcPr>
          <w:p>
            <w:pPr>
              <w:jc w:val="right"/>
              <w:ind w:right="354"/>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880" w:type="dxa"/>
            <w:vAlign w:val="bottom"/>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360" w:type="dxa"/>
            <w:vAlign w:val="bottom"/>
          </w:tcPr>
          <w:p>
            <w:pPr>
              <w:spacing w:after="0"/>
              <w:rPr>
                <w:sz w:val="18"/>
                <w:szCs w:val="18"/>
                <w:color w:val="auto"/>
              </w:rPr>
            </w:pP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694"/>
              <w:spacing w:after="0"/>
              <w:rPr>
                <w:sz w:val="20"/>
                <w:szCs w:val="20"/>
                <w:color w:val="auto"/>
              </w:rPr>
            </w:pPr>
            <w:r>
              <w:rPr>
                <w:rFonts w:ascii="Arial" w:cs="Arial" w:eastAsia="Arial" w:hAnsi="Arial"/>
                <w:sz w:val="16"/>
                <w:szCs w:val="16"/>
                <w:b w:val="1"/>
                <w:bCs w:val="1"/>
                <w:color w:val="auto"/>
              </w:rPr>
              <w:t>2022</w:t>
            </w:r>
          </w:p>
        </w:tc>
        <w:tc>
          <w:tcPr>
            <w:tcW w:w="1140" w:type="dxa"/>
            <w:vAlign w:val="bottom"/>
          </w:tcPr>
          <w:p>
            <w:pPr>
              <w:jc w:val="right"/>
              <w:ind w:right="574"/>
              <w:spacing w:after="0"/>
              <w:rPr>
                <w:sz w:val="20"/>
                <w:szCs w:val="20"/>
                <w:color w:val="auto"/>
              </w:rPr>
            </w:pPr>
            <w:r>
              <w:rPr>
                <w:rFonts w:ascii="Arial" w:cs="Arial" w:eastAsia="Arial" w:hAnsi="Arial"/>
                <w:sz w:val="16"/>
                <w:szCs w:val="16"/>
                <w:b w:val="1"/>
                <w:bCs w:val="1"/>
                <w:color w:val="auto"/>
              </w:rPr>
              <w:t>2023</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Thereafter</w:t>
            </w:r>
          </w:p>
        </w:tc>
      </w:tr>
      <w:tr>
        <w:trPr>
          <w:trHeight w:val="33"/>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Inventory purchase commitments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202.2</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b w:val="1"/>
          <w:bCs w:val="1"/>
          <w:color w:val="auto"/>
        </w:rPr>
        <w:t>Inventory Purchase Commitments</w:t>
      </w:r>
      <w:r>
        <w:rPr>
          <w:rFonts w:ascii="Arial" w:cs="Arial" w:eastAsia="Arial" w:hAnsi="Arial"/>
          <w:sz w:val="17"/>
          <w:szCs w:val="17"/>
          <w:color w:val="auto"/>
        </w:rPr>
        <w:t>—Our independent contract manufacturers procure components and build our products based on our forecasts.</w:t>
      </w:r>
      <w:r>
        <w:rPr>
          <w:rFonts w:ascii="Arial" w:cs="Arial" w:eastAsia="Arial" w:hAnsi="Arial"/>
          <w:sz w:val="17"/>
          <w:szCs w:val="17"/>
          <w:b w:val="1"/>
          <w:bCs w:val="1"/>
          <w:color w:val="auto"/>
        </w:rPr>
        <w:t xml:space="preserve"> </w:t>
      </w:r>
      <w:r>
        <w:rPr>
          <w:rFonts w:ascii="Arial" w:cs="Arial" w:eastAsia="Arial" w:hAnsi="Arial"/>
          <w:sz w:val="17"/>
          <w:szCs w:val="17"/>
          <w:color w:val="auto"/>
        </w:rPr>
        <w:t>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may issue purchase orders to some of our independent contract manufacturers which may not be cancelable. As of March 31, 2019, we had $202.2 million of open purchase orders with our independent contract manufacturers that may not be cancelable.</w:t>
      </w:r>
    </w:p>
    <w:p>
      <w:pPr>
        <w:spacing w:after="0" w:line="141"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Other Contractual Commitments and Open Purchase Orders</w:t>
      </w:r>
      <w:r>
        <w:rPr>
          <w:rFonts w:ascii="Arial" w:cs="Arial" w:eastAsia="Arial" w:hAnsi="Arial"/>
          <w:sz w:val="17"/>
          <w:szCs w:val="17"/>
          <w:color w:val="auto"/>
        </w:rPr>
        <w:t>—In addition to commitments with contract manufacturers, we have open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orders and contractual obligations in the ordinary course of business for which we have not received goods or services. As of March 31, 2019, we had $15.8 million in other contractual commitments having a remaining term in excess of one year that may not be cancelable.</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b w:val="1"/>
          <w:bCs w:val="1"/>
          <w:color w:val="auto"/>
        </w:rPr>
        <w:t>Litigation</w:t>
      </w:r>
      <w:r>
        <w:rPr>
          <w:rFonts w:ascii="Arial" w:cs="Arial" w:eastAsia="Arial" w:hAnsi="Arial"/>
          <w:sz w:val="16"/>
          <w:szCs w:val="16"/>
          <w:color w:val="auto"/>
        </w:rPr>
        <w:t>—We are involved in disputes, litigation, and other legal actions. For lawsuits where we are the defendant, we are in the process of</w:t>
      </w:r>
      <w:r>
        <w:rPr>
          <w:rFonts w:ascii="Arial" w:cs="Arial" w:eastAsia="Arial" w:hAnsi="Arial"/>
          <w:sz w:val="16"/>
          <w:szCs w:val="16"/>
          <w:b w:val="1"/>
          <w:bCs w:val="1"/>
          <w:color w:val="auto"/>
        </w:rPr>
        <w:t xml:space="preserve"> </w:t>
      </w:r>
      <w:r>
        <w:rPr>
          <w:rFonts w:ascii="Arial" w:cs="Arial" w:eastAsia="Arial" w:hAnsi="Arial"/>
          <w:sz w:val="16"/>
          <w:szCs w:val="16"/>
          <w:color w:val="auto"/>
        </w:rPr>
        <w:t>defending these litigation matters, and while there can be no assurances and the outcome of certain of these matters is currently not determinable and not predictable, we currently are unaware of any existing claims or proceedings that we believe are likely to have a material adverse effect on our financial position. There are many uncertainties associated with any litigation and these actions or other third-party claims against us may cause us to incur costly litigation fees, costs and substantial settlement charges, and possibly subject us to damages and other penalties. In addition, the resolution of any intellectual property litigation may require us to make royalty payments, which could adversely affect our gross margins in future periods. If any of those events were to occur, our business, financial condition, results of operations, and cash flows could be adversely affected. Litigation is unpredictable and the actual liability in any such matters may be materially different from our current estimates, which could result in the need to adjust any accrued liability and record additional expenses. We accrue for contingencies when we believe that a loss is probable and that we can reasonably estimate the amount of any such loss.</w:t>
      </w:r>
    </w:p>
    <w:p>
      <w:pPr>
        <w:spacing w:after="0" w:line="164"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on events from over two years ago related to our compliance with the Trade Agreements Act. We cooperated with the inquiry, and settled this matter with the United States Attorney’s Office.</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various allegations such as product defects and infringement of certain intellectual property rights, which may include patents, copyrights, trademarks or trade secrets, and to pay judgments entered on such claims. In some contracts, our exposure under these indemnification provisions is limited by the terms of the contracts to certain defined limits, such as the total amount paid by our customer under the agreement. However, certain agreements include covenants, penalties and indemnification provisions including and beyond indemnification for third-party claims of intellectual property infringement, that could potentially expose us to losses in excess of the amount received under the agreement, and in some instances to potential liability that is not contractually limited. To date, although from time to time there are indemnification claims asserted against us and currently there are pending indemnification claims, there have been no material awards under such indemnification provisions.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8200" w:hanging="652"/>
        <w:spacing w:after="0" w:line="533" w:lineRule="auto"/>
        <w:tabs>
          <w:tab w:leader="none" w:pos="462"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Stock-Based Compensation Plans</w:t>
      </w:r>
    </w:p>
    <w:p>
      <w:pPr>
        <w:ind w:right="180" w:firstLine="648"/>
        <w:spacing w:after="0" w:line="264" w:lineRule="auto"/>
        <w:rPr>
          <w:sz w:val="20"/>
          <w:szCs w:val="20"/>
          <w:color w:val="auto"/>
        </w:rPr>
      </w:pPr>
      <w:r>
        <w:rPr>
          <w:rFonts w:ascii="Arial" w:cs="Arial" w:eastAsia="Arial" w:hAnsi="Arial"/>
          <w:sz w:val="18"/>
          <w:szCs w:val="18"/>
          <w:color w:val="auto"/>
        </w:rPr>
        <w:t>We have stock-based compensation plans pursuant to which we have granted RSUs and stock options. We also previously had an ESPP for eligible employees, which was terminated in February 2019. As of March 31, 2019, there were a total of 59.5 million shares of common stock available for grant under our stock-based compensation plans.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activity and related information for RSUs for the periods presented below (in millions, except per share amounts):</w:t>
      </w:r>
    </w:p>
    <w:p>
      <w:pPr>
        <w:spacing w:after="0" w:line="33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370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5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r>
      <w:tr>
        <w:trPr>
          <w:trHeight w:val="209"/>
        </w:trPr>
        <w:tc>
          <w:tcPr>
            <w:tcW w:w="7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Weighted-Average Grant</w:t>
            </w:r>
          </w:p>
        </w:tc>
      </w:tr>
      <w:tr>
        <w:trPr>
          <w:trHeight w:val="203"/>
        </w:trPr>
        <w:tc>
          <w:tcPr>
            <w:tcW w:w="7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113"/>
              <w:spacing w:after="0"/>
              <w:rPr>
                <w:sz w:val="20"/>
                <w:szCs w:val="20"/>
                <w:color w:val="auto"/>
              </w:rPr>
            </w:pPr>
            <w:r>
              <w:rPr>
                <w:rFonts w:ascii="Arial" w:cs="Arial" w:eastAsia="Arial" w:hAnsi="Arial"/>
                <w:sz w:val="16"/>
                <w:szCs w:val="16"/>
                <w:b w:val="1"/>
                <w:bCs w:val="1"/>
                <w:color w:val="auto"/>
                <w:w w:val="96"/>
              </w:rPr>
              <w:t>Date Fair Value per</w:t>
            </w:r>
          </w:p>
        </w:tc>
      </w:tr>
      <w:tr>
        <w:trPr>
          <w:trHeight w:val="210"/>
        </w:trPr>
        <w:tc>
          <w:tcPr>
            <w:tcW w:w="7520" w:type="dxa"/>
            <w:vAlign w:val="bottom"/>
          </w:tcPr>
          <w:p>
            <w:pPr>
              <w:spacing w:after="0"/>
              <w:rPr>
                <w:sz w:val="18"/>
                <w:szCs w:val="18"/>
                <w:color w:val="auto"/>
              </w:rPr>
            </w:pP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auto"/>
              </w:rPr>
              <w:t>Number of Shares</w:t>
            </w:r>
          </w:p>
        </w:tc>
        <w:tc>
          <w:tcPr>
            <w:tcW w:w="180" w:type="dxa"/>
            <w:vAlign w:val="bottom"/>
          </w:tcPr>
          <w:p>
            <w:pPr>
              <w:spacing w:after="0"/>
              <w:rPr>
                <w:sz w:val="18"/>
                <w:szCs w:val="18"/>
                <w:color w:val="auto"/>
              </w:rPr>
            </w:pPr>
          </w:p>
        </w:tc>
        <w:tc>
          <w:tcPr>
            <w:tcW w:w="1620" w:type="dxa"/>
            <w:vAlign w:val="bottom"/>
          </w:tcPr>
          <w:p>
            <w:pPr>
              <w:jc w:val="right"/>
              <w:ind w:right="613"/>
              <w:spacing w:after="0"/>
              <w:rPr>
                <w:sz w:val="20"/>
                <w:szCs w:val="20"/>
                <w:color w:val="auto"/>
              </w:rPr>
            </w:pPr>
            <w:r>
              <w:rPr>
                <w:rFonts w:ascii="Arial" w:cs="Arial" w:eastAsia="Arial" w:hAnsi="Arial"/>
                <w:sz w:val="16"/>
                <w:szCs w:val="16"/>
                <w:b w:val="1"/>
                <w:bCs w:val="1"/>
                <w:color w:val="auto"/>
              </w:rPr>
              <w:t>Share</w:t>
            </w:r>
          </w:p>
        </w:tc>
      </w:tr>
      <w:tr>
        <w:trPr>
          <w:trHeight w:val="33"/>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2018</w:t>
            </w: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46.07</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84.75</w:t>
            </w:r>
          </w:p>
        </w:tc>
      </w:tr>
      <w:tr>
        <w:trPr>
          <w:trHeight w:val="27"/>
        </w:trPr>
        <w:tc>
          <w:tcPr>
            <w:tcW w:w="7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50.42</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41.95</w:t>
            </w:r>
          </w:p>
        </w:tc>
      </w:tr>
      <w:tr>
        <w:trPr>
          <w:trHeight w:val="27"/>
        </w:trPr>
        <w:tc>
          <w:tcPr>
            <w:tcW w:w="75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7"/>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Balance—March 31, 2019</w:t>
            </w:r>
          </w:p>
        </w:tc>
        <w:tc>
          <w:tcPr>
            <w:tcW w:w="1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54.40</w:t>
            </w:r>
          </w:p>
        </w:tc>
      </w:tr>
      <w:tr>
        <w:trPr>
          <w:trHeight w:val="20"/>
        </w:trPr>
        <w:tc>
          <w:tcPr>
            <w:tcW w:w="7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As of March 31, 2019, total compensation expense related to unvested RSUs granted to employees and non-employees under the 2009 Plan, but not yet recognized, was $394.0 million. This expense is expected to be amortized on a straight-line basis over a weighted-average vesting period of 3.0 years.</w:t>
      </w:r>
    </w:p>
    <w:p>
      <w:pPr>
        <w:spacing w:after="0" w:line="12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RSUs settle into shares of common stock upon vesting. Upon the vesting of the RSUs, we net-settle the RSUs and withhold a portion of the shares to satisfy minimum statutory employee withholding tax requirement. Total payment of the employees’ tax obligations to the tax authorities is reflected as a financing activity within the condensed consolidated statements of 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the number and value of the shares withheld for employee taxes (in millions):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5"/>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4"/>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withheld for taxes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Amount withheld for taxes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19.2</w:t>
            </w:r>
          </w:p>
        </w:tc>
      </w:tr>
    </w:tbl>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Options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weighted-average assumptions relating to our employee stock options: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220" w:type="dxa"/>
            <w:vAlign w:val="bottom"/>
            <w:gridSpan w:val="3"/>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2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660" w:type="dxa"/>
            <w:vAlign w:val="bottom"/>
            <w:gridSpan w:val="2"/>
          </w:tcPr>
          <w:p>
            <w:pPr>
              <w:ind w:left="400"/>
              <w:spacing w:after="0"/>
              <w:rPr>
                <w:sz w:val="20"/>
                <w:szCs w:val="20"/>
                <w:color w:val="auto"/>
              </w:rPr>
            </w:pPr>
            <w:r>
              <w:rPr>
                <w:rFonts w:ascii="Arial" w:cs="Arial" w:eastAsia="Arial" w:hAnsi="Arial"/>
                <w:sz w:val="16"/>
                <w:szCs w:val="16"/>
                <w:b w:val="1"/>
                <w:bCs w:val="1"/>
                <w:color w:val="auto"/>
              </w:rPr>
              <w:t>March 31,</w:t>
            </w:r>
          </w:p>
        </w:tc>
        <w:tc>
          <w:tcPr>
            <w:tcW w:w="156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2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60" w:type="dxa"/>
            <w:vAlign w:val="bottom"/>
          </w:tcPr>
          <w:p>
            <w:pPr>
              <w:jc w:val="right"/>
              <w:ind w:right="533"/>
              <w:spacing w:after="0"/>
              <w:rPr>
                <w:sz w:val="20"/>
                <w:szCs w:val="20"/>
                <w:color w:val="auto"/>
              </w:rPr>
            </w:pPr>
            <w:r>
              <w:rPr>
                <w:rFonts w:ascii="Arial" w:cs="Arial" w:eastAsia="Arial" w:hAnsi="Arial"/>
                <w:sz w:val="16"/>
                <w:szCs w:val="16"/>
                <w:b w:val="1"/>
                <w:bCs w:val="1"/>
                <w:color w:val="auto"/>
              </w:rPr>
              <w:t>2018</w:t>
            </w:r>
          </w:p>
        </w:tc>
      </w:tr>
      <w:tr>
        <w:trPr>
          <w:trHeight w:val="33"/>
        </w:trPr>
        <w:tc>
          <w:tcPr>
            <w:tcW w:w="8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Dividend rate</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millions, except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80"/>
              <w:spacing w:after="0"/>
              <w:rPr>
                <w:sz w:val="20"/>
                <w:szCs w:val="20"/>
                <w:color w:val="auto"/>
              </w:rPr>
            </w:pPr>
            <w:r>
              <w:rPr>
                <w:rFonts w:ascii="Arial" w:cs="Arial" w:eastAsia="Arial" w:hAnsi="Arial"/>
                <w:sz w:val="16"/>
                <w:szCs w:val="16"/>
                <w:b w:val="1"/>
                <w:bCs w:val="1"/>
                <w:color w:val="auto"/>
              </w:rPr>
              <w:t>Options Outstanding</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628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960" w:type="dxa"/>
            <w:vAlign w:val="bottom"/>
          </w:tcPr>
          <w:p>
            <w:pPr>
              <w:jc w:val="center"/>
              <w:ind w:right="75"/>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628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7"/>
              </w:rPr>
              <w:t>of Shares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Life (Years)</w:t>
            </w:r>
          </w:p>
        </w:tc>
        <w:tc>
          <w:tcPr>
            <w:tcW w:w="180" w:type="dxa"/>
            <w:vAlign w:val="bottom"/>
          </w:tcPr>
          <w:p>
            <w:pPr>
              <w:spacing w:after="0"/>
              <w:rPr>
                <w:sz w:val="18"/>
                <w:szCs w:val="18"/>
                <w:color w:val="auto"/>
              </w:rPr>
            </w:pPr>
          </w:p>
        </w:tc>
        <w:tc>
          <w:tcPr>
            <w:tcW w:w="960" w:type="dxa"/>
            <w:vAlign w:val="bottom"/>
          </w:tcPr>
          <w:p>
            <w:pPr>
              <w:jc w:val="center"/>
              <w:ind w:right="95"/>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84.49</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50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28.67</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91"/>
        </w:trPr>
        <w:tc>
          <w:tcPr>
            <w:tcW w:w="6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vested and expected to vest—March 31, 2019</w:t>
            </w:r>
          </w:p>
        </w:tc>
        <w:tc>
          <w:tcPr>
            <w:tcW w:w="11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46.56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116.0</w:t>
            </w:r>
          </w:p>
        </w:tc>
      </w:tr>
      <w:tr>
        <w:trPr>
          <w:trHeight w:val="251"/>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exercisable—March 31, 2019</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71.3</w:t>
            </w:r>
          </w:p>
        </w:tc>
      </w:tr>
      <w:tr>
        <w:trPr>
          <w:trHeight w:val="20"/>
        </w:trPr>
        <w:tc>
          <w:tcPr>
            <w:tcW w:w="6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aggregate intrinsic value represents the difference between the exercise price of stock options and the quoted market price of our common stock on March 31, 2019 for all in-the-money stock options. As of March 31, 2019, total compensation expense related to unvested stock options granted to employees but not yet recognized was $31.2 million. This expense is expected to be amortized on a straight-line basis over a weighted-average period of 3.2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(in millions, except per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240" w:type="dxa"/>
            <w:vAlign w:val="bottom"/>
          </w:tcPr>
          <w:p>
            <w:pPr>
              <w:jc w:val="center"/>
              <w:ind w:right="19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23.7</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648"/>
        </w:trPr>
        <w:tc>
          <w:tcPr>
            <w:tcW w:w="8340" w:type="dxa"/>
            <w:vAlign w:val="bottom"/>
          </w:tcPr>
          <w:p>
            <w:pPr>
              <w:ind w:left="660"/>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340" w:type="dxa"/>
            <w:vAlign w:val="bottom"/>
          </w:tcPr>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(in millions):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9"/>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240" w:type="dxa"/>
            <w:vAlign w:val="bottom"/>
          </w:tcPr>
          <w:p>
            <w:pPr>
              <w:jc w:val="center"/>
              <w:ind w:right="193"/>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54"/>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of service revenue</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20.9</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3"/>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3"/>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36.5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Total income tax benefit associated with stock-based compensation that is recognized in the condensed consolidated statements of income is as follows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6"/>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8"/>
                <w:szCs w:val="18"/>
                <w:color w:val="auto"/>
              </w:rPr>
            </w:pPr>
          </w:p>
        </w:tc>
        <w:tc>
          <w:tcPr>
            <w:tcW w:w="1240" w:type="dxa"/>
            <w:vAlign w:val="bottom"/>
          </w:tcPr>
          <w:p>
            <w:pPr>
              <w:jc w:val="center"/>
              <w:ind w:right="196"/>
              <w:spacing w:after="0"/>
              <w:rPr>
                <w:sz w:val="20"/>
                <w:szCs w:val="20"/>
                <w:color w:val="auto"/>
              </w:rPr>
            </w:pPr>
            <w:r>
              <w:rPr>
                <w:rFonts w:ascii="Arial" w:cs="Arial" w:eastAsia="Arial" w:hAnsi="Arial"/>
                <w:sz w:val="16"/>
                <w:szCs w:val="16"/>
                <w:b w:val="1"/>
                <w:bCs w:val="1"/>
                <w:color w:val="auto"/>
                <w:w w:val="97"/>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497"/>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benefit associated with stock-based compensation</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6.0</w:t>
            </w: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Under the Share Repurchase Program originally approved by our board of directors in January 2016 (the “Repurchase Program”), the repurchase of up to $1.5 billion of our outstanding common stock is authorized through December 31, 2019. Share repurchases may be made by us from time to time in privately negotiated transactions or in open market transactions. The Repurchase Program does not require us to purchase a minimum number of shares, and may be suspended, modified or discontinued at any time without prior notice.</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three months ended March 31, 2019, we repurchased 0.8 million shares of common stock under the Repurchase Program in open market transactions at an average price of $72.19 per share, for an aggregate purchase price of $56.2 million. As of March 31, 2019, $677.5 million remained available for future share repurchases under the Repurchase Program.</w:t>
      </w:r>
    </w:p>
    <w:p>
      <w:pPr>
        <w:spacing w:after="0" w:line="17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Our effective tax rate was 2% for the three months ended March 31, 2019, compared to an effective tax rate benefit of 13% for the same period last year. The effective tax rates for the periods presented are comprised of U.S. federal and state taxes, withholding taxes, foreign taxes and excess tax benefits from stock-based compensation expense. The tax rates for the three months ended March 31, 2019 and March 31, 2018 were impacted by U.S. federal and state taxes, withholding taxes and foreign taxes of $17.5 million and $8.5 million, respectively, which were offset by a tax benefit from stock-based compensation of $16.0 million and $5.6 million, respectively. The tax rate for the three months ended by March 31, 2018 was further impacted by a tax benefit of $7.8 million for the release of reserves on uncertain tax positions including interest due to the close of the Internal Revenue Service (“IRS”) audit.</w:t>
      </w:r>
    </w:p>
    <w:p>
      <w:pPr>
        <w:spacing w:after="0" w:line="16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of March 31, 2019 and December 31, 2018, unrecognized tax benefits were $65.9 million and $63.5 million, respectively. If recognized, an amount of $61.0 million of the unrecognized tax benefits would favorably affect our effective tax rate. It is our policy to include accrued interest and penalties related to uncertain tax benefits in income tax expense. As of March 31, 2019 and December 31, 2018, accrued interest and penalties were $12.9 million and $11.6 million, respectively. It is reasonably possible that our gross unrecognized tax benefits will decrease by up to $10.0 million in the next 12 months, due to the lapse of the statute of limitations. These adjustments, if recognized, would positively impact our effective tax rate, and would be recognized as additional tax benefits.</w:t>
      </w:r>
    </w:p>
    <w:p>
      <w:pPr>
        <w:spacing w:after="0" w:line="19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U.S. state and foreign jurisdictions. Generally, we are no longer subject to U.S. state and non-U.S. income tax examinations by tax authorities for tax years prior to 2010. We are no longer subject to examination by U.S federal income tax authorities for tax years prior to 2015. We currently have ongoing tax audits in the United Kingdom and several other foreign jurisdictions. The focus of these audits is the inter-company profit allocation.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On July 24, 2018, the U.S. Court of Appeals for the Ninth Circuit overturned the U.S. Tax Court’s unanimous 2015 decision in </w:t>
      </w:r>
      <w:r>
        <w:rPr>
          <w:rFonts w:ascii="Arial" w:cs="Arial" w:eastAsia="Arial" w:hAnsi="Arial"/>
          <w:sz w:val="18"/>
          <w:szCs w:val="18"/>
          <w:i w:val="1"/>
          <w:iCs w:val="1"/>
          <w:color w:val="auto"/>
        </w:rPr>
        <w:t>Altera v.</w:t>
      </w:r>
      <w:r>
        <w:rPr>
          <w:rFonts w:ascii="Arial" w:cs="Arial" w:eastAsia="Arial" w:hAnsi="Arial"/>
          <w:sz w:val="18"/>
          <w:szCs w:val="18"/>
          <w:color w:val="auto"/>
        </w:rPr>
        <w:t xml:space="preserve"> </w:t>
      </w:r>
      <w:r>
        <w:rPr>
          <w:rFonts w:ascii="Arial" w:cs="Arial" w:eastAsia="Arial" w:hAnsi="Arial"/>
          <w:sz w:val="18"/>
          <w:szCs w:val="18"/>
          <w:i w:val="1"/>
          <w:iCs w:val="1"/>
          <w:color w:val="auto"/>
        </w:rPr>
        <w:t>Commissioner</w:t>
      </w:r>
      <w:r>
        <w:rPr>
          <w:rFonts w:ascii="Arial" w:cs="Arial" w:eastAsia="Arial" w:hAnsi="Arial"/>
          <w:sz w:val="18"/>
          <w:szCs w:val="18"/>
          <w:color w:val="auto"/>
        </w:rPr>
        <w:t>, holding that the IRS did not violate the rulemaking procedures required by the Administrative Procedures Act. On August 7, 2018, the Ninth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withdrew the opinions filed on July 24, 2018 to allow time for the reconstituted panel to confer on the appeal. In </w:t>
      </w:r>
      <w:r>
        <w:rPr>
          <w:rFonts w:ascii="Arial" w:cs="Arial" w:eastAsia="Arial" w:hAnsi="Arial"/>
          <w:sz w:val="18"/>
          <w:szCs w:val="18"/>
          <w:i w:val="1"/>
          <w:iCs w:val="1"/>
          <w:color w:val="auto"/>
        </w:rPr>
        <w:t>Altera</w:t>
      </w:r>
      <w:r>
        <w:rPr>
          <w:rFonts w:ascii="Arial" w:cs="Arial" w:eastAsia="Arial" w:hAnsi="Arial"/>
          <w:sz w:val="18"/>
          <w:szCs w:val="18"/>
          <w:color w:val="auto"/>
        </w:rPr>
        <w:t xml:space="preserve">, the taxpayer challenged IRS regulations that required participants in qualified cost sharing arrangements to share stock-based compensation costs. The U.S. Tax Court had invalidated those regulations, in part because the Treasury Department failed to adequately consider significant taxpayer comments when adopting them. We continue to treat our stock-based compensation expense in accordance with the opinion of the </w:t>
      </w:r>
      <w:r>
        <w:rPr>
          <w:rFonts w:ascii="Arial" w:cs="Arial" w:eastAsia="Arial" w:hAnsi="Arial"/>
          <w:sz w:val="18"/>
          <w:szCs w:val="18"/>
          <w:i w:val="1"/>
          <w:iCs w:val="1"/>
          <w:color w:val="auto"/>
        </w:rPr>
        <w:t>Altera</w:t>
      </w:r>
      <w:r>
        <w:rPr>
          <w:rFonts w:ascii="Arial" w:cs="Arial" w:eastAsia="Arial" w:hAnsi="Arial"/>
          <w:sz w:val="18"/>
          <w:szCs w:val="18"/>
          <w:color w:val="auto"/>
        </w:rPr>
        <w:t xml:space="preserve"> ruling. We also continue to monitor developments in this case and any impact it could have on our tax provision.</w:t>
      </w:r>
    </w:p>
    <w:p>
      <w:pPr>
        <w:spacing w:after="0" w:line="18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Our tax-deferred savings plan under our 401(k) Plan permits participating U.S. employees to contribute a portion of their pre-tax or after-tax earnings. In Canada, we have a Group Registered Retirement Savings Plan Program (the “RRSP”), which permits participants to make tax deductible contributions. Our board of directors approved 50% matching contributions on employee contributions up to 4% of each employee’s eligible earnings. Our matching contributions to our 401(k) Plan and the RRSP for the three months ended March 31, 2019 and March 31, 2018 were $1.7 million and $1.5 million, respectively.</w:t>
      </w:r>
    </w:p>
    <w:p>
      <w:pPr>
        <w:spacing w:after="0" w:line="18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performance. Our chief operating decision maker is our chief executive officer. Our chief executive officer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or components below the consolidated unit level. Accordingly, we have determined that we have one operating segment, and therefore, one reportable segment.</w:t>
      </w:r>
    </w:p>
    <w:p>
      <w:pPr>
        <w:spacing w:after="0" w:line="4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Revenue by geographic region is based on the billing address of our customers. The following tables set forth revenue and property and equipment— net by geographic region (in millions):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31,</w:t>
            </w:r>
          </w:p>
        </w:tc>
      </w:tr>
      <w:tr>
        <w:trPr>
          <w:trHeight w:val="176"/>
        </w:trPr>
        <w:tc>
          <w:tcPr>
            <w:tcW w:w="834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5"/>
                <w:szCs w:val="15"/>
                <w:color w:val="auto"/>
              </w:rPr>
            </w:pPr>
          </w:p>
        </w:tc>
        <w:tc>
          <w:tcPr>
            <w:tcW w:w="1260" w:type="dxa"/>
            <w:vAlign w:val="bottom"/>
          </w:tcPr>
          <w:p>
            <w:pPr>
              <w:jc w:val="right"/>
              <w:ind w:right="493"/>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92"/>
              <w:spacing w:after="0" w:line="176" w:lineRule="exact"/>
              <w:rPr>
                <w:sz w:val="20"/>
                <w:szCs w:val="20"/>
                <w:color w:val="auto"/>
              </w:rPr>
            </w:pPr>
            <w:r>
              <w:rPr>
                <w:rFonts w:ascii="Arial" w:cs="Arial" w:eastAsia="Arial" w:hAnsi="Arial"/>
                <w:sz w:val="16"/>
                <w:szCs w:val="16"/>
                <w:b w:val="1"/>
                <w:bCs w:val="1"/>
                <w:color w:val="auto"/>
              </w:rPr>
              <w:t>2018</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77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133.9</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8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 xml:space="preserve">Other Americas </w:t>
            </w:r>
            <w:r>
              <w:rPr>
                <w:rFonts w:ascii="Arial" w:cs="Arial" w:eastAsia="Arial" w:hAnsi="Arial"/>
                <w:sz w:val="18"/>
                <w:szCs w:val="18"/>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41.9</w:t>
            </w:r>
          </w:p>
        </w:tc>
      </w:tr>
      <w:tr>
        <w:trPr>
          <w:trHeight w:val="243"/>
        </w:trPr>
        <w:tc>
          <w:tcPr>
            <w:tcW w:w="40" w:type="dxa"/>
            <w:vAlign w:val="bottom"/>
          </w:tcPr>
          <w:p>
            <w:pPr>
              <w:spacing w:after="0"/>
              <w:rPr>
                <w:sz w:val="21"/>
                <w:szCs w:val="21"/>
                <w:color w:val="auto"/>
              </w:rPr>
            </w:pPr>
          </w:p>
        </w:tc>
        <w:tc>
          <w:tcPr>
            <w:tcW w:w="830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175.8</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144.5</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Asia Pacific (“APAC”)</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78.7</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399.0</w:t>
            </w:r>
          </w:p>
        </w:tc>
      </w:tr>
    </w:tbl>
    <w:p>
      <w:pPr>
        <w:spacing w:after="0" w:line="8" w:lineRule="exact"/>
        <w:rPr>
          <w:sz w:val="20"/>
          <w:szCs w:val="20"/>
          <w:color w:val="auto"/>
        </w:rPr>
      </w:pPr>
    </w:p>
    <w:p>
      <w:pPr>
        <w:ind w:left="180" w:hanging="145"/>
        <w:spacing w:after="0"/>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In 2019, Canada and Latin America revenue were combined and presented as Other Americas.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-98425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Property and Equipment</w:t>
            </w:r>
            <w:r>
              <w:rPr>
                <w:rFonts w:ascii="Arial" w:cs="Arial" w:eastAsia="Arial" w:hAnsi="Arial"/>
                <w:sz w:val="18"/>
                <w:szCs w:val="18"/>
                <w:color w:val="auto"/>
              </w:rPr>
              <w:t>—</w:t>
            </w:r>
            <w:r>
              <w:rPr>
                <w:rFonts w:ascii="Arial" w:cs="Arial" w:eastAsia="Arial" w:hAnsi="Arial"/>
                <w:sz w:val="16"/>
                <w:szCs w:val="16"/>
                <w:b w:val="1"/>
                <w:bCs w:val="1"/>
                <w:color w:val="auto"/>
              </w:rPr>
              <w:t>net</w:t>
            </w:r>
          </w:p>
        </w:tc>
        <w:tc>
          <w:tcPr>
            <w:tcW w:w="26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7"/>
                <w:szCs w:val="17"/>
                <w:color w:val="auto"/>
              </w:rPr>
            </w:pPr>
          </w:p>
        </w:tc>
        <w:tc>
          <w:tcPr>
            <w:tcW w:w="1380" w:type="dxa"/>
            <w:vAlign w:val="bottom"/>
          </w:tcPr>
          <w:p>
            <w:pPr>
              <w:jc w:val="right"/>
              <w:ind w:right="252"/>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176"/>
        </w:trPr>
        <w:tc>
          <w:tcPr>
            <w:tcW w:w="81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59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Canada</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Americas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62"/>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8"/>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2"/>
          </w:tcPr>
          <w:p>
            <w:pPr>
              <w:ind w:left="460"/>
              <w:spacing w:after="0"/>
              <w:rPr>
                <w:sz w:val="20"/>
                <w:szCs w:val="20"/>
                <w:color w:val="auto"/>
              </w:rPr>
            </w:pPr>
            <w:r>
              <w:rPr>
                <w:rFonts w:ascii="Arial" w:cs="Arial" w:eastAsia="Arial" w:hAnsi="Arial"/>
                <w:sz w:val="18"/>
                <w:szCs w:val="18"/>
                <w:color w:val="auto"/>
              </w:rPr>
              <w:t>Total property and equipment—net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8890</wp:posOffset>
            </wp:positionV>
            <wp:extent cx="2101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5"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 2019, France and Other EMEA property and equipment were combined and presented as EMEA. Prior periods have been reclassified to conform with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-98425</wp:posOffset>
            </wp:positionV>
            <wp:extent cx="2101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each of which is a distributor, accounted for 10% or more of our revenue:</w:t>
      </w:r>
    </w:p>
    <w:p>
      <w:pPr>
        <w:spacing w:after="0" w:line="388" w:lineRule="exact"/>
        <w:rPr>
          <w:sz w:val="20"/>
          <w:szCs w:val="20"/>
          <w:color w:val="auto"/>
        </w:rPr>
      </w:pPr>
    </w:p>
    <w:p>
      <w:pPr>
        <w:ind w:left="90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37465</wp:posOffset>
            </wp:positionV>
            <wp:extent cx="20408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354"/>
              <w:spacing w:after="0"/>
              <w:rPr>
                <w:sz w:val="20"/>
                <w:szCs w:val="20"/>
                <w:color w:val="auto"/>
              </w:rPr>
            </w:pPr>
            <w:r>
              <w:rPr>
                <w:rFonts w:ascii="Arial" w:cs="Arial" w:eastAsia="Arial" w:hAnsi="Arial"/>
                <w:sz w:val="16"/>
                <w:szCs w:val="16"/>
                <w:b w:val="1"/>
                <w:bCs w:val="1"/>
                <w:color w:val="auto"/>
              </w:rPr>
              <w:t>March 31,</w:t>
            </w:r>
          </w:p>
        </w:tc>
      </w:tr>
      <w:tr>
        <w:trPr>
          <w:trHeight w:val="210"/>
        </w:trPr>
        <w:tc>
          <w:tcPr>
            <w:tcW w:w="3800" w:type="dxa"/>
            <w:vAlign w:val="bottom"/>
          </w:tcPr>
          <w:p>
            <w:pPr>
              <w:spacing w:after="0"/>
              <w:rPr>
                <w:sz w:val="18"/>
                <w:szCs w:val="18"/>
                <w:color w:val="auto"/>
              </w:rPr>
            </w:pPr>
          </w:p>
        </w:tc>
        <w:tc>
          <w:tcPr>
            <w:tcW w:w="558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534"/>
              <w:spacing w:after="0"/>
              <w:rPr>
                <w:sz w:val="20"/>
                <w:szCs w:val="20"/>
                <w:color w:val="auto"/>
              </w:rPr>
            </w:pPr>
            <w:r>
              <w:rPr>
                <w:rFonts w:ascii="Arial" w:cs="Arial" w:eastAsia="Arial" w:hAnsi="Arial"/>
                <w:sz w:val="16"/>
                <w:szCs w:val="16"/>
                <w:b w:val="1"/>
                <w:bCs w:val="1"/>
                <w:color w:val="auto"/>
              </w:rPr>
              <w:t>2018</w:t>
            </w:r>
          </w:p>
        </w:tc>
      </w:tr>
      <w:tr>
        <w:trPr>
          <w:trHeight w:val="33"/>
        </w:trPr>
        <w:tc>
          <w:tcPr>
            <w:tcW w:w="38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37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Ingram Micro</w:t>
            </w:r>
          </w:p>
        </w:tc>
        <w:tc>
          <w:tcPr>
            <w:tcW w:w="3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11%</w:t>
            </w: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8"/>
        </w:trPr>
        <w:tc>
          <w:tcPr>
            <w:tcW w:w="3800" w:type="dxa"/>
            <w:vAlign w:val="bottom"/>
          </w:tcPr>
          <w:p>
            <w:pPr>
              <w:ind w:left="40"/>
              <w:spacing w:after="0"/>
              <w:rPr>
                <w:sz w:val="20"/>
                <w:szCs w:val="20"/>
                <w:color w:val="auto"/>
              </w:rPr>
            </w:pPr>
            <w:r>
              <w:rPr>
                <w:rFonts w:ascii="Arial" w:cs="Arial" w:eastAsia="Arial" w:hAnsi="Arial"/>
                <w:sz w:val="14"/>
                <w:szCs w:val="14"/>
                <w:color w:val="auto"/>
              </w:rPr>
              <w:t>* Represents less than 10%</w:t>
            </w:r>
          </w:p>
        </w:tc>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444"/>
        </w:trPr>
        <w:tc>
          <w:tcPr>
            <w:tcW w:w="9380" w:type="dxa"/>
            <w:vAlign w:val="bottom"/>
            <w:gridSpan w:val="4"/>
          </w:tcPr>
          <w:p>
            <w:pPr>
              <w:ind w:left="660"/>
              <w:spacing w:after="0"/>
              <w:rPr>
                <w:sz w:val="20"/>
                <w:szCs w:val="20"/>
                <w:color w:val="auto"/>
              </w:rPr>
            </w:pPr>
            <w:r>
              <w:rPr>
                <w:rFonts w:ascii="Arial" w:cs="Arial" w:eastAsia="Arial" w:hAnsi="Arial"/>
                <w:sz w:val="18"/>
                <w:szCs w:val="18"/>
                <w:color w:val="auto"/>
                <w:w w:val="99"/>
              </w:rPr>
              <w:t>The following customers, each of which is a distributor, accounted for 10% or more of net accounts receivable:</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67"/>
        </w:trPr>
        <w:tc>
          <w:tcPr>
            <w:tcW w:w="38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84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jc w:val="right"/>
              <w:ind w:right="414"/>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3800" w:type="dxa"/>
            <w:vAlign w:val="bottom"/>
          </w:tcPr>
          <w:p>
            <w:pPr>
              <w:spacing w:after="0"/>
              <w:rPr>
                <w:sz w:val="18"/>
                <w:szCs w:val="18"/>
                <w:color w:val="auto"/>
              </w:rPr>
            </w:pPr>
          </w:p>
        </w:tc>
        <w:tc>
          <w:tcPr>
            <w:tcW w:w="55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2019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694"/>
              <w:spacing w:after="0"/>
              <w:rPr>
                <w:sz w:val="20"/>
                <w:szCs w:val="20"/>
                <w:color w:val="auto"/>
              </w:rPr>
            </w:pPr>
            <w:r>
              <w:rPr>
                <w:rFonts w:ascii="Arial" w:cs="Arial" w:eastAsia="Arial" w:hAnsi="Arial"/>
                <w:sz w:val="16"/>
                <w:szCs w:val="16"/>
                <w:b w:val="1"/>
                <w:bCs w:val="1"/>
                <w:color w:val="auto"/>
              </w:rPr>
              <w:t>2018</w:t>
            </w:r>
          </w:p>
        </w:tc>
      </w:tr>
      <w:tr>
        <w:trPr>
          <w:trHeight w:val="33"/>
        </w:trPr>
        <w:tc>
          <w:tcPr>
            <w:tcW w:w="380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Exclusive Networks Group</w:t>
            </w:r>
          </w:p>
        </w:tc>
        <w:tc>
          <w:tcPr>
            <w:tcW w:w="5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800" w:type="dxa"/>
            <w:vAlign w:val="bottom"/>
          </w:tcPr>
          <w:p>
            <w:pPr>
              <w:ind w:left="40"/>
              <w:spacing w:after="0"/>
              <w:rPr>
                <w:sz w:val="20"/>
                <w:szCs w:val="20"/>
                <w:color w:val="auto"/>
              </w:rPr>
            </w:pPr>
            <w:r>
              <w:rPr>
                <w:rFonts w:ascii="Arial" w:cs="Arial" w:eastAsia="Arial" w:hAnsi="Arial"/>
                <w:sz w:val="18"/>
                <w:szCs w:val="18"/>
                <w:color w:val="auto"/>
              </w:rPr>
              <w:t>Ingram Micro</w:t>
            </w:r>
          </w:p>
        </w:tc>
        <w:tc>
          <w:tcPr>
            <w:tcW w:w="55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94"/>
              <w:spacing w:after="0"/>
              <w:rPr>
                <w:sz w:val="20"/>
                <w:szCs w:val="20"/>
                <w:color w:val="auto"/>
              </w:rPr>
            </w:pPr>
            <w:r>
              <w:rPr>
                <w:rFonts w:ascii="Arial" w:cs="Arial" w:eastAsia="Arial" w:hAnsi="Arial"/>
                <w:sz w:val="18"/>
                <w:szCs w:val="18"/>
                <w:color w:val="auto"/>
              </w:rPr>
              <w:t>*</w:t>
            </w:r>
          </w:p>
        </w:tc>
      </w:tr>
      <w:tr>
        <w:trPr>
          <w:trHeight w:val="218"/>
        </w:trPr>
        <w:tc>
          <w:tcPr>
            <w:tcW w:w="3800" w:type="dxa"/>
            <w:vAlign w:val="bottom"/>
          </w:tcPr>
          <w:p>
            <w:pPr>
              <w:ind w:left="40"/>
              <w:spacing w:after="0"/>
              <w:rPr>
                <w:sz w:val="20"/>
                <w:szCs w:val="20"/>
                <w:color w:val="auto"/>
              </w:rPr>
            </w:pPr>
            <w:r>
              <w:rPr>
                <w:rFonts w:ascii="Arial" w:cs="Arial" w:eastAsia="Arial" w:hAnsi="Arial"/>
                <w:sz w:val="14"/>
                <w:szCs w:val="14"/>
                <w:color w:val="auto"/>
              </w:rPr>
              <w:t>* Represents less than 10%</w:t>
            </w:r>
          </w:p>
        </w:tc>
        <w:tc>
          <w:tcPr>
            <w:tcW w:w="3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903"/>
        </w:trPr>
        <w:tc>
          <w:tcPr>
            <w:tcW w:w="3800" w:type="dxa"/>
            <w:vAlign w:val="bottom"/>
          </w:tcPr>
          <w:p>
            <w:pPr>
              <w:spacing w:after="0"/>
              <w:rPr>
                <w:sz w:val="24"/>
                <w:szCs w:val="24"/>
                <w:color w:val="auto"/>
              </w:rPr>
            </w:pPr>
          </w:p>
        </w:tc>
        <w:tc>
          <w:tcPr>
            <w:tcW w:w="3740" w:type="dxa"/>
            <w:vAlign w:val="bottom"/>
          </w:tcPr>
          <w:p>
            <w:pPr>
              <w:jc w:val="right"/>
              <w:ind w:right="1654"/>
              <w:spacing w:after="0"/>
              <w:rPr>
                <w:sz w:val="20"/>
                <w:szCs w:val="20"/>
                <w:color w:val="auto"/>
              </w:rPr>
            </w:pPr>
            <w:r>
              <w:rPr>
                <w:rFonts w:ascii="Arial" w:cs="Arial" w:eastAsia="Arial" w:hAnsi="Arial"/>
                <w:sz w:val="18"/>
                <w:szCs w:val="18"/>
                <w:color w:val="auto"/>
              </w:rPr>
              <w:t>22</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accumulated balances of other comprehensive loss (in millions):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Tax benefit</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(provision) related</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to unrealized gains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Unrealized Losses</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4"/>
              </w:rPr>
              <w:t>or losses on</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0"/>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on Investments</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investments</w:t>
            </w:r>
          </w:p>
        </w:tc>
        <w:tc>
          <w:tcPr>
            <w:tcW w:w="380" w:type="dxa"/>
            <w:vAlign w:val="bottom"/>
          </w:tcPr>
          <w:p>
            <w:pPr>
              <w:spacing w:after="0"/>
              <w:rPr>
                <w:sz w:val="18"/>
                <w:szCs w:val="18"/>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33"/>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Balance—March 31,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We adopted ASU 2018-02 on January 1, 2019, and elected to reclassify the income tax effects of the 2017 Tax Act to retained earnings at the beginning of the period. Other amounts reclassified from accumulated other comprehensive loss for unrealized losses on investments and tax provision related to unrealized gains or losses on investments are recorded in other expense—net and in provision for (benefit from) income taxes,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and Exchange Act of 1934, as amended (the “Exchange Act”). These statements include, among other things, statements concerning our expectations regarding:</w:t>
      </w:r>
    </w:p>
    <w:p>
      <w:pPr>
        <w:spacing w:after="0" w:line="18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growth and market share gains;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 and services;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impact of macro-economic and geopolitical factors on our sales;</w:t>
      </w:r>
    </w:p>
    <w:p>
      <w:pPr>
        <w:spacing w:after="0" w:line="225"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proportion of our revenue that consists of our product and service revenue, and the mix of billings between products and services, and the duration of service contracts;</w:t>
      </w:r>
    </w:p>
    <w:p>
      <w:pPr>
        <w:spacing w:after="0" w:line="170"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government regulation, tariffs and other related policies;</w:t>
      </w:r>
    </w:p>
    <w:p>
      <w:pPr>
        <w:spacing w:after="0" w:line="225" w:lineRule="exact"/>
        <w:rPr>
          <w:rFonts w:ascii="Arial" w:cs="Arial" w:eastAsia="Arial" w:hAnsi="Arial"/>
          <w:sz w:val="18"/>
          <w:szCs w:val="18"/>
          <w:i w:val="1"/>
          <w:iCs w:val="1"/>
          <w:color w:val="auto"/>
        </w:rPr>
      </w:pPr>
    </w:p>
    <w:p>
      <w:pPr>
        <w:ind w:left="1300" w:right="300" w:hanging="644"/>
        <w:spacing w:after="0" w:line="277" w:lineRule="auto"/>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drivers of long-term growth and operating leverage, such as increased sales productivity, functionality and value in our standalone and bundled subscription service offerings;</w:t>
      </w:r>
    </w:p>
    <w:p>
      <w:pPr>
        <w:spacing w:after="0" w:line="170" w:lineRule="exact"/>
        <w:rPr>
          <w:rFonts w:ascii="Arial" w:cs="Arial" w:eastAsia="Arial" w:hAnsi="Arial"/>
          <w:sz w:val="18"/>
          <w:szCs w:val="18"/>
          <w:i w:val="1"/>
          <w:iCs w:val="1"/>
          <w:color w:val="auto"/>
        </w:rPr>
      </w:pPr>
    </w:p>
    <w:p>
      <w:pPr>
        <w:ind w:left="1300" w:right="220" w:hanging="644"/>
        <w:spacing w:after="0" w:line="308" w:lineRule="auto"/>
        <w:tabs>
          <w:tab w:leader="none" w:pos="1300" w:val="left"/>
        </w:tabs>
        <w:numPr>
          <w:ilvl w:val="0"/>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growing our sales to businesses, service providers and government organizations, the impact of sales to these organizations on our long-term growth, expansion and operating results, and the effectiveness of our internal sales organization;</w:t>
      </w:r>
    </w:p>
    <w:p>
      <w:pPr>
        <w:spacing w:after="0" w:line="146" w:lineRule="exact"/>
        <w:rPr>
          <w:rFonts w:ascii="Arial" w:cs="Arial" w:eastAsia="Arial" w:hAnsi="Arial"/>
          <w:sz w:val="17"/>
          <w:szCs w:val="17"/>
          <w:i w:val="1"/>
          <w:iCs w:val="1"/>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trends in revenue, cost of revenue and gross margin;</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sales and marketing expense, research and development expense, general and administrative expense, and expectations regarding these expenses as a percentage of total revenue;</w:t>
      </w:r>
    </w:p>
    <w:p>
      <w:pPr>
        <w:spacing w:after="0" w:line="170"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risks and expectations related to acquisitions or sales of assets, including integration issues related to product plans and products, including the acquired technology;</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investments in research and development;</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managing our continued investments in sales and marketing, and the impact of those investments;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expectations regarding uncertain tax benefits and our effective domestic and global tax rates, and the impact of the Tax Cuts and Jobs Act </w:t>
      </w:r>
      <w:r>
        <w:rPr>
          <w:rFonts w:ascii="Arial" w:cs="Arial" w:eastAsia="Arial" w:hAnsi="Arial"/>
          <w:sz w:val="18"/>
          <w:szCs w:val="18"/>
          <w:color w:val="auto"/>
        </w:rPr>
        <w:t xml:space="preserve">(the “2017 </w:t>
      </w:r>
      <w:r>
        <w:rPr>
          <w:rFonts w:ascii="Arial" w:cs="Arial" w:eastAsia="Arial" w:hAnsi="Arial"/>
          <w:sz w:val="18"/>
          <w:szCs w:val="18"/>
          <w:i w:val="1"/>
          <w:iCs w:val="1"/>
          <w:color w:val="auto"/>
        </w:rPr>
        <w:t>Tax</w:t>
      </w:r>
      <w:r>
        <w:rPr>
          <w:rFonts w:ascii="Arial" w:cs="Arial" w:eastAsia="Arial" w:hAnsi="Arial"/>
          <w:sz w:val="18"/>
          <w:szCs w:val="18"/>
          <w:color w:val="auto"/>
        </w:rPr>
        <w:t xml:space="preserve"> Act”)</w:t>
      </w:r>
      <w:r>
        <w:rPr>
          <w:rFonts w:ascii="Arial" w:cs="Arial" w:eastAsia="Arial" w:hAnsi="Arial"/>
          <w:sz w:val="18"/>
          <w:szCs w:val="18"/>
          <w:i w:val="1"/>
          <w:iCs w:val="1"/>
          <w:color w:val="auto"/>
        </w:rPr>
        <w: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expectations regarding spending related to real estate and other capital expenditures and to the impact on free cash flows;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markets;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statements regarding expected outcomes and liabilities in litigation;</w:t>
      </w:r>
    </w:p>
    <w:p>
      <w:pPr>
        <w:spacing w:after="0" w:line="225" w:lineRule="exact"/>
        <w:rPr>
          <w:rFonts w:ascii="Arial" w:cs="Arial" w:eastAsia="Arial" w:hAnsi="Arial"/>
          <w:sz w:val="18"/>
          <w:szCs w:val="18"/>
          <w:i w:val="1"/>
          <w:iCs w:val="1"/>
          <w:color w:val="auto"/>
        </w:rPr>
      </w:pPr>
    </w:p>
    <w:p>
      <w:pPr>
        <w:ind w:left="1300" w:right="4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intentions regarding share repurchases and the sufficiency of our existing cash, cash equivalents and investments to meet our cash needs for at least the next 12 months;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statements regarding our future operations, financial condition and prospects and business strategies; and</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adoption and impact of new accounting standards, including those related to accounting for leases.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21" w:right="27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 Part II, Item 1A of this Quarterly Report on Form 10-Q and those discussed in other documents we file with the Securities and Exchange Commission (the “SEC”).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Fortinet is a global leader in cybersecurity solutions provided to a wide variety of organizations, such as enterprises, communication service providers, government organizations and small businesses. Our cybersecurity solutions are designed to provide broad visibility and segmentation of the digital attack surface through our integrated Security Fabric platform, which features automated protection, detection and responses.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focus areas of our business consist of:</w:t>
      </w:r>
    </w:p>
    <w:p>
      <w:pPr>
        <w:spacing w:after="0" w:line="225" w:lineRule="exact"/>
        <w:rPr>
          <w:sz w:val="20"/>
          <w:szCs w:val="20"/>
          <w:color w:val="auto"/>
        </w:rPr>
      </w:pPr>
    </w:p>
    <w:p>
      <w:pPr>
        <w:ind w:left="660" w:right="80" w:hanging="328"/>
        <w:spacing w:after="0" w:line="271" w:lineRule="auto"/>
        <w:tabs>
          <w:tab w:leader="none" w:pos="660" w:val="left"/>
        </w:tabs>
        <w:numPr>
          <w:ilvl w:val="0"/>
          <w:numId w:val="2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Network Security</w:t>
      </w:r>
      <w:r>
        <w:rPr>
          <w:rFonts w:ascii="Arial" w:cs="Arial" w:eastAsia="Arial" w:hAnsi="Arial"/>
          <w:sz w:val="17"/>
          <w:szCs w:val="17"/>
          <w:color w:val="auto"/>
        </w:rPr>
        <w:t>—We derive a majority of product sales from our FortiGate network security appliances. Our FortiGate network security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appliances include a broad set of built-in security and networking features and functionalities, including firewall, software-defined wide-area network, secure sockets layer data leak prevention, virtual private network, switch and wireless controller and wide area network edge. Our network security appliances include our FortiOS operating system, which provides the foundation for FortiGate security functions, and FortiASIC integrated circuit, which is designed to accelerate the processing of security and networking functions. Our customers may also purchase FortiGuard subscription services to receive threat intelligence updates. We provide standard technical support across all of our products through our FortiCare support services. We also offer services to end-customers including Technical Account Managers, Resident Engineers and professional service consultants for implementations, as well as training services to our end-customers and channel partners.</w:t>
      </w:r>
    </w:p>
    <w:p>
      <w:pPr>
        <w:spacing w:after="0" w:line="178" w:lineRule="exact"/>
        <w:rPr>
          <w:rFonts w:ascii="Arial" w:cs="Arial" w:eastAsia="Arial" w:hAnsi="Arial"/>
          <w:sz w:val="17"/>
          <w:szCs w:val="17"/>
          <w:b w:val="1"/>
          <w:bCs w:val="1"/>
          <w:i w:val="1"/>
          <w:iCs w:val="1"/>
          <w:color w:val="auto"/>
        </w:rPr>
      </w:pPr>
    </w:p>
    <w:p>
      <w:pPr>
        <w:ind w:left="660" w:right="8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Fortinet Security Fabric</w:t>
      </w:r>
      <w:r>
        <w:rPr>
          <w:rFonts w:ascii="Arial" w:cs="Arial" w:eastAsia="Arial" w:hAnsi="Arial"/>
          <w:sz w:val="16"/>
          <w:szCs w:val="16"/>
          <w:color w:val="auto"/>
        </w:rPr>
        <w:t>—The Fortinet Security Fabric platform is an architectural approach that protects the entire digital attack surface,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core, endpoints, applications, data centers and private and public cloud. Together with our network of Fabric-Ready Partners, the Fortinet Security Fabric platform enables disparate security devices to work together as an integrated, automated and collaborative solution.</w:t>
      </w:r>
    </w:p>
    <w:p>
      <w:pPr>
        <w:spacing w:after="0" w:line="146" w:lineRule="exact"/>
        <w:rPr>
          <w:rFonts w:ascii="Arial" w:cs="Arial" w:eastAsia="Arial" w:hAnsi="Arial"/>
          <w:sz w:val="16"/>
          <w:szCs w:val="16"/>
          <w:color w:val="auto"/>
        </w:rPr>
      </w:pPr>
    </w:p>
    <w:p>
      <w:pPr>
        <w:ind w:left="660" w:right="60" w:hanging="328"/>
        <w:spacing w:after="0" w:line="276"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Cloud Security</w:t>
      </w:r>
      <w:r>
        <w:rPr>
          <w:rFonts w:ascii="Arial" w:cs="Arial" w:eastAsia="Arial" w:hAnsi="Arial"/>
          <w:sz w:val="17"/>
          <w:szCs w:val="17"/>
          <w:color w:val="auto"/>
        </w:rPr>
        <w:t>—We help customers connect securely to and across their cloud environments by offering security through our virtual firewall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software products in public and private cloud environments. Our Cloud Security solutions, including our Client Access Security Broker Solution, FortiCASB, extend the core capabilities of the Fortinet Security Fabric platform to provide businesses with the same level of cybersecurity and threat intelligence in cloud environments that they receive on their physical networks. Fortinet cloud security offerings are available across all major cloud providers, including Amazon Web Services, Microsoft Azure, Google Cloud, Oracle Cloud and IBM Cloud.</w:t>
      </w:r>
    </w:p>
    <w:p>
      <w:pPr>
        <w:spacing w:after="0" w:line="172" w:lineRule="exact"/>
        <w:rPr>
          <w:rFonts w:ascii="Arial" w:cs="Arial" w:eastAsia="Arial" w:hAnsi="Arial"/>
          <w:sz w:val="17"/>
          <w:szCs w:val="17"/>
          <w:color w:val="auto"/>
        </w:rPr>
      </w:pPr>
    </w:p>
    <w:p>
      <w:pPr>
        <w:ind w:left="660" w:right="10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and Operational Technology</w:t>
      </w:r>
      <w:r>
        <w:rPr>
          <w:rFonts w:ascii="Arial" w:cs="Arial" w:eastAsia="Arial" w:hAnsi="Arial"/>
          <w:sz w:val="18"/>
          <w:szCs w:val="18"/>
          <w:color w:val="auto"/>
        </w:rPr>
        <w:t>—The proliferation of Internet of Things (“IoT”) and the digitization of Operational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 devices has generated new opportunities for us to grow our business. With both IOT and OT, network-connected devices are generating data that moves between devices, across locations and in private and public cloud environments; these networks and devices require cybersecurity to ensure their safety and privacy.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ind w:left="660" w:right="18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recorded total revenue of $472.6 million during the three months ended March 31, 2019, an increase of 18% compared to $399.0 million in the same period last year. Product revenue was $162.7 million during the three months ended March 31, 2019, an increase of 14% compared to $142.8 million in the same period last year. Service revenue was $309.9 million during the three months ended March 31, 2019, an increase of 21% compared to $256.2 million in the same period last year.</w:t>
      </w:r>
    </w:p>
    <w:p>
      <w:pPr>
        <w:spacing w:after="0" w:line="186"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generated operating income of $50.6 million during the three months ended March 31, 2019, an increase of 56% compared to $32.4 million in the same period last year.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Cash, cash equivalents and investments were $1.85 billion as of March 31, 2019, an increase of $135.4 million, or 8%, from December 31, 2018.</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Deferred revenue was $1.77 billion as of March 31, 2019, an increase of $79.0 million, or 5%, from December 31, 2018.</w:t>
      </w:r>
    </w:p>
    <w:p>
      <w:pPr>
        <w:spacing w:after="0" w:line="225"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$201.3 million during the three months ended March 31, 2019, an increase of $61.6 million, or 44%, compared to the same period last year.</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three months ended March 31, 2019, we repurchased 0.8 million shares of common stock under our Share Repurchase Program (the “Repurchase Program”) for an aggregate purchase price of $56.2 million.</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During the three months ended March 31, 2019, our revenue growth was driven by both product and service revenue. On a geographic basis, revenue continues to be diversified globally, which remains a key strength of our business. Product revenue grew 14% during the three months ended March 31, 2019 compared to the same period last year. FortiGate unit shipments increased year-over-year. Sales of non-FortiGate products, such as the Fortinet Security Fabric and cloud products, also grew compared to the same period last year. Service revenue growth of 21% during the three months ended March 31, 2019 compared to the same period last year was driven by the strength of our FortiGuard and other security subscription revenue, which grew 24% compared to the same period last year, and FortiCare technical support and other service revenue, which grew 17% compared to the same period last year.</w:t>
      </w:r>
    </w:p>
    <w:p>
      <w:pPr>
        <w:spacing w:after="0" w:line="165" w:lineRule="exact"/>
        <w:rPr>
          <w:sz w:val="20"/>
          <w:szCs w:val="20"/>
          <w:color w:val="auto"/>
        </w:rPr>
      </w:pPr>
    </w:p>
    <w:p>
      <w:pPr>
        <w:jc w:val="both"/>
        <w:ind w:right="180" w:firstLine="648"/>
        <w:spacing w:after="0" w:line="302" w:lineRule="auto"/>
        <w:rPr>
          <w:sz w:val="20"/>
          <w:szCs w:val="20"/>
          <w:color w:val="auto"/>
        </w:rPr>
      </w:pPr>
      <w:r>
        <w:rPr>
          <w:rFonts w:ascii="Arial" w:cs="Arial" w:eastAsia="Arial" w:hAnsi="Arial"/>
          <w:sz w:val="16"/>
          <w:szCs w:val="16"/>
          <w:color w:val="auto"/>
        </w:rPr>
        <w:t>The percentage of our FortiGate-related billings from entry-level products decreased from 36% during the three months ended March 31, 2018 to 34% during the three months ended March 31, 2019. The percentage of our FortiGate-related billings from mid-range products increased from 31% during the three months ended March 31, 2018 to 34% during the three months ended March 31, 2019. The percentage of our FortiGate-related billings from high-end products decreased from 33% during the three months ended March 31, 2018 to 32% during the three months ended March 31, 2019.</w:t>
      </w:r>
    </w:p>
    <w:p>
      <w:pPr>
        <w:spacing w:after="0" w:line="154"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During the three months ended March 31, 2019, operating expenses as a percentage of revenue decreased by three percentage points compared to the same period last year. Headcount increased by 3% to 6,015 employees and contractors as of March 31, 2019, up from 5,845 as of December 31,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Model</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Our sales strategy is based on a two-tier distribution model. We sell to distributors that sell to networking security and enterprise-focused resellers and service providers, who in turn sell to our end-customers. In certain cases, we sell directly to large service providers and major systems integrators. We also offer our products across major cloud providers, and have recognized on-demand revenue from Amazon Web Services, Microsoft Azure and IBM Cloud from customers who deploy our products at a cloud services provider in a bring-your-own-license (“BYOL”) such as from Amazon Web Services, Microsoft Azure, Google Cloud and Oracle Cloud. In a BYOL arrangement, a customer purchases a perpetual license from us through our channel partners and deploys the software in a cloud provider’s environment. Similarly, customers may purchase such a license from us and deploy in their private cloud. While the revenue from such sales is still relatively insignificant, it has increased compared to the same period last year on a percentage basis.</w:t>
      </w:r>
    </w:p>
    <w:p>
      <w:pPr>
        <w:spacing w:after="0" w:line="16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Typically, our customers purchase our hardware products and software licenses, as well as our FortiGuard security subscription and FortiCare technical support services. We generally invoice at the time of our sale for the total price of the products and security and technical support services. The invoice is typically payable within 30 to 45 days. We also invoice certain services on a monthly basis.</w:t>
      </w:r>
    </w:p>
    <w:p>
      <w:pPr>
        <w:spacing w:after="0" w:line="18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Our Security Processing Unit (“SPU”) hardware architecture is an important part of our approach to network security. The SPU includes three lines of proprietary Application-Specific Integrated Circuits (“ASICs”): the Content Processor, the Network Processor and the System-on-a-Chip. The ASICs are designed for highly efficient execution of computationally intensive tasks, including policy enforcement, threat detection and encryption. As such, ASIC-based solutions can run many security applications simultaneously without a significant reduction in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monitor a number of key metrics, including the key financial metrics set forth below, in order to help us evaluate growth trends, establish budgets, measure the effectiveness of our sales and marketing efforts, and assess operational efficiencies. The following table summarizes revenue, deferred revenue, billings (non-GAAP), net cash provided by operating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activities, and free cash flow (non-GAAP). We discuss revenue below under “Results of Operations,” and we discuss net cash provided by operating activities below under “—Liquidity and Capital Resources.” Deferred revenue, billings (non-GAAP), and free cash flow (non-GAAP) are discussed immediately below the following table: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3"/>
          </w:tcPr>
          <w:p>
            <w:pPr>
              <w:jc w:val="right"/>
              <w:ind w:right="351"/>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2"/>
              <w:spacing w:after="0"/>
              <w:rPr>
                <w:sz w:val="20"/>
                <w:szCs w:val="20"/>
                <w:color w:val="auto"/>
              </w:rPr>
            </w:pPr>
            <w:r>
              <w:rPr>
                <w:rFonts w:ascii="Arial" w:cs="Arial" w:eastAsia="Arial" w:hAnsi="Arial"/>
                <w:sz w:val="16"/>
                <w:szCs w:val="16"/>
                <w:b w:val="1"/>
                <w:bCs w:val="1"/>
                <w:color w:val="auto"/>
                <w:w w:val="96"/>
              </w:rPr>
              <w:t>March 31, 2019</w:t>
            </w:r>
          </w:p>
        </w:tc>
        <w:tc>
          <w:tcPr>
            <w:tcW w:w="2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3"/>
          </w:tcPr>
          <w:p>
            <w:pPr>
              <w:jc w:val="right"/>
              <w:ind w:right="971"/>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1,765.8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(non-GAAP)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201.3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128.1</w:t>
            </w:r>
          </w:p>
        </w:tc>
      </w:tr>
      <w:tr>
        <w:trPr>
          <w:trHeight w:val="27"/>
        </w:trPr>
        <w:tc>
          <w:tcPr>
            <w:tcW w:w="8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Deferred revenue. </w:t>
      </w:r>
      <w:r>
        <w:rPr>
          <w:rFonts w:ascii="Arial" w:cs="Arial" w:eastAsia="Arial" w:hAnsi="Arial"/>
          <w:sz w:val="16"/>
          <w:szCs w:val="16"/>
          <w:color w:val="auto"/>
        </w:rPr>
        <w:t>Our deferred revenue consists of amounts that have been invoiced but that have not yet been recognized as revenue.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of our deferred revenue balance consists of the unrecognized portion of service revenue from FortiGuard security subscription and FortiCare technical support service contracts, which is recognized as revenue ratably over the contractual service period. We monitor our deferred revenue balance, growth and the mix of short-term and long-term deferred revenue because it represents a significant portion of free cash flow and of revenue to be recognized in future periods. Deferred revenue was $1.77 billion as of March 31, 2019, an increase of $79.0 million, or 5%, from December 31, 2018.</w:t>
      </w:r>
    </w:p>
    <w:p>
      <w:pPr>
        <w:spacing w:after="0" w:line="15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i w:val="1"/>
          <w:iCs w:val="1"/>
          <w:color w:val="auto"/>
        </w:rPr>
        <w:t xml:space="preserve">Billings (non-GAAP). </w:t>
      </w:r>
      <w:r>
        <w:rPr>
          <w:rFonts w:ascii="Arial" w:cs="Arial" w:eastAsia="Arial" w:hAnsi="Arial"/>
          <w:sz w:val="17"/>
          <w:szCs w:val="17"/>
          <w:color w:val="auto"/>
        </w:rPr>
        <w:t>We define billings as revenue recognized in accordance with generally accepted accounting principles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(“GAAP”) plus the change in deferred revenue from the beginning to the end of the period and adjustments to the deferred revenue balance due to adoption of the new revenue recognition standard less any deferred revenue balances acquired from business combination(s)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 Total billings were $551.6 million for the three months ended March 31, 2019, an increase of 19% compared to $463.2 million in the same period last year.</w:t>
      </w:r>
    </w:p>
    <w:p>
      <w:pPr>
        <w:spacing w:after="0" w:line="18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revenue, the most directly comparable financial measure calculated and presented in accordance with GAAP, to billings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20"/>
                <w:szCs w:val="20"/>
                <w:color w:val="auto"/>
              </w:rPr>
            </w:pPr>
          </w:p>
        </w:tc>
        <w:tc>
          <w:tcPr>
            <w:tcW w:w="132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72"/>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399.0</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Change in 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Add: Deferred revenue adjustment due to adoption of the new revenue recognition standard</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4.1</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463.2</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i w:val="1"/>
          <w:iCs w:val="1"/>
          <w:color w:val="auto"/>
        </w:rPr>
        <w:t xml:space="preserve">Free cash flow (non-GAAP). </w:t>
      </w:r>
      <w:r>
        <w:rPr>
          <w:rFonts w:ascii="Arial" w:cs="Arial" w:eastAsia="Arial" w:hAnsi="Arial"/>
          <w:sz w:val="17"/>
          <w:szCs w:val="17"/>
          <w:color w:val="auto"/>
        </w:rPr>
        <w:t>We define free cash flow as net cash provided by operating activities minus capital expenditures such as purchases of</w:t>
      </w:r>
      <w:r>
        <w:rPr>
          <w:rFonts w:ascii="Arial" w:cs="Arial" w:eastAsia="Arial" w:hAnsi="Arial"/>
          <w:sz w:val="17"/>
          <w:szCs w:val="17"/>
          <w:i w:val="1"/>
          <w:iCs w:val="1"/>
          <w:color w:val="auto"/>
        </w:rPr>
        <w:t xml:space="preserve"> </w:t>
      </w:r>
      <w:r>
        <w:rPr>
          <w:rFonts w:ascii="Arial" w:cs="Arial" w:eastAsia="Arial" w:hAnsi="Arial"/>
          <w:sz w:val="17"/>
          <w:szCs w:val="17"/>
          <w:color w:val="auto"/>
        </w:rPr>
        <w:t>real estate and other property and equipment. We believe free cash flow to be a liquidity measure that provides useful information to management and investors about the amount of cash generated by the business that, after capital expenditures, can be used for strategic opportunities, including repurchasing outstanding common stock, investing in our business, making strategic acquisitions and strengthening the balance sheet. A limitation of using free cash flow is that free cash flow does not represent the total increase or decrease in the cash and cash equivalents balance for the period because it excludes cash flows from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“—Liquidity and Capital Resources” and by presenting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cash flows from investing and financing activities in our reconciliation of free cash flows.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reconciliation of net cash provided by operating activities, the most directly comparable financial measure calculated and presented in accordance with GAAP, to free cash flow is provided below:</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4"/>
          </w:tcPr>
          <w:p>
            <w:pPr>
              <w:jc w:val="right"/>
              <w:ind w:right="971"/>
              <w:spacing w:after="0"/>
              <w:rPr>
                <w:sz w:val="20"/>
                <w:szCs w:val="20"/>
                <w:color w:val="auto"/>
              </w:rPr>
            </w:pPr>
            <w:r>
              <w:rPr>
                <w:rFonts w:ascii="Arial" w:cs="Arial" w:eastAsia="Arial" w:hAnsi="Arial"/>
                <w:sz w:val="18"/>
                <w:szCs w:val="18"/>
                <w:b w:val="1"/>
                <w:bCs w:val="1"/>
                <w:color w:val="auto"/>
              </w:rPr>
              <w:t>(in millions)</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139.7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Purchases of property and equipment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Free cash flow (non-GAAP)</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128.1</w:t>
            </w: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cost of revenue and expenses, and related disclosures. We base our estimates on historical experience and on various other assumptions that we believe to be reasonable under the circumstances. To the extent that there are material differences between these estimates and our actual results, our future financial statements will be affected.</w:t>
      </w:r>
    </w:p>
    <w:p>
      <w:pPr>
        <w:spacing w:after="0" w:line="188"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There were no material changes to our critical accounting policies and estimates as of and for the three months ended March 31, 2019, as compared to the critical accounting policies and estimates described in our Annual Report on Form 10-K filed with the SEC on February 27, 2019 (the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See Note 1 of the notes to condensed consolidated financial statements included in Part I, Item 1 of this Quarterly Report on Form 10-Q for information regarding recent accounting pronouncements.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and March 31,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center"/>
              <w:ind w:left="653"/>
              <w:spacing w:after="0"/>
              <w:rPr>
                <w:sz w:val="20"/>
                <w:szCs w:val="20"/>
                <w:color w:val="auto"/>
              </w:rPr>
            </w:pPr>
            <w:r>
              <w:rPr>
                <w:rFonts w:ascii="Arial" w:cs="Arial" w:eastAsia="Arial" w:hAnsi="Arial"/>
                <w:sz w:val="16"/>
                <w:szCs w:val="16"/>
                <w:b w:val="1"/>
                <w:bCs w:val="1"/>
                <w:color w:val="auto"/>
                <w:w w:val="94"/>
              </w:rPr>
              <w:t>March 31,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693"/>
              <w:spacing w:after="0"/>
              <w:rPr>
                <w:sz w:val="20"/>
                <w:szCs w:val="20"/>
                <w:color w:val="auto"/>
              </w:rPr>
            </w:pPr>
            <w:r>
              <w:rPr>
                <w:rFonts w:ascii="Arial" w:cs="Arial" w:eastAsia="Arial" w:hAnsi="Arial"/>
                <w:sz w:val="16"/>
                <w:szCs w:val="16"/>
                <w:b w:val="1"/>
                <w:bCs w:val="1"/>
                <w:color w:val="auto"/>
                <w:w w:val="94"/>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2019</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jc w:val="center"/>
              <w:ind w:left="753"/>
              <w:spacing w:after="0"/>
              <w:rPr>
                <w:sz w:val="20"/>
                <w:szCs w:val="20"/>
                <w:color w:val="auto"/>
              </w:rPr>
            </w:pPr>
            <w:r>
              <w:rPr>
                <w:rFonts w:ascii="Arial" w:cs="Arial" w:eastAsia="Arial" w:hAnsi="Arial"/>
                <w:sz w:val="16"/>
                <w:szCs w:val="16"/>
                <w:b w:val="1"/>
                <w:bCs w:val="1"/>
                <w:color w:val="auto"/>
                <w:w w:val="89"/>
              </w:rPr>
              <w:t>2018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9"/>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Revenue</w:t>
            </w:r>
          </w:p>
        </w:tc>
        <w:tc>
          <w:tcPr>
            <w:tcW w:w="1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71"/>
              <w:spacing w:after="0"/>
              <w:rPr>
                <w:sz w:val="20"/>
                <w:szCs w:val="20"/>
                <w:color w:val="auto"/>
              </w:rPr>
            </w:pPr>
            <w:r>
              <w:rPr>
                <w:rFonts w:ascii="Arial" w:cs="Arial" w:eastAsia="Arial" w:hAnsi="Arial"/>
                <w:sz w:val="16"/>
                <w:szCs w:val="16"/>
                <w:b w:val="1"/>
                <w:bCs w:val="1"/>
                <w:color w:val="auto"/>
              </w:rPr>
              <w:t>Change</w:t>
            </w:r>
          </w:p>
        </w:tc>
        <w:tc>
          <w:tcPr>
            <w:tcW w:w="1420" w:type="dxa"/>
            <w:vAlign w:val="bottom"/>
          </w:tcPr>
          <w:p>
            <w:pPr>
              <w:ind w:left="40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162.7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19.9</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21</w:t>
            </w:r>
          </w:p>
        </w:tc>
      </w:tr>
      <w:tr>
        <w:trPr>
          <w:trHeight w:val="297"/>
        </w:trPr>
        <w:tc>
          <w:tcPr>
            <w:tcW w:w="3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w:t>
            </w:r>
          </w:p>
        </w:tc>
        <w:tc>
          <w:tcPr>
            <w:tcW w:w="142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w w:val="94"/>
              </w:rPr>
              <w:t>18%</w:t>
            </w:r>
          </w:p>
        </w:tc>
      </w:tr>
      <w:tr>
        <w:trPr>
          <w:trHeight w:val="23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by geography:</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1420" w:type="dxa"/>
            <w:vAlign w:val="bottom"/>
          </w:tcPr>
          <w:p>
            <w:pPr>
              <w:ind w:left="1060"/>
              <w:spacing w:after="0"/>
              <w:rPr>
                <w:sz w:val="20"/>
                <w:szCs w:val="20"/>
                <w:color w:val="auto"/>
              </w:rPr>
            </w:pPr>
            <w:r>
              <w:rPr>
                <w:rFonts w:ascii="Arial" w:cs="Arial" w:eastAsia="Arial" w:hAnsi="Arial"/>
                <w:sz w:val="18"/>
                <w:szCs w:val="18"/>
                <w:color w:val="auto"/>
                <w:w w:val="94"/>
              </w:rPr>
              <w:t>14%</w:t>
            </w:r>
          </w:p>
        </w:tc>
      </w:tr>
      <w:tr>
        <w:trPr>
          <w:trHeight w:val="27"/>
        </w:trPr>
        <w:tc>
          <w:tcPr>
            <w:tcW w:w="3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3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Europe, Middle East and Africa</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(“EMEA”)</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23</w:t>
            </w:r>
          </w:p>
        </w:tc>
      </w:tr>
      <w:tr>
        <w:trPr>
          <w:trHeight w:val="243"/>
        </w:trPr>
        <w:tc>
          <w:tcPr>
            <w:tcW w:w="3220" w:type="dxa"/>
            <w:vAlign w:val="bottom"/>
          </w:tcPr>
          <w:p>
            <w:pPr>
              <w:ind w:left="500"/>
              <w:spacing w:after="0"/>
              <w:rPr>
                <w:sz w:val="20"/>
                <w:szCs w:val="20"/>
                <w:color w:val="auto"/>
              </w:rPr>
            </w:pPr>
            <w:r>
              <w:rPr>
                <w:rFonts w:ascii="Arial" w:cs="Arial" w:eastAsia="Arial" w:hAnsi="Arial"/>
                <w:sz w:val="18"/>
                <w:szCs w:val="18"/>
                <w:color w:val="auto"/>
              </w:rPr>
              <w:t>Asia Pacific (“APAC”)</w:t>
            </w: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420" w:type="dxa"/>
            <w:vAlign w:val="bottom"/>
          </w:tcPr>
          <w:p>
            <w:pPr>
              <w:ind w:left="1060"/>
              <w:spacing w:after="0"/>
              <w:rPr>
                <w:sz w:val="20"/>
                <w:szCs w:val="20"/>
                <w:color w:val="auto"/>
              </w:rPr>
            </w:pPr>
            <w:r>
              <w:rPr>
                <w:rFonts w:ascii="Arial" w:cs="Arial" w:eastAsia="Arial" w:hAnsi="Arial"/>
                <w:sz w:val="18"/>
                <w:szCs w:val="18"/>
                <w:color w:val="auto"/>
              </w:rPr>
              <w:t>21</w:t>
            </w:r>
          </w:p>
        </w:tc>
      </w:tr>
      <w:tr>
        <w:trPr>
          <w:trHeight w:val="27"/>
        </w:trPr>
        <w:tc>
          <w:tcPr>
            <w:tcW w:w="3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57"/>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142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w w:val="94"/>
              </w:rPr>
              <w:t>18%</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Total revenue increased by $73.6 million, or 18%, during the three months ended March 31, 2019 compared to the same period last year. We continued to experience diversification of revenue globally. Revenue from all regions grew, with EMEA and APAC contributing the largest portion of our revenue growth on a percentage basis.</w:t>
      </w:r>
    </w:p>
    <w:p>
      <w:pPr>
        <w:spacing w:after="0" w:line="18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Product revenue increased by $19.9 million, or 14%, during the three months ended March 31, 2019 compared to the same period last year. We experienced revenue growth across several of our hardware and software products, including FortiGate appliances, for which unit shipments increased year-over-year. Service revenue increased by $53.7 million, or 21%, during the three months ended March 31, 2019 compared to the same period last year. The increase in service revenue was primarily due to the recognition of revenue from our growing deferred revenue balance consisting of FortiGuard security subscription and FortiCare technical support and other contracts sold to a larger customer base, as well as the renewals of similar contracts sold in the quarter and earlier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300" w:type="dxa"/>
            <w:vAlign w:val="bottom"/>
            <w:gridSpan w:val="4"/>
          </w:tcPr>
          <w:p>
            <w:pPr>
              <w:jc w:val="right"/>
              <w:ind w:right="535"/>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09"/>
        </w:trPr>
        <w:tc>
          <w:tcPr>
            <w:tcW w:w="36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March 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1280" w:type="dxa"/>
            <w:vAlign w:val="bottom"/>
          </w:tcPr>
          <w:p>
            <w:pPr>
              <w:jc w:val="right"/>
              <w:ind w:right="95"/>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35"/>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3"/>
              <w:spacing w:after="0"/>
              <w:rPr>
                <w:sz w:val="20"/>
                <w:szCs w:val="20"/>
                <w:color w:val="auto"/>
              </w:rPr>
            </w:pPr>
            <w:r>
              <w:rPr>
                <w:rFonts w:ascii="Arial" w:cs="Arial" w:eastAsia="Arial" w:hAnsi="Arial"/>
                <w:sz w:val="16"/>
                <w:szCs w:val="16"/>
                <w:b w:val="1"/>
                <w:bCs w:val="1"/>
                <w:color w:val="auto"/>
              </w:rPr>
              <w:t>Change</w:t>
            </w:r>
          </w:p>
        </w:tc>
        <w:tc>
          <w:tcPr>
            <w:tcW w:w="520" w:type="dxa"/>
            <w:vAlign w:val="bottom"/>
          </w:tcPr>
          <w:p>
            <w:pPr>
              <w:spacing w:after="0"/>
              <w:rPr>
                <w:sz w:val="18"/>
                <w:szCs w:val="18"/>
                <w:color w:val="auto"/>
              </w:rPr>
            </w:pPr>
          </w:p>
        </w:tc>
        <w:tc>
          <w:tcPr>
            <w:tcW w:w="1980" w:type="dxa"/>
            <w:vAlign w:val="bottom"/>
          </w:tcPr>
          <w:p>
            <w:pPr>
              <w:ind w:left="68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3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4"/>
          </w:tcPr>
          <w:p>
            <w:pPr>
              <w:jc w:val="right"/>
              <w:ind w:right="153"/>
              <w:spacing w:after="0"/>
              <w:rPr>
                <w:sz w:val="20"/>
                <w:szCs w:val="20"/>
                <w:color w:val="auto"/>
              </w:rPr>
            </w:pPr>
            <w:r>
              <w:rPr>
                <w:rFonts w:ascii="Arial" w:cs="Arial" w:eastAsia="Arial" w:hAnsi="Arial"/>
                <w:sz w:val="16"/>
                <w:szCs w:val="16"/>
                <w:b w:val="1"/>
                <w:bCs w:val="1"/>
                <w:color w:val="auto"/>
              </w:rPr>
              <w:t>(in millions, except percentages)</w:t>
            </w:r>
          </w:p>
        </w:tc>
        <w:tc>
          <w:tcPr>
            <w:tcW w:w="5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jc w:val="center"/>
              <w:ind w:right="2030"/>
              <w:spacing w:after="0"/>
              <w:rPr>
                <w:sz w:val="20"/>
                <w:szCs w:val="20"/>
                <w:color w:val="auto"/>
              </w:rPr>
            </w:pPr>
            <w:r>
              <w:rPr>
                <w:rFonts w:ascii="Arial" w:cs="Arial" w:eastAsia="Arial" w:hAnsi="Arial"/>
                <w:sz w:val="18"/>
                <w:szCs w:val="18"/>
                <w:color w:val="auto"/>
                <w:w w:val="90"/>
              </w:rPr>
              <w:t>Product</w:t>
            </w:r>
          </w:p>
        </w:tc>
        <w:tc>
          <w:tcPr>
            <w:tcW w:w="1280" w:type="dxa"/>
            <w:vAlign w:val="bottom"/>
          </w:tcPr>
          <w:p>
            <w:pPr>
              <w:jc w:val="right"/>
              <w:ind w:right="107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320" w:type="dxa"/>
            <w:vAlign w:val="bottom"/>
          </w:tcPr>
          <w:p>
            <w:pPr>
              <w:jc w:val="right"/>
              <w:ind w:right="1115"/>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60"/>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21"/>
                <w:szCs w:val="21"/>
                <w:color w:val="auto"/>
              </w:rPr>
            </w:pPr>
          </w:p>
        </w:tc>
        <w:tc>
          <w:tcPr>
            <w:tcW w:w="1260" w:type="dxa"/>
            <w:vAlign w:val="bottom"/>
          </w:tcPr>
          <w:p>
            <w:pPr>
              <w:jc w:val="right"/>
              <w:ind w:right="1073"/>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980" w:type="dxa"/>
            <w:vAlign w:val="bottom"/>
          </w:tcPr>
          <w:p>
            <w:pPr>
              <w:ind w:left="1620"/>
              <w:spacing w:after="0"/>
              <w:rPr>
                <w:sz w:val="20"/>
                <w:szCs w:val="20"/>
                <w:color w:val="auto"/>
              </w:rPr>
            </w:pPr>
            <w:r>
              <w:rPr>
                <w:rFonts w:ascii="Arial" w:cs="Arial" w:eastAsia="Arial" w:hAnsi="Arial"/>
                <w:sz w:val="18"/>
                <w:szCs w:val="18"/>
                <w:color w:val="auto"/>
                <w:w w:val="94"/>
              </w:rPr>
              <w:t>21%</w:t>
            </w:r>
          </w:p>
        </w:tc>
      </w:tr>
      <w:tr>
        <w:trPr>
          <w:trHeight w:val="27"/>
        </w:trPr>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jc w:val="center"/>
              <w:ind w:right="2050"/>
              <w:spacing w:after="0"/>
              <w:rPr>
                <w:sz w:val="20"/>
                <w:szCs w:val="20"/>
                <w:color w:val="auto"/>
              </w:rPr>
            </w:pPr>
            <w:r>
              <w:rPr>
                <w:rFonts w:ascii="Arial" w:cs="Arial" w:eastAsia="Arial" w:hAnsi="Arial"/>
                <w:sz w:val="18"/>
                <w:szCs w:val="18"/>
                <w:color w:val="auto"/>
                <w:w w:val="89"/>
              </w:rPr>
              <w:t>Service</w:t>
            </w:r>
          </w:p>
        </w:tc>
        <w:tc>
          <w:tcPr>
            <w:tcW w:w="1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98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10</w:t>
            </w:r>
          </w:p>
        </w:tc>
      </w:tr>
      <w:tr>
        <w:trPr>
          <w:trHeight w:val="297"/>
        </w:trPr>
        <w:tc>
          <w:tcPr>
            <w:tcW w:w="3680" w:type="dxa"/>
            <w:vAlign w:val="bottom"/>
            <w:tcBorders>
              <w:bottom w:val="single" w:sz="8" w:color="CCEEFF"/>
            </w:tcBorders>
          </w:tcPr>
          <w:p>
            <w:pPr>
              <w:jc w:val="center"/>
              <w:ind w:right="2010"/>
              <w:spacing w:after="0"/>
              <w:rPr>
                <w:sz w:val="20"/>
                <w:szCs w:val="20"/>
                <w:color w:val="auto"/>
              </w:rPr>
            </w:pPr>
            <w:r>
              <w:rPr>
                <w:rFonts w:ascii="Arial" w:cs="Arial" w:eastAsia="Arial" w:hAnsi="Arial"/>
                <w:sz w:val="18"/>
                <w:szCs w:val="18"/>
                <w:color w:val="auto"/>
                <w:w w:val="89"/>
              </w:rPr>
              <w:t>Total cost of revenue</w:t>
            </w:r>
          </w:p>
        </w:tc>
        <w:tc>
          <w:tcPr>
            <w:tcW w:w="128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84"/>
              </w:rPr>
              <w:t>113.0</w:t>
            </w:r>
          </w:p>
        </w:tc>
        <w:tc>
          <w:tcPr>
            <w:tcW w:w="100" w:type="dxa"/>
            <w:vAlign w:val="bottom"/>
            <w:tcBorders>
              <w:bottom w:val="single" w:sz="8" w:color="CCEEFF"/>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073"/>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1980" w:type="dxa"/>
            <w:vAlign w:val="bottom"/>
            <w:tcBorders>
              <w:bottom w:val="single" w:sz="8" w:color="CCEEFF"/>
            </w:tcBorders>
          </w:tcPr>
          <w:p>
            <w:pPr>
              <w:ind w:left="1620"/>
              <w:spacing w:after="0"/>
              <w:rPr>
                <w:sz w:val="20"/>
                <w:szCs w:val="20"/>
                <w:color w:val="auto"/>
              </w:rPr>
            </w:pPr>
            <w:r>
              <w:rPr>
                <w:rFonts w:ascii="Arial" w:cs="Arial" w:eastAsia="Arial" w:hAnsi="Arial"/>
                <w:sz w:val="18"/>
                <w:szCs w:val="18"/>
                <w:color w:val="auto"/>
                <w:w w:val="94"/>
              </w:rPr>
              <w:t>16%</w:t>
            </w:r>
          </w:p>
        </w:tc>
      </w:tr>
      <w:tr>
        <w:trPr>
          <w:trHeight w:val="237"/>
        </w:trPr>
        <w:tc>
          <w:tcPr>
            <w:tcW w:w="3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w:t>
            </w:r>
          </w:p>
        </w:tc>
        <w:tc>
          <w:tcPr>
            <w:tcW w:w="12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43"/>
        </w:trPr>
        <w:tc>
          <w:tcPr>
            <w:tcW w:w="3680" w:type="dxa"/>
            <w:vAlign w:val="bottom"/>
          </w:tcPr>
          <w:p>
            <w:pPr>
              <w:jc w:val="center"/>
              <w:ind w:right="2030"/>
              <w:spacing w:after="0"/>
              <w:rPr>
                <w:sz w:val="20"/>
                <w:szCs w:val="20"/>
                <w:color w:val="auto"/>
              </w:rPr>
            </w:pPr>
            <w:r>
              <w:rPr>
                <w:rFonts w:ascii="Arial" w:cs="Arial" w:eastAsia="Arial" w:hAnsi="Arial"/>
                <w:sz w:val="18"/>
                <w:szCs w:val="18"/>
                <w:color w:val="auto"/>
                <w:w w:val="90"/>
              </w:rPr>
              <w:t>Product</w:t>
            </w:r>
          </w:p>
        </w:tc>
        <w:tc>
          <w:tcPr>
            <w:tcW w:w="1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59.2%</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36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jc w:val="center"/>
              <w:ind w:right="2050"/>
              <w:spacing w:after="0"/>
              <w:rPr>
                <w:sz w:val="20"/>
                <w:szCs w:val="20"/>
                <w:color w:val="auto"/>
              </w:rPr>
            </w:pPr>
            <w:r>
              <w:rPr>
                <w:rFonts w:ascii="Arial" w:cs="Arial" w:eastAsia="Arial" w:hAnsi="Arial"/>
                <w:sz w:val="18"/>
                <w:szCs w:val="18"/>
                <w:color w:val="auto"/>
                <w:w w:val="89"/>
              </w:rPr>
              <w:t>Service</w:t>
            </w:r>
          </w:p>
        </w:tc>
        <w:tc>
          <w:tcPr>
            <w:tcW w:w="12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3680" w:type="dxa"/>
            <w:vAlign w:val="bottom"/>
          </w:tcPr>
          <w:p>
            <w:pPr>
              <w:ind w:left="40"/>
              <w:spacing w:after="0"/>
              <w:rPr>
                <w:sz w:val="20"/>
                <w:szCs w:val="20"/>
                <w:color w:val="auto"/>
              </w:rPr>
            </w:pPr>
            <w:r>
              <w:rPr>
                <w:rFonts w:ascii="Arial" w:cs="Arial" w:eastAsia="Arial" w:hAnsi="Arial"/>
                <w:sz w:val="18"/>
                <w:szCs w:val="18"/>
                <w:color w:val="auto"/>
              </w:rPr>
              <w:t>Total gross margin</w:t>
            </w:r>
          </w:p>
        </w:tc>
        <w:tc>
          <w:tcPr>
            <w:tcW w:w="1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8"/>
                <w:szCs w:val="18"/>
                <w:color w:val="auto"/>
                <w:w w:val="93"/>
              </w:rPr>
              <w:t>75.6%</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980" w:type="dxa"/>
            <w:vAlign w:val="bottom"/>
          </w:tcPr>
          <w:p>
            <w:pPr>
              <w:spacing w:after="0"/>
              <w:rPr>
                <w:sz w:val="21"/>
                <w:szCs w:val="21"/>
                <w:color w:val="auto"/>
              </w:rPr>
            </w:pPr>
          </w:p>
        </w:tc>
      </w:tr>
    </w:tbl>
    <w:p>
      <w:pPr>
        <w:spacing w:after="0" w:line="22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Total gross margin increased by 0.5 percentage points during the three months ended March 31, 2019 compared to the same period last year, driven by higher service revenue, which has a higher margin than product revenue. Service gross margin increased by 1.4 percentage points during the three months ended March 31, 2019 compared to the same period last year, as our</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FortiGuard security subscription and FortiCare technical support and other service revenue grew 24% and 17%, respectively, during the three months ended March 31, 2019 compared to the same period last year, which outpaced the increase in the related personnel costs and headcount growth, resulting in a higher margin. Cost of service revenue was comprised primarily of personnel costs. Product gross margin decreased by 2.3 percentage points during the three months ended March 31, 2019 compared to the same period last year. Total cost of product revenue was comprised primarily of direct and indirect cost of products sold, inventory reserves and other charges.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center"/>
              <w:ind w:left="594"/>
              <w:spacing w:after="0"/>
              <w:rPr>
                <w:sz w:val="20"/>
                <w:szCs w:val="20"/>
                <w:color w:val="auto"/>
              </w:rPr>
            </w:pPr>
            <w:r>
              <w:rPr>
                <w:rFonts w:ascii="Arial" w:cs="Arial" w:eastAsia="Arial" w:hAnsi="Arial"/>
                <w:sz w:val="16"/>
                <w:szCs w:val="16"/>
                <w:b w:val="1"/>
                <w:bCs w:val="1"/>
                <w:color w:val="auto"/>
                <w:w w:val="94"/>
              </w:rPr>
              <w:t>March 31,</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left="674"/>
              <w:spacing w:after="0"/>
              <w:rPr>
                <w:sz w:val="20"/>
                <w:szCs w:val="20"/>
                <w:color w:val="auto"/>
              </w:rPr>
            </w:pPr>
            <w:r>
              <w:rPr>
                <w:rFonts w:ascii="Arial" w:cs="Arial" w:eastAsia="Arial" w:hAnsi="Arial"/>
                <w:sz w:val="16"/>
                <w:szCs w:val="16"/>
                <w:b w:val="1"/>
                <w:bCs w:val="1"/>
                <w:color w:val="auto"/>
                <w:w w:val="97"/>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2019</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2018</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0"/>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10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8"/>
                <w:szCs w:val="18"/>
                <w:color w:val="auto"/>
              </w:rPr>
            </w:pPr>
          </w:p>
        </w:tc>
        <w:tc>
          <w:tcPr>
            <w:tcW w:w="1480" w:type="dxa"/>
            <w:vAlign w:val="bottom"/>
            <w:gridSpan w:val="3"/>
          </w:tcPr>
          <w:p>
            <w:pPr>
              <w:ind w:left="140"/>
              <w:spacing w:after="0"/>
              <w:rPr>
                <w:sz w:val="20"/>
                <w:szCs w:val="20"/>
                <w:color w:val="auto"/>
              </w:rPr>
            </w:pPr>
            <w:r>
              <w:rPr>
                <w:rFonts w:ascii="Arial" w:cs="Arial" w:eastAsia="Arial" w:hAnsi="Arial"/>
                <w:sz w:val="16"/>
                <w:szCs w:val="16"/>
                <w:b w:val="1"/>
                <w:bCs w:val="1"/>
                <w:color w:val="auto"/>
              </w:rPr>
              <w:t>Amount</w:t>
            </w:r>
          </w:p>
        </w:tc>
        <w:tc>
          <w:tcPr>
            <w:tcW w:w="10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Revenue</w:t>
            </w:r>
          </w:p>
        </w:tc>
        <w:tc>
          <w:tcPr>
            <w:tcW w:w="240" w:type="dxa"/>
            <w:vAlign w:val="bottom"/>
          </w:tcPr>
          <w:p>
            <w:pPr>
              <w:spacing w:after="0"/>
              <w:rPr>
                <w:sz w:val="18"/>
                <w:szCs w:val="18"/>
                <w:color w:val="auto"/>
              </w:rPr>
            </w:pPr>
          </w:p>
        </w:tc>
        <w:tc>
          <w:tcPr>
            <w:tcW w:w="100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48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(in millions, except percentages)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4"/>
              </w:rPr>
              <w:t>14%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48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7"/>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89"/>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c>
          <w:tcPr>
            <w:tcW w:w="14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43"/>
        </w:trPr>
        <w:tc>
          <w:tcPr>
            <w:tcW w:w="32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ind w:right="1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480" w:type="dxa"/>
            <w:vAlign w:val="bottom"/>
          </w:tcPr>
          <w:p>
            <w:pPr>
              <w:jc w:val="right"/>
              <w:ind w:right="72"/>
              <w:spacing w:after="0"/>
              <w:rPr>
                <w:sz w:val="20"/>
                <w:szCs w:val="20"/>
                <w:color w:val="auto"/>
              </w:rPr>
            </w:pPr>
            <w:r>
              <w:rPr>
                <w:rFonts w:ascii="Arial" w:cs="Arial" w:eastAsia="Arial" w:hAnsi="Arial"/>
                <w:sz w:val="18"/>
                <w:szCs w:val="18"/>
                <w:color w:val="auto"/>
              </w:rPr>
              <w:t>(2)</w:t>
            </w:r>
          </w:p>
        </w:tc>
      </w:tr>
      <w:tr>
        <w:trPr>
          <w:trHeight w:val="27"/>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8"/>
                <w:szCs w:val="18"/>
                <w:color w:val="auto"/>
                <w:w w:val="94"/>
              </w:rPr>
              <w:t>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Research and development expense increased by $9.5 million, or 16%, during the three months ended March 31, 2019 compared to the same period last year, primarily due to an increase of $7.1 million in personnel-related costs as a result of increased headcount to support the development of new products and continued enhancements of our existing products. We intend to continue to invest in our research and development organization, and expect research and development expense to increase in absolute dollars during the remainder of 2019.</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and marketing expense increased by $30.6 million, or 17%, during the three months ended March 31, 2019 compared to the same period last year, primarily due to an increase of $22.1 million in personnel-related costs, including higher stock-based compensation expense of $4.5 million, as sales and marketing headcount increased in order to drive market share gains globally. We intend to continue to make investments in our sales resources and infrastructure and marketing strategy, which are critical to support growth, and expect sales and marketing expense to increase in absolute dollars during the remainder of 2019.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General and administrative expense decreased by $0.5 million, or 2%, during the three months ended March 31, 2019 compared to the same period last year, primarily due to a decrease of $2.6 million in professional services cost. The decrease in expense was offset by an increase of $1.0 million in legal expenses and an increase of $0.8 million in personnel-related costs as we continued to increase headcount in order to support our expanding business. We expect general and administrative expense to increase in absolute dollars during the remainder of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w:t>
      </w:r>
      <w:r>
        <w:rPr>
          <w:rFonts w:ascii="Arial" w:cs="Arial" w:eastAsia="Arial" w:hAnsi="Arial"/>
          <w:sz w:val="18"/>
          <w:szCs w:val="18"/>
          <w:color w:val="auto"/>
        </w:rPr>
        <w:t>—</w:t>
      </w:r>
      <w:r>
        <w:rPr>
          <w:rFonts w:ascii="Arial" w:cs="Arial" w:eastAsia="Arial" w:hAnsi="Arial"/>
          <w:sz w:val="18"/>
          <w:szCs w:val="18"/>
          <w:b w:val="1"/>
          <w:bCs w:val="1"/>
          <w:i w:val="1"/>
          <w:iCs w:val="1"/>
          <w:color w:val="auto"/>
        </w:rPr>
        <w:t>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3740" w:type="dxa"/>
            <w:vAlign w:val="bottom"/>
            <w:gridSpan w:val="4"/>
          </w:tcPr>
          <w:p>
            <w:pPr>
              <w:jc w:val="right"/>
              <w:ind w:right="10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9"/>
        </w:trPr>
        <w:tc>
          <w:tcPr>
            <w:tcW w:w="3740" w:type="dxa"/>
            <w:vAlign w:val="bottom"/>
          </w:tcPr>
          <w:p>
            <w:pPr>
              <w:spacing w:after="0"/>
              <w:rPr>
                <w:sz w:val="18"/>
                <w:szCs w:val="18"/>
                <w:color w:val="auto"/>
              </w:rPr>
            </w:pPr>
          </w:p>
        </w:tc>
        <w:tc>
          <w:tcPr>
            <w:tcW w:w="1320" w:type="dxa"/>
            <w:vAlign w:val="bottom"/>
          </w:tcPr>
          <w:p>
            <w:pPr>
              <w:jc w:val="center"/>
              <w:ind w:left="377"/>
              <w:spacing w:after="0"/>
              <w:rPr>
                <w:sz w:val="20"/>
                <w:szCs w:val="20"/>
                <w:color w:val="auto"/>
              </w:rPr>
            </w:pPr>
            <w:r>
              <w:rPr>
                <w:rFonts w:ascii="Arial" w:cs="Arial" w:eastAsia="Arial" w:hAnsi="Arial"/>
                <w:sz w:val="16"/>
                <w:szCs w:val="16"/>
                <w:b w:val="1"/>
                <w:bCs w:val="1"/>
                <w:color w:val="auto"/>
                <w:w w:val="94"/>
              </w:rPr>
              <w:t>March 31,</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475"/>
              <w:spacing w:after="0"/>
              <w:rPr>
                <w:sz w:val="20"/>
                <w:szCs w:val="20"/>
                <w:color w:val="auto"/>
              </w:rPr>
            </w:pPr>
            <w:r>
              <w:rPr>
                <w:rFonts w:ascii="Arial" w:cs="Arial" w:eastAsia="Arial" w:hAnsi="Arial"/>
                <w:sz w:val="16"/>
                <w:szCs w:val="16"/>
                <w:b w:val="1"/>
                <w:bCs w:val="1"/>
                <w:color w:val="auto"/>
              </w:rPr>
              <w:t>March 31,</w:t>
            </w: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3740" w:type="dxa"/>
            <w:vAlign w:val="bottom"/>
          </w:tcPr>
          <w:p>
            <w:pPr>
              <w:spacing w:after="0"/>
              <w:rPr>
                <w:sz w:val="18"/>
                <w:szCs w:val="18"/>
                <w:color w:val="auto"/>
              </w:rPr>
            </w:pPr>
          </w:p>
        </w:tc>
        <w:tc>
          <w:tcPr>
            <w:tcW w:w="1320" w:type="dxa"/>
            <w:vAlign w:val="bottom"/>
          </w:tcPr>
          <w:p>
            <w:pPr>
              <w:jc w:val="right"/>
              <w:ind w:right="177"/>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655"/>
              <w:spacing w:after="0"/>
              <w:rPr>
                <w:sz w:val="20"/>
                <w:szCs w:val="20"/>
                <w:color w:val="auto"/>
              </w:rPr>
            </w:pPr>
            <w:r>
              <w:rPr>
                <w:rFonts w:ascii="Arial" w:cs="Arial" w:eastAsia="Arial" w:hAnsi="Arial"/>
                <w:sz w:val="16"/>
                <w:szCs w:val="16"/>
                <w:b w:val="1"/>
                <w:bCs w:val="1"/>
                <w:color w:val="auto"/>
              </w:rPr>
              <w:t>2018</w:t>
            </w:r>
          </w:p>
        </w:tc>
        <w:tc>
          <w:tcPr>
            <w:tcW w:w="500" w:type="dxa"/>
            <w:vAlign w:val="bottom"/>
          </w:tcPr>
          <w:p>
            <w:pPr>
              <w:spacing w:after="0"/>
              <w:rPr>
                <w:sz w:val="18"/>
                <w:szCs w:val="18"/>
                <w:color w:val="auto"/>
              </w:rPr>
            </w:pPr>
          </w:p>
        </w:tc>
        <w:tc>
          <w:tcPr>
            <w:tcW w:w="1760" w:type="dxa"/>
            <w:vAlign w:val="bottom"/>
          </w:tcPr>
          <w:p>
            <w:pPr>
              <w:jc w:val="right"/>
              <w:ind w:right="873"/>
              <w:spacing w:after="0"/>
              <w:rPr>
                <w:sz w:val="20"/>
                <w:szCs w:val="20"/>
                <w:color w:val="auto"/>
              </w:rPr>
            </w:pPr>
            <w:r>
              <w:rPr>
                <w:rFonts w:ascii="Arial" w:cs="Arial" w:eastAsia="Arial" w:hAnsi="Arial"/>
                <w:sz w:val="16"/>
                <w:szCs w:val="16"/>
                <w:b w:val="1"/>
                <w:bCs w:val="1"/>
                <w:color w:val="auto"/>
              </w:rPr>
              <w:t>Change</w:t>
            </w:r>
          </w:p>
        </w:tc>
        <w:tc>
          <w:tcPr>
            <w:tcW w:w="1680" w:type="dxa"/>
            <w:vAlign w:val="bottom"/>
          </w:tcPr>
          <w:p>
            <w:pPr>
              <w:ind w:left="360"/>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3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740" w:type="dxa"/>
            <w:vAlign w:val="bottom"/>
            <w:gridSpan w:val="3"/>
          </w:tcPr>
          <w:p>
            <w:pPr>
              <w:jc w:val="right"/>
              <w:ind w:right="953"/>
              <w:spacing w:after="0"/>
              <w:rPr>
                <w:sz w:val="20"/>
                <w:szCs w:val="20"/>
                <w:color w:val="auto"/>
              </w:rPr>
            </w:pPr>
            <w:r>
              <w:rPr>
                <w:rFonts w:ascii="Arial" w:cs="Arial" w:eastAsia="Arial" w:hAnsi="Arial"/>
                <w:sz w:val="16"/>
                <w:szCs w:val="16"/>
                <w:b w:val="1"/>
                <w:bCs w:val="1"/>
                <w:color w:val="auto"/>
              </w:rPr>
              <w:t>(in millions, except percentages)</w:t>
            </w:r>
          </w:p>
        </w:tc>
        <w:tc>
          <w:tcPr>
            <w:tcW w:w="1680" w:type="dxa"/>
            <w:vAlign w:val="bottom"/>
          </w:tcPr>
          <w:p>
            <w:pPr>
              <w:spacing w:after="0"/>
              <w:rPr>
                <w:sz w:val="18"/>
                <w:szCs w:val="18"/>
                <w:color w:val="auto"/>
              </w:rPr>
            </w:pPr>
          </w:p>
        </w:tc>
      </w:tr>
      <w:tr>
        <w:trPr>
          <w:trHeight w:val="33"/>
        </w:trPr>
        <w:tc>
          <w:tcPr>
            <w:tcW w:w="3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20" w:type="dxa"/>
            <w:vAlign w:val="bottom"/>
            <w:tcBorders>
              <w:bottom w:val="single" w:sz="8" w:color="CCEEFF"/>
            </w:tcBorders>
            <w:shd w:val="clear" w:color="auto" w:fill="CCEEFF"/>
          </w:tcPr>
          <w:p>
            <w:pPr>
              <w:jc w:val="right"/>
              <w:ind w:right="111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w:t>
            </w:r>
          </w:p>
        </w:tc>
        <w:tc>
          <w:tcPr>
            <w:tcW w:w="5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rPr>
              <w:t>5.7</w:t>
            </w:r>
          </w:p>
        </w:tc>
        <w:tc>
          <w:tcPr>
            <w:tcW w:w="16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w w:val="95"/>
              </w:rPr>
              <w:t>127%</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Other expense—net</w:t>
            </w:r>
          </w:p>
        </w:tc>
        <w:tc>
          <w:tcPr>
            <w:tcW w:w="13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4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500" w:type="dxa"/>
            <w:vAlign w:val="bottom"/>
          </w:tcPr>
          <w:p>
            <w:pPr>
              <w:spacing w:after="0"/>
              <w:rPr>
                <w:sz w:val="21"/>
                <w:szCs w:val="21"/>
                <w:color w:val="auto"/>
              </w:rPr>
            </w:pPr>
          </w:p>
        </w:tc>
        <w:tc>
          <w:tcPr>
            <w:tcW w:w="1760" w:type="dxa"/>
            <w:vAlign w:val="bottom"/>
          </w:tcPr>
          <w:p>
            <w:pPr>
              <w:jc w:val="right"/>
              <w:ind w:right="273"/>
              <w:spacing w:after="0"/>
              <w:rPr>
                <w:sz w:val="20"/>
                <w:szCs w:val="20"/>
                <w:color w:val="auto"/>
              </w:rPr>
            </w:pPr>
            <w:r>
              <w:rPr>
                <w:rFonts w:ascii="Arial" w:cs="Arial" w:eastAsia="Arial" w:hAnsi="Arial"/>
                <w:sz w:val="18"/>
                <w:szCs w:val="18"/>
                <w:color w:val="auto"/>
              </w:rPr>
              <w:t>(0.3)</w:t>
            </w:r>
          </w:p>
        </w:tc>
        <w:tc>
          <w:tcPr>
            <w:tcW w:w="1680" w:type="dxa"/>
            <w:vAlign w:val="bottom"/>
          </w:tcPr>
          <w:p>
            <w:pPr>
              <w:ind w:left="1220"/>
              <w:spacing w:after="0"/>
              <w:rPr>
                <w:sz w:val="20"/>
                <w:szCs w:val="20"/>
                <w:color w:val="auto"/>
              </w:rPr>
            </w:pPr>
            <w:r>
              <w:rPr>
                <w:rFonts w:ascii="Arial" w:cs="Arial" w:eastAsia="Arial" w:hAnsi="Arial"/>
                <w:sz w:val="18"/>
                <w:szCs w:val="18"/>
                <w:color w:val="auto"/>
              </w:rPr>
              <w:t>150</w:t>
            </w: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Interest income increased during the three months ended March 31, 2019 compared to the same period last year, primarily due to higher interest rates and higher invested balances of cash, cash equivalents and investments. Interest income varies depending on our average investment balances during the period, types and mix of investments, and market interest rates. The change in other expense—net during the three months ended March 31, 2019 compared to the same period last year was primarily due to higher foreign currency exchange losses.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spacing w:after="0"/>
              <w:rPr>
                <w:sz w:val="18"/>
                <w:szCs w:val="18"/>
                <w:color w:val="auto"/>
              </w:rPr>
            </w:pPr>
          </w:p>
        </w:tc>
        <w:tc>
          <w:tcPr>
            <w:tcW w:w="3320" w:type="dxa"/>
            <w:vAlign w:val="bottom"/>
            <w:gridSpan w:val="3"/>
          </w:tcPr>
          <w:p>
            <w:pPr>
              <w:jc w:val="right"/>
              <w:ind w:right="537"/>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9"/>
        </w:trPr>
        <w:tc>
          <w:tcPr>
            <w:tcW w:w="3620" w:type="dxa"/>
            <w:vAlign w:val="bottom"/>
          </w:tcPr>
          <w:p>
            <w:pPr>
              <w:spacing w:after="0"/>
              <w:rPr>
                <w:sz w:val="18"/>
                <w:szCs w:val="18"/>
                <w:color w:val="auto"/>
              </w:rPr>
            </w:pPr>
          </w:p>
        </w:tc>
        <w:tc>
          <w:tcPr>
            <w:tcW w:w="1360" w:type="dxa"/>
            <w:vAlign w:val="bottom"/>
          </w:tcPr>
          <w:p>
            <w:pPr>
              <w:jc w:val="center"/>
              <w:ind w:left="397"/>
              <w:spacing w:after="0"/>
              <w:rPr>
                <w:sz w:val="20"/>
                <w:szCs w:val="20"/>
                <w:color w:val="auto"/>
              </w:rPr>
            </w:pPr>
            <w:r>
              <w:rPr>
                <w:rFonts w:ascii="Arial" w:cs="Arial" w:eastAsia="Arial" w:hAnsi="Arial"/>
                <w:sz w:val="16"/>
                <w:szCs w:val="16"/>
                <w:b w:val="1"/>
                <w:bCs w:val="1"/>
                <w:color w:val="auto"/>
                <w:w w:val="97"/>
              </w:rPr>
              <w:t>March 31,</w:t>
            </w:r>
          </w:p>
        </w:tc>
        <w:tc>
          <w:tcPr>
            <w:tcW w:w="560" w:type="dxa"/>
            <w:vAlign w:val="bottom"/>
          </w:tcPr>
          <w:p>
            <w:pPr>
              <w:spacing w:after="0"/>
              <w:rPr>
                <w:sz w:val="18"/>
                <w:szCs w:val="18"/>
                <w:color w:val="auto"/>
              </w:rPr>
            </w:pPr>
          </w:p>
        </w:tc>
        <w:tc>
          <w:tcPr>
            <w:tcW w:w="1400" w:type="dxa"/>
            <w:vAlign w:val="bottom"/>
          </w:tcPr>
          <w:p>
            <w:pPr>
              <w:jc w:val="center"/>
              <w:ind w:left="517"/>
              <w:spacing w:after="0"/>
              <w:rPr>
                <w:sz w:val="20"/>
                <w:szCs w:val="20"/>
                <w:color w:val="auto"/>
              </w:rPr>
            </w:pPr>
            <w:r>
              <w:rPr>
                <w:rFonts w:ascii="Arial" w:cs="Arial" w:eastAsia="Arial" w:hAnsi="Arial"/>
                <w:sz w:val="16"/>
                <w:szCs w:val="16"/>
                <w:b w:val="1"/>
                <w:bCs w:val="1"/>
                <w:color w:val="auto"/>
                <w:w w:val="97"/>
              </w:rPr>
              <w:t>March 31,</w:t>
            </w: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0"/>
        </w:trPr>
        <w:tc>
          <w:tcPr>
            <w:tcW w:w="3620" w:type="dxa"/>
            <w:vAlign w:val="bottom"/>
          </w:tcPr>
          <w:p>
            <w:pPr>
              <w:spacing w:after="0"/>
              <w:rPr>
                <w:sz w:val="18"/>
                <w:szCs w:val="18"/>
                <w:color w:val="auto"/>
              </w:rPr>
            </w:pPr>
          </w:p>
        </w:tc>
        <w:tc>
          <w:tcPr>
            <w:tcW w:w="1360" w:type="dxa"/>
            <w:vAlign w:val="bottom"/>
          </w:tcPr>
          <w:p>
            <w:pPr>
              <w:jc w:val="right"/>
              <w:ind w:right="177"/>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400" w:type="dxa"/>
            <w:vAlign w:val="bottom"/>
          </w:tcPr>
          <w:p>
            <w:pPr>
              <w:jc w:val="right"/>
              <w:ind w:right="137"/>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18"/>
                <w:szCs w:val="18"/>
                <w:color w:val="auto"/>
              </w:rPr>
            </w:pPr>
          </w:p>
        </w:tc>
        <w:tc>
          <w:tcPr>
            <w:tcW w:w="1400" w:type="dxa"/>
            <w:vAlign w:val="bottom"/>
          </w:tcPr>
          <w:p>
            <w:pPr>
              <w:jc w:val="right"/>
              <w:ind w:right="54"/>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8"/>
                <w:szCs w:val="18"/>
                <w:color w:val="auto"/>
              </w:rPr>
            </w:pPr>
          </w:p>
        </w:tc>
        <w:tc>
          <w:tcPr>
            <w:tcW w:w="1720" w:type="dxa"/>
            <w:vAlign w:val="bottom"/>
          </w:tcPr>
          <w:p>
            <w:pPr>
              <w:jc w:val="right"/>
              <w:ind w:right="49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36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80" w:type="dxa"/>
            <w:vAlign w:val="bottom"/>
            <w:gridSpan w:val="3"/>
          </w:tcPr>
          <w:p>
            <w:pPr>
              <w:jc w:val="right"/>
              <w:ind w:right="194"/>
              <w:spacing w:after="0"/>
              <w:rPr>
                <w:sz w:val="20"/>
                <w:szCs w:val="20"/>
                <w:color w:val="auto"/>
              </w:rPr>
            </w:pPr>
            <w:r>
              <w:rPr>
                <w:rFonts w:ascii="Arial" w:cs="Arial" w:eastAsia="Arial" w:hAnsi="Arial"/>
                <w:sz w:val="16"/>
                <w:szCs w:val="16"/>
                <w:b w:val="1"/>
                <w:bCs w:val="1"/>
                <w:color w:val="auto"/>
              </w:rPr>
              <w:t>(in millions, except percentages)</w:t>
            </w:r>
          </w:p>
        </w:tc>
        <w:tc>
          <w:tcPr>
            <w:tcW w:w="7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3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36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400" w:type="dxa"/>
            <w:vAlign w:val="bottom"/>
            <w:tcBorders>
              <w:bottom w:val="single" w:sz="8" w:color="CCEEFF"/>
            </w:tcBorders>
            <w:shd w:val="clear" w:color="auto" w:fill="CCEEFF"/>
          </w:tcPr>
          <w:p>
            <w:pPr>
              <w:jc w:val="right"/>
              <w:ind w:right="1137"/>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14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6.4</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Effective tax rate (%)</w:t>
            </w:r>
          </w:p>
        </w:tc>
        <w:tc>
          <w:tcPr>
            <w:tcW w:w="13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r>
    </w:tbl>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Our effective tax rate was 2% for the three months ended March 31, 2019 compared to an effective tax rate benefit of 13% for the same period last year. The effective tax rate for the three months ended March 31, 2019 was comprised of U.S. federal and state taxes, withholding taxes and foreign taxes of $17.5 million, which were offset by a tax benefit of $16.0 million for stock-based compensation expense. The tax rate for the three months ended March 31, 2018 was comprised of the U.S. federal and state taxes, withholding taxes and foreign taxes of $8.5 million, which were offset by a tax benefit of $5.6 million for stock-based compensation expense and release of reserves of $7.8 million on uncertain tax positions including interest due to the close of the Internal Revenue Service (“IRS”) audit.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3"/>
          </w:tcPr>
          <w:p>
            <w:pPr>
              <w:jc w:val="center"/>
              <w:ind w:left="974"/>
              <w:spacing w:after="0"/>
              <w:rPr>
                <w:sz w:val="20"/>
                <w:szCs w:val="20"/>
                <w:color w:val="auto"/>
              </w:rPr>
            </w:pPr>
            <w:r>
              <w:rPr>
                <w:rFonts w:ascii="Arial" w:cs="Arial" w:eastAsia="Arial" w:hAnsi="Arial"/>
                <w:sz w:val="16"/>
                <w:szCs w:val="16"/>
                <w:b w:val="1"/>
                <w:bCs w:val="1"/>
                <w:color w:val="auto"/>
                <w:w w:val="89"/>
              </w:rPr>
              <w:t>As of</w:t>
            </w:r>
          </w:p>
        </w:tc>
        <w:tc>
          <w:tcPr>
            <w:tcW w:w="1280" w:type="dxa"/>
            <w:vAlign w:val="bottom"/>
          </w:tcPr>
          <w:p>
            <w:pPr>
              <w:spacing w:after="0"/>
              <w:rPr>
                <w:sz w:val="18"/>
                <w:szCs w:val="18"/>
                <w:color w:val="auto"/>
              </w:rPr>
            </w:pP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635.1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604.2</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1,716.6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1,059.0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964.5</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8"/>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2"/>
              </w:rPr>
              <w:t>Three Months Ended</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March 31,</w:t>
            </w:r>
          </w:p>
        </w:tc>
        <w:tc>
          <w:tcPr>
            <w:tcW w:w="180" w:type="dxa"/>
            <w:vAlign w:val="bottom"/>
          </w:tcPr>
          <w:p>
            <w:pPr>
              <w:spacing w:after="0"/>
              <w:rPr>
                <w:sz w:val="18"/>
                <w:szCs w:val="18"/>
                <w:color w:val="auto"/>
              </w:rPr>
            </w:pPr>
          </w:p>
        </w:tc>
        <w:tc>
          <w:tcPr>
            <w:tcW w:w="1280" w:type="dxa"/>
            <w:vAlign w:val="bottom"/>
          </w:tcPr>
          <w:p>
            <w:pPr>
              <w:jc w:val="center"/>
              <w:ind w:right="133"/>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4"/>
              <w:spacing w:after="0"/>
              <w:rPr>
                <w:sz w:val="20"/>
                <w:szCs w:val="20"/>
                <w:color w:val="auto"/>
              </w:rPr>
            </w:pPr>
            <w:r>
              <w:rPr>
                <w:rFonts w:ascii="Arial" w:cs="Arial" w:eastAsia="Arial" w:hAnsi="Arial"/>
                <w:sz w:val="16"/>
                <w:szCs w:val="16"/>
                <w:b w:val="1"/>
                <w:bCs w:val="1"/>
                <w:color w:val="auto"/>
                <w:w w:val="89"/>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4"/>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1"/>
              </w:rPr>
              <w:t>(in millions)</w:t>
            </w:r>
          </w:p>
        </w:tc>
      </w:tr>
      <w:tr>
        <w:trPr>
          <w:trHeight w:val="33"/>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24.6</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Liquidity and capital resources may be impacted by our operating activities, as well as by our stock repurchases, real estate and other capital expenditures, proceeds associated with stock option exercises and issuances of common stock under our equity incentive plans and payment of taxes in connection with the net settlement of equity awards. In recent years, we have received significant capital resources from billings, the exercise of stock options and ESPP purchases. Additional increases in billings may depend on a number of factors, including demand for our products and services, competition, market or industry changes, and our ability to execute. We expect proceeds from the exercise of stock options in future years to be impacted by the increased mix of restricted stock units versus stock options granted and also to vary based on our share price. We expect there to be no future proceeds from purchases under our ESPP, which was terminated in February 2019. As of March 31, 2019, $677.5 million remained available for future share repurchase under the Repurchase Program.</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Construction of our new headquarters building started in the fourth quarter of 2018 and related spending will continue in 2019 and until project completion. We estimate 2019 spending on the project to be between $60.0 million to $80.0 million dollars.</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of March 31, 2019, our cash, cash equivalents and investments of $1.85 billion were invested primarily in deposit accounts, money market funds, corporate debt securities, commercial paper, certificates of deposit and term deposits and U.S. government and agency securities. It is our investment policy to invest excess cash in a manner that preserves capital, provides liquidity and generates return without significantly increasing risk. We do not enter into investments for trading or speculative purposes.</w:t>
      </w:r>
    </w:p>
    <w:p>
      <w:pPr>
        <w:spacing w:after="0" w:line="18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amount of cash, cash equivalents and investments held by our international subsidiaries was $151.8 million as of March 31, 2019 and $956.6 million as of December 31, 2018. The decrease in cash, cash equivalents and investments held by our international subsidiaries was due to our international tax restructure.</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believe that our existing cash and cash equivalents will be sufficient to meet our anticipated cash needs for at least the next 12 months. Our future capital requirements will depend on many factors, including our growth rate, the timing and amount of our planned share repurchases, the timing and extent of spending to support development efforts, the expansion of sales and marketing activities, the introduction of new and enhanced products and services offerings, the continuing market acceptance of our products and our investments in purchasing or leasing real estate. Historically, we have required capital principally to fund our working capital needs, share repurchases, capital expenditures and acquisition activities. In the event that additional financing is required from outside sources, we may not be able to raise it on terms acceptable to us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Cash generated by operating activities is our primary source of liquidity. It is primarily comprised of net income, as adjusted for non-cash items, and changes in operating assets and liabilities, including deferred revenue. Non-cash adjustments consist primarily of stock-based compensation, amortization of deferred contract costs, depreciation of property and equipment, amortization of intangible assets and amortization of investment premiums, net of accretion of purchase discounts.</w:t>
      </w:r>
    </w:p>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Our operating activities during the three months ended March 31, 2019 provided $201.3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Our total deferred revenue balance grew 26% as of March 31, 2019 compared to the same period last year to $1.77 billion.</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operating activities during the three months ended March 31, 2018 provided $139.7 million in cash as a result of the continued growth of our business and our ability to successfully manage our working capital. Changes in operating assets and liabilities primarily resulted from an increase in sales of our FortiGuard security subscription and FortiCare technical support services to new and existing customers, as reflected by an increase in our deferred revenue, which was partially offset by an increase in accounts receivable. Our total deferred revenue balance grew 27% during the three months ended March 31, 2018 compared to the same period last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changes in cash flows from investing activities primarily relate to timing of purchases, maturities and sales of investments and purchases of property and equipment. Historically, in making a lease versus purchase decision related to our larger facilities, we have considered various factors including financial metrics and the impact on our employees. In certain cases, we have elected to purchase the facility if we believed that purchasing rather than leasing is more in line with our long-term strategy. We expect to make similar decisions in the future. We may also make cash payments in connection with a future business combination.</w:t>
      </w:r>
    </w:p>
    <w:p>
      <w:pPr>
        <w:spacing w:after="0" w:line="188"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three months ended March 31, 2019, cash used in investing activities was primarily due to $28.8 million spent for purchases of investments, net of maturities and sales of investments and $10.2 million spent on capital expenditures.</w:t>
      </w:r>
    </w:p>
    <w:p>
      <w:pPr>
        <w:spacing w:after="0" w:line="170"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During the three months ended March 31, 2018, cash used in investing activities was primarily due to $13.9 million spent for purchases of investments, net of maturities and sales of investments, and $11.6 million spent on capital expenditures.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changes in cash flows from financing activities primarily relate to cash payments for the repurchase and retirement of common stock, proceeds from the issuance of common stock under our equity incentive plans and taxes paid related to net share settlement of equity awards.</w:t>
      </w:r>
    </w:p>
    <w:p>
      <w:pPr>
        <w:spacing w:after="0" w:line="147"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During the three months ended March 31, 2019, cash used in financing activities was $57.8 million, primarily due to $60.4 million used to repurchase our common stock. This was partially offset by $2.6 million of proceeds from the issuance of common stock, net of tax withholding.</w:t>
      </w:r>
    </w:p>
    <w:p>
      <w:pPr>
        <w:spacing w:after="0" w:line="12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During the three months ended March 31, 2018, cash used in financing activities was $89.6 million, primarily due to $115.5 million used to repurchase our common stock. This was partially offset by $25.9 million of proceeds from the issuance of common stock, net of tax withholding.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There were no material changes outside the ordinary course of business during the three months ended March 31, 2019 to the contractual obligations and commitments disclosed in Management’s Discussion and Analysis of Financial Condition and Results of Operations, set forth in Part II, Item 7, of the Form 10-K. See Note 11 of the notes to condensed consolidated financial statements included in Part I, Item 1 of this Quarterly Report on Form 10-Q for additional information regarding contractual obligations and commitments.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of March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were no material changes in our market risk during the three months ended March 31, 2019 compared to the disclosures in Part II, Item 7A of the Form 10-K.</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March 31, 2019.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March 31, 2019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January 2019, we implemented certain internal controls over financial reporting in connection with our adoption of ASC Topic 842, Leases. There were no other changes in our internal control over financial reporting (as defined in Rules 13a-15(f) or 15d-15(f) under the Exchange Act) during the three months ended March 31, 2019 that have materially affected, or are reasonably likely to materially affect, our internal control over financial reporting.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We are subject to various claims, complaints and legal actions that arise from time to time in the normal course of business. We accrue for contingencies when we believe that a loss is probable and that we can reasonably estimate the amount of any such loss. There can be no assurance that existing or future legal proceedings arising in the ordinary course of business or otherwise will not have a material adverse effect on our business, consolidated financial position, results of operations or cash flows.</w:t>
      </w:r>
    </w:p>
    <w:p>
      <w:pPr>
        <w:spacing w:after="0" w:line="187"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As previously disclosed, in October 2016, we received a letter from the United States Attorney’s Office for the Northern District of California requesting information on events from over two years ago related to our compliance with the Trade Agreements Act. We cooperated with the inquiry, and settled this matter with the United States Attorney’s Office.</w:t>
      </w:r>
    </w:p>
    <w:p>
      <w:pPr>
        <w:spacing w:after="0" w:line="1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Investors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substantially, and investors may lose some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likely to vary significantly and be unpredictable.</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or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services to our existing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demand for our products and services, which may render forecasts inaccurate;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each quarter;</w:t>
      </w:r>
    </w:p>
    <w:p>
      <w:pPr>
        <w:spacing w:after="0" w:line="236"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shipments, which may depend on factors such as inventory levels, logistics, manufacturing or shipping delays, our ability to ship new products on schedule and our ability to accurately forecast inventory requirements;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mix of products sold and the mix of revenue between products and services, as well as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purchasing practices and budgeting cycles of our channel partners and end-customers, including the effect of the end of product refresh cycles;</w:t>
      </w:r>
    </w:p>
    <w:p>
      <w:pPr>
        <w:spacing w:after="0" w:line="170" w:lineRule="exact"/>
        <w:rPr>
          <w:rFonts w:ascii="Arial" w:cs="Arial" w:eastAsia="Arial" w:hAnsi="Arial"/>
          <w:sz w:val="18"/>
          <w:szCs w:val="18"/>
          <w:color w:val="auto"/>
        </w:rPr>
      </w:pPr>
    </w:p>
    <w:p>
      <w:pPr>
        <w:ind w:left="1300" w:right="28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effectiveness of our sales organization, generally or in a particular geographic region, the time it takes to hire sales personnel and the timing of hiring, and our ability to retain, sales personnel;</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execution risk related to effectively selling to all segments of the market, including enterprise and small- and medium-sized businesses and service providers, and to selling our broad security product and services portfolio;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seasonal buying patterns of our end-customers;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24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level of our investments in sales and marketing, and the impact of such investments on our operating expenses, operating margin and the productivity and effectiveness of execution of our sales and marketing teams;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revenue recognition for our sales;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requirements, market needs or buying practices and patterns of our distributors, resellers or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market;</w:t>
      </w:r>
    </w:p>
    <w:p>
      <w:pPr>
        <w:spacing w:after="0" w:line="225"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and success of new product and service introductions or enhancements by us or our competitors, or any other change in the competitive landscape of our industry, including consolidation among our competitors, partners or end-customers;</w:t>
      </w:r>
    </w:p>
    <w:p>
      <w:pPr>
        <w:spacing w:after="0" w:line="146" w:lineRule="exact"/>
        <w:rPr>
          <w:rFonts w:ascii="Arial" w:cs="Arial" w:eastAsia="Arial" w:hAnsi="Arial"/>
          <w:sz w:val="17"/>
          <w:szCs w:val="17"/>
          <w:color w:val="auto"/>
        </w:rPr>
      </w:pPr>
    </w:p>
    <w:p>
      <w:pPr>
        <w:ind w:left="1300" w:right="1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deferral of orders from distributors, resellers or end-customers in anticipation of new products or product enhancements announced by us or our competitors;</w:t>
      </w:r>
    </w:p>
    <w:p>
      <w:pPr>
        <w:spacing w:after="0" w:line="170" w:lineRule="exact"/>
        <w:rPr>
          <w:rFonts w:ascii="Arial" w:cs="Arial" w:eastAsia="Arial" w:hAnsi="Arial"/>
          <w:sz w:val="18"/>
          <w:szCs w:val="18"/>
          <w:color w:val="auto"/>
        </w:rPr>
      </w:pPr>
    </w:p>
    <w:p>
      <w:pPr>
        <w:ind w:left="1300" w:hanging="644"/>
        <w:spacing w:after="0" w:line="31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increases or decreases in our billings, revenue and expenses caused by fluctuations in foreign currency exchange rates or a strengthening of the U.S. dollar, as a significant portion of our expenses is incurred and paid in currencies other than the U.S. dollar, and the impact such fluctuations may have on the actual prices that our partners and customers are willing to pay for our products and services;</w:t>
      </w:r>
    </w:p>
    <w:p>
      <w:pPr>
        <w:spacing w:after="0" w:line="146" w:lineRule="exact"/>
        <w:rPr>
          <w:rFonts w:ascii="Arial" w:cs="Arial" w:eastAsia="Arial" w:hAnsi="Arial"/>
          <w:sz w:val="16"/>
          <w:szCs w:val="16"/>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existing laws and regulations that are applicable to our ability to conduct business with the public sector;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litigation fees and costs, settlements, judgments and other equitable and legal relief granted related to litigation;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cloud-based platforms on our billings, revenues, operating margins and free cash flow;</w:t>
      </w:r>
    </w:p>
    <w:p>
      <w:pPr>
        <w:spacing w:after="0" w:line="225" w:lineRule="exact"/>
        <w:rPr>
          <w:rFonts w:ascii="Arial" w:cs="Arial" w:eastAsia="Arial" w:hAnsi="Arial"/>
          <w:sz w:val="18"/>
          <w:szCs w:val="18"/>
          <w:color w:val="auto"/>
        </w:rPr>
      </w:pPr>
    </w:p>
    <w:p>
      <w:pPr>
        <w:ind w:left="1300" w:right="76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newer technology providers,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price competition and increased competitiveness in our market, including the competitive pressure caused by product refresh cycles;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both increase revenues and manage and control operating expenses in order to improve our operating margins;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customer renewal rates or attached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contractual term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estimated annual effective tax rates;</w:t>
      </w:r>
    </w:p>
    <w:p>
      <w:pPr>
        <w:spacing w:after="0" w:line="225"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circumstances and challenges in business conditions, including decreased demand, which may negatively impact our channel partners’ ability to sell the current inventory they hold and negatively impact their future purchases of products from us;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demand for cloud-based services and the uncertainty associated with transitioning to providing such services;</w:t>
      </w:r>
    </w:p>
    <w:p>
      <w:pPr>
        <w:spacing w:after="0" w:line="319" w:lineRule="exact"/>
        <w:rPr>
          <w:rFonts w:ascii="Arial" w:cs="Arial" w:eastAsia="Arial" w:hAnsi="Arial"/>
          <w:sz w:val="18"/>
          <w:szCs w:val="18"/>
          <w:color w:val="auto"/>
        </w:rPr>
      </w:pPr>
    </w:p>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increased expenses, unforeseen liabilities or write-downs and any impact on results of operations from any acquisition consummated;</w:t>
      </w: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2" w:right="31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channel partners having insufficient financial resources to withstand changes and challenges in business conditions;</w:t>
      </w:r>
    </w:p>
    <w:p>
      <w:pPr>
        <w:spacing w:after="0" w:line="225"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 including as a result of consolidation among distributors and resellers of security solutions;</w:t>
      </w:r>
    </w:p>
    <w:p>
      <w:pPr>
        <w:spacing w:after="0" w:line="170"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insolvency, credit or other difficulties confronting our key suppliers and channel partners, which could affect their ability to purchase or pay for products and services and which could disrupt our supply or distribution chain;</w:t>
      </w:r>
    </w:p>
    <w:p>
      <w:pPr>
        <w:spacing w:after="0" w:line="170" w:lineRule="exact"/>
        <w:rPr>
          <w:rFonts w:ascii="Arial" w:cs="Arial" w:eastAsia="Arial" w:hAnsi="Arial"/>
          <w:sz w:val="18"/>
          <w:szCs w:val="18"/>
          <w:color w:val="auto"/>
        </w:rPr>
      </w:pPr>
    </w:p>
    <w:p>
      <w:pPr>
        <w:ind w:left="1300" w:right="1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policy changes and uncertainty with respect to immigration laws, trade policy and tariffs, including increased tariffs applicable to countries where we manufacture our products, foreign imports and tax laws related to international commerce;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economic and social instability, including geo-political instability and uncertainty, such as the impact of the United Kingdom’s exit from the European Union (“Brexit”);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 both in domestic and foreign markets;</w:t>
      </w:r>
    </w:p>
    <w:p>
      <w:pPr>
        <w:spacing w:after="0" w:line="225" w:lineRule="exact"/>
        <w:rPr>
          <w:rFonts w:ascii="Arial" w:cs="Arial" w:eastAsia="Arial" w:hAnsi="Arial"/>
          <w:sz w:val="18"/>
          <w:szCs w:val="18"/>
          <w:color w:val="auto"/>
        </w:rPr>
      </w:pPr>
    </w:p>
    <w:p>
      <w:pPr>
        <w:ind w:left="1300" w:right="700" w:hanging="644"/>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future accounting pronouncements or changes in our accounting policies, such as changes in accounting for leases and stock-based compensation, as well as the significant costs that may be incurred to adopt and comply with these new pronouncements;</w:t>
      </w:r>
    </w:p>
    <w:p>
      <w:pPr>
        <w:spacing w:after="0" w:line="123" w:lineRule="exact"/>
        <w:rPr>
          <w:rFonts w:ascii="Arial" w:cs="Arial" w:eastAsia="Arial" w:hAnsi="Arial"/>
          <w:sz w:val="16"/>
          <w:szCs w:val="16"/>
          <w:color w:val="auto"/>
        </w:rPr>
      </w:pPr>
    </w:p>
    <w:p>
      <w:pPr>
        <w:ind w:left="1300" w:right="94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impairments or acceleration of depreciation of our existing real estate due to our current real estate holdings and future development plans;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legislative or regulatory changes, such as with respect to privacy, information and cybersecurity, exports, the environment and applicable accounting standards.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 percentage of our operating expenses are fixed in nature over the near term. Accordingly, in the event of revenue shortfalls, we are generally unable to mitigate the negative impact on margins in the short term.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and regional economic conditions and spending environments, geopolitical instability and uncertainty, weak economic conditions in certain regions or a reduction in information technology spending regardless of macro-economic conditions could have adverse impacts on our business, financial condition and results of operations, including longer sales cycles, lower prices for our products and services, higher default rates among our channel partners, reduced unit sales and slower or declining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revenue, operating margin and free cash flow growth may slow or may not continue.</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We may experience slowing growth, or a decrease, in billings, revenue, operating margin and free cash flow for a number of reasons, including a slowdown in demand for our products or services, a shift in demand from products to services, increased competition, a decrease in the growth of our overall market or softness in demand in certain geographies or industry verticals, such as the service provider industry, changes in our strategic opportunities, execution risks and our failure for any reason to continue to capitalize on sales and growth opportunities due to other risks identified in the risk factors described in this periodic report. Our expenses as a percentage of total revenue may be higher than expected if our revenue is lower than expected and, if our investments in sales and marketing and other functional areas do not result in expected billings and revenue growth, we may experience margin declines and may not be able to sustain profitability in future periods if we fail to increase billings, revenue or deferred revenue, do not appropriately manage our cost structure and free cash flow or encounter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unanticipated liabilities. Any failure by us to maintain profitability, maintain our margins and continue our billings, revenue and free cash flow growth could cause the price of our common stock to materially decline.</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b w:val="1"/>
          <w:bCs w:val="1"/>
          <w:i w:val="1"/>
          <w:iCs w:val="1"/>
          <w:color w:val="auto"/>
        </w:rPr>
        <w:t>We rely significantly on revenue from FortiGuard security subscription and FortiCare technical support services, and revenue from these services may decline or fluctuate. Because we recognize revenue from these services over the term of the relevant service period, downturns or upturns in sales of FortiGuard security subscription and FortiCare technical support services are not immediately reflected in full in our operating results.</w:t>
      </w:r>
    </w:p>
    <w:p>
      <w:pPr>
        <w:spacing w:after="0" w:line="14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FortiGuard security subscription and FortiCare technical support services revenue has historically accounted for a significant percentage of our total revenue. Revenue from the sale of new, or from the renewal of existing, FortiGuard security subscription and FortiCare technical support service contracts may decline and fluctuate as a result of a number of factors, including fluctuations in purchases of FortiGate appliances or our Fabric products, changes in the sales mix between products and services, end-customers’ level of satisfaction with our products and services, the prices of our products and services, the prices of products and services offered by our competitors, reductions in our customers’ spending levels and the timing of revenue recognition with respect to these arrangements. If our sales of new, or renewals of existing, FortiGuard security subscription and FortiCare technical support service contracts decline, our revenue and revenue growth may decline and our business could suffer. In addition, in the event significant customers require payment terms for FortiGuard security subscription and FortiCare technical support services in arrears or for shorter periods of time than annually, such as monthly or quarterly, this may negatively impact our billings and revenue. Furthermore, we recognize FortiGuard security subscription and FortiCare technical support services revenue monthly over the term of the relevant service period, which is typically from one to five years. As a result, much of the FortiGuard security subscription and FortiCare technical support services revenue we report each quarter is the recognition of deferred revenue from FortiGuard security subscription and FortiCare technical support services contracts entered into during previous quarters or years. Consequently, a decline in new or renewed FortiGuard security subscription and FortiCare technical support services contracts in any one quarter will not be fully reflected in revenue in that quarter but will negatively affect our revenue in future quarters. Accordingly, the effect of significant downturns in sales of new, or renewals of existing, FortiGuard security subscription and FortiCare technical support services is not reflected in full in our statements of income until future periods. Our FortiGuard security subscription and FortiCare technical support services revenue also makes it difficult for us to rapidly increase our revenue through additional service sales in any period, as revenue from new and renewal support services contracts must be recognized over the applicable service period.</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We market and sell our products throughout the world and have established sales offices in many parts of the world. Our international sales have represented a majority of our total revenue in recent periods. Therefore, we are subject to risks associated with having worldwide operations. We are also subject to a number of risks typically associated with international sales and operations, including:</w:t>
      </w:r>
    </w:p>
    <w:p>
      <w:pPr>
        <w:spacing w:after="0" w:line="16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including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sales processes for larger deals, particularly during the summer months;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protectionist policies and penalties, and local laws, requirements, policies and perceptions that may adversely impact a U.S.-headquartered business’s sales in certain countries outside of the United States;</w:t>
      </w:r>
    </w:p>
    <w:p>
      <w:pPr>
        <w:spacing w:after="0" w:line="170" w:lineRule="exact"/>
        <w:rPr>
          <w:rFonts w:ascii="Arial" w:cs="Arial" w:eastAsia="Arial" w:hAnsi="Arial"/>
          <w:sz w:val="18"/>
          <w:szCs w:val="18"/>
          <w:color w:val="auto"/>
        </w:rPr>
      </w:pPr>
    </w:p>
    <w:p>
      <w:pPr>
        <w:ind w:left="1300" w:right="60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complying with, and the risks, reputational damage and other costs of non-compliance with, U.S. or other foreign laws and regulations for foreign operations, including the U.S. Foreign Corrupt Practices Act,</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122" w:right="31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1300" w:right="180"/>
        <w:spacing w:after="0" w:line="324" w:lineRule="auto"/>
        <w:rPr>
          <w:sz w:val="20"/>
          <w:szCs w:val="20"/>
          <w:color w:val="auto"/>
        </w:rPr>
      </w:pPr>
      <w:r>
        <w:rPr>
          <w:rFonts w:ascii="Arial" w:cs="Arial" w:eastAsia="Arial" w:hAnsi="Arial"/>
          <w:sz w:val="18"/>
          <w:szCs w:val="18"/>
          <w:color w:val="auto"/>
        </w:rPr>
        <w:t>the United Kingdom Bribery Act 2010, the General Data Protection Regulation (which became effective in May 2018), import and export control laws, trade laws and regulations, tariffs and retaliatory measures, trade barriers and economic sanctions;</w:t>
      </w:r>
    </w:p>
    <w:p>
      <w:pPr>
        <w:spacing w:after="0" w:line="143" w:lineRule="exact"/>
        <w:rPr>
          <w:sz w:val="20"/>
          <w:szCs w:val="20"/>
          <w:color w:val="auto"/>
        </w:rPr>
      </w:pPr>
    </w:p>
    <w:p>
      <w:pPr>
        <w:ind w:left="1300" w:right="48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120" w:hanging="644"/>
        <w:spacing w:after="0" w:line="259"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or sales-related arrangements, such as sales “side agreements” to allow return rights, that could disrupt the sales team through terminations of employment or otherwise, and may adversely impact financial results as compared to those already reported or forecasted and result in restatements of financial statements and irregularities in financial statements;</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effectively implement and maintain adequate internal controls to properly manage our international sales and operations;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unrest, changes and uncertainty associated with terrorism, hostilities, war or natural disasters;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tax, tariff, employment and other laws.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Product and service sales and employee and contractor matters may be subject to foreign governmental regulations, which vary substantially from country to country. Further, we may be unable to keep up-to-date with changes in government requirements as they change over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litigation, regulatory action, costs of investigation, delays in revenue recognition, delays in financial reporting, financial reporting misstatements, fines, penalties or the prohibition of the importation or exportation of our products and services, any of which could have a material adverse effect on our business and results of operations.</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are not successful in continuing to execute our strategy to increase our sales to large and medium-sized end-customers, our results of operations may suffer.</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An important part of our growth strategy is to increase sales of our products to large and medium-sized businesses, service providers and government organizations. While we have increased sales in recent periods to large and medium-sized businesses, our sales volume varies by quarter and there is risk as to our level of success selling to these target customers. Such sales involve unique sales skillsets, processes and structures, are often more complex and feature a longer contract term and may be at higher discount levels. We also have experienced uneven traction selling to certain government organizations and service providers and managed security service providers (“MSSPs”), and there can be no assurance that we will be successful selling to these customers. Sales to these organizations involve risks that may not be present, or that are present to a lesser extent, with sales to smaller entities. These risks include: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right="44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competition from competitors that traditionally target large and medium-sized businesses, service providers and government organizations and that may already have purchase commitments from those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320" w:hanging="644"/>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unanticipated changes in the capital resources or purchasing behavior of large end-customers, including changes in the volume and frequency of their purchases and changes in the mix of products and services, willingness to change to cloud delivery model and related payment terms;</w:t>
      </w:r>
    </w:p>
    <w:p>
      <w:pPr>
        <w:spacing w:after="0" w:line="18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requirements and increased penalties for any failure to meet support requirements;</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longer ramp-up periods for enterprise sales personnel as compared to other sales personnel.</w:t>
      </w:r>
    </w:p>
    <w:p>
      <w:pPr>
        <w:spacing w:after="0" w:line="225"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Large and medium-sized businesses, service providers and MSSPs and government organizations often undertake a significant evaluation process that results in a lengthy sales cycle, in some cases longer than 12 months. Although we have a channel sales model, our sales representatives typically engage in direct interaction with end-customers, along with our distributors and resellers, in connection with sales to large and medium-sized end-customers. We may spend substantial time, effort and money in our sales efforts without being successful in producing any sales. In addition, purchases by large and medium-sized businesses, service providers and government organizations are frequently subject to budget constraints, multiple approvals and unplanned administrative, processing and other delays. Furthermore, service providers and MSSPs represent our largest industry vertical and consolidation or continued changes in buying behavior by larger customers within this industry could negatively impact our business. Large and medium-sized businesses, service providers and MSSPs and government organizations typically have longer implementation cycles, require greater product functionality and scalability, expect a broader range of services, including design, implementation and post go-live services, demand that vendors take on a larger share of risks, require acceptance provisions that can lead to a delay in revenue recognition and expect greater payment flexibility from vendors. In addition, large and medium-sized businesses, service providers and government organizations may require that our products and services be sold differently from how we offer our products and services, which could negatively impact our operating results. Our large business and service provider customers may also become more deliberate in their purchases as they plan their next-generation network security architecture, leading them to take more time in making purchasing decisions or to purchase based only on their immediate needs. All these factors can add further risk to business conducted with these customers. In addition, if sales expected from a large and medium-sized end-customer for a particular quarter are not realized in that quarter or at all, our business, operating results and financial condition could be materially and adversely affected.</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Managing our inventory is complex. Our channel partners may increase orders during periods of product shortages, cancel orders or not place orders commensurate with our expectations if their inventory is too high, return products or take advantage of price protection (if any is available to the particular partner) or delay orders in anticipation of new products, and accurately forecasting inventory requirements and demand can be challenging. Our channel partners also may adjust their orders in response to the supply of our products and the products of our competitors that are available to them and in response to seasonal fluctuations in end-customer demand. Furthermore, if the time required to manufacture or ship certain products increases for any reason, inventory shortfalls could result. Management of our inventory is further complicated by the significant number of different products and models that we sell which may impact our billings, revenue, margins and free cash flow. Mismanagement of our inventory, whether due to imprecise forecasting, employee errors or malfeasance, inaccurate information or otherwise, may adversely affect our results of operations.</w:t>
      </w:r>
    </w:p>
    <w:p>
      <w:pPr>
        <w:spacing w:after="0" w:line="17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Inventory management remains an area of focus as we balance the need to maintain inventory levels that are sufficient to ensure competitive lead times against the risk of inventory obsolescence because of rapidly changing technology, product transitions, customer requirements or excess inventory levels.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potential end-customers turn to competitors’ products that are readily available. For example, we have in the past experienced inventory shortages and excesses due to the variance in demand for certain products from forecasted amounts. In addition, for those channel partners that have rights of return, inventory held by such channel partners affects our results of operations. Our inventory management systems and related supply chain visibility tools may be inadequate to enable us to effectively manage inventory. If we are unable to effectively manage our inventory and that of our channel partners, our results of operations could be adversely affected.</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Chief Executive Officer and Chairman or Michael Xie, our Co-Founder, President and Chief Technology Officer, or of any of our senior sales leaders or functional area leaders, could significantly delay or prevent the achievement of our development and strategic objectives. The loss of the services or the distraction of our senior management for any reason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any failure to have in place and execute an effective succession plan for key executives or delays in hiring required personnel, particularly in engineering, sales and marketing, may seriously harm our business, financial condition and results of operations. From time to time, we experience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w:t>
      </w:r>
    </w:p>
    <w:p>
      <w:pPr>
        <w:spacing w:after="0" w:line="19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19, 2019, our board of directors approved an amendment and restatement of our 2009 Equity Incentive Plan (the “2009 Plan”) to, among other amendments, extend the ability to grant awards under the Amended Plan for an additional ten years (the “Amended Plan”). The Amended Plan will become effective only if approved by our stockholders at our 2019 Annual Meeting of Stockholders to be held in June 2019. If our stockholders do not vote to approve the Amended Plan, the 2009 Plan will expire on August 6, 2019 without any of the proposed amendments of the Amended Plan taking place. Further, if our stockholders do not approve the Amended Plan, and as a consequence we are not able to continue to grant equity awards at competitive levels, our ability to recruit and retain highly qualified employees may be negatively affected, which could have the effect of hampering our growth and harming our operating results.</w:t>
      </w:r>
    </w:p>
    <w:p>
      <w:pPr>
        <w:spacing w:after="0" w:line="18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Competition for highly skilled personnel is frequently intense, especially for qualified employees in network security and especially in the locations where we have a substantial presence and need for highly skilled personnel, such as the San Francisco Bay Area and Vancouver, Canada.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 Changes in immigration laws, including changes to the rules regarding H1-B visas, may also harm our ability to attract personnel from other countries.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increase the effectiveness of our sales organization, we may have difficulty adding new end-customers or increasing sales to our existing end-customers and our business may be adversely affected.</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Although we have a channel sales model, sales in our industry are complex and members of our sales organization often engage in direct interaction with our prospective end-customers, particularly for larger deals involving larger end-customers. Therefore, we continue to be substantially dependent on our sales organization to obtain new end-customers and sell additional products and services to our existing end-customers. There is significant competition for sales personnel with the skills and technical knowledge that we require, including experienced enterprise sales employees and others. Our ability to grow our revenue depends, in large part, on our success in recruiting, training and retaining sufficient numbers of sales personnel to support our growth and on the effectiveness of those personnel in selling successfully in different contexts each of which has its own different complexities, approaches and competitive landscapes, such as managing and growing the channel business for sales to small businesses and more actively selling to the end-customer for sales to larger organizations. New hires require substantial training and may take significant time before they achieve full productivity. Our recent hires and planned hires may not become productive as quickly as we expect, and we may be unable to hire or retain sufficient numbers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qualified individuals in the markets where we do business or plan to do business. Furthermore, hiring sales personnel in new countries requires additional setup and upfront costs that we may not recover if the sales personnel fail to achieve full productivity. If our sales employees do not become fully productive on the timelines that we have projected, our revenue will not increase at anticipated levels and our ability to achieve long-term projections may be negatively impacted. If we are unable to hire and train sufficient numbers of effective sales personnel, or the sales personnel are not successful in obtaining new end-customers or increasing sales to our existing customer base, our business, operating results and prospects will be adversely affected.</w:t>
      </w:r>
    </w:p>
    <w:p>
      <w:pPr>
        <w:spacing w:after="0" w:line="15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sales prices of our products and services may decrease, which may reduce our gross profits and operating margin, and which may adversely impact our financial results and the trading price of our common stock.</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sales prices for our products and services may decline for a variety of reasons or our product mix may change, resulting in lower growth and margins based on a number of factors, including competitive pricing pressures, discounts or promotional programs we offer, a change in our mix of products and services and anticipation of the introduction of new products and services. Competition continues to increase in the market segments in which we participate, and we expect competition to further increase in the future, thereby leading to increased pricing pressures. Larger competitors with more diverse product offerings may reduce the price of products and services that compete with ours in order to promote the sale of other products or services or may bundle them with other products or services. Additionally, although we price our products and services worldwide in U.S. dollars, currency fluctuations in certain countries and regions have in the past, and may in the future, negatively impact actual prices that partners and customers are willing to pay in those countries and regions. Furthermore, we anticipate that the sales prices and gross profits for our products or services will decrease over product life cycles. We cannot ensure that we will be successful in developing and introducing new offerings with enhanced functionality on a timely basis, or that our product and service offerings, if introduced, will enable us to maintain our prices, gross profits and operating margin at levels that will allow us to maintain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We implemented a cloud-based quoting tool to help provide our sales team with the ability to have faster quote generation, reduce quote errors and increase sales productivity. Our ability to integrate the data from this tool into our order processing may cause order processing delays that could have an effect on our financial results.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accurately forecast our inventory requirements and to appropriately manage inventory to meet demand, our inability to release new products on schedule, any failure of our systems related to order review and processing, any delays in shipments due to trade compliance requirements, labor disputes or logistics changes at shipping ports or otherwise, our billings and revenue for that quarter could fall below our expectations or those of securities analysts and investors, resulting in a decline in our stock price.</w:t>
      </w:r>
    </w:p>
    <w:p>
      <w:pPr>
        <w:spacing w:after="0" w:line="17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and to improve lead generation and sales enablement, our revenue may not continue to grow.</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Increased market awareness of our capabilities and products and increased lead generation are essential to our continued growth and our success in all of our markets, particularly for the large businesses, service provider and government organization market. We have historically had relatively low spending on marketing activities. While we have increased our investments in sales and marketing, it is not clear that these investments will continue to result in increased revenue. If our investments in additional sales personnel or our marketing programs are not successful in continuing to create market awareness of our company and products or increasing lead generation, or if we experience turnover and disruption in our sales and marketing teams, we will not be able to achieve sustained growth, and our business, financial condition and results of operations will be adversely affected.</w:t>
      </w:r>
    </w:p>
    <w:p>
      <w:pPr>
        <w:spacing w:after="0" w:line="16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rely on third-party channel partners for substantially all of our revenue. If our partners fail to perform, our ability to sell our products and services will be limited, and if we fail to optimize our channel partner model going forward, our operating results will be harmed.</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 significant portion of our sales is generated through a limited number of distributors, and substantially all of our revenue is from sales by our channel partners, including distributors and resellers. We depend on our channel partners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generate a significant portion of our sales opportunities and to manage our sales process. To the extent our channel partners are unsuccessful in selling our products, or if we are unable to enter into arrangements with and retain a sufficient number of high-quality channel partners in each of the regions in which we sell products, we are unable to keep them motivated to sell our products, or our channel partners shift focus to other vendors and/or our competitors, our ability to sell our products and operating results will be harmed. The termination of our relationship with any significant channel partner may adversely impact our sales and operating results.</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and incentivize them to sell our products, but there can be no assurance that these programs will be effective. In addition, our channel partners may be unsuccessful in marketing, selling and supporting our products and services and may purchase more inventory than they can sell. Our channel partners generally do not have minimum purchase requirements. Some of our channel partners may have insufficient financial resources to withstand changes and challenges in business conditions. In addition, if our channel partners’ financial condition or operations weaken it could negatively impact their ability to sell our product and services. Our channel partners may also market, sell and support products and services that are competitive with ours, and may devote more resources to the marketing, sales and support of such products, or may decide to cease selling our products and services altogether in favor of a competitor’s products and services. They may also have incentives to promote our competitors’ products to the detriment of our own, or they may cease selling our products altogether. We cannot ensure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w:t>
      </w:r>
    </w:p>
    <w:p>
      <w:pPr>
        <w:spacing w:after="0" w:line="18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addition, we may be impacted by consolidation of our existing channel partners. In such instances, we may experience changes to our overall business and operational relationships due to dealing with a larger combined entity, and our ability to maintain such relationships on favorable contractual terms may be more limited. We may also become increasingly dependent on a more limited number of channel partners, as consolidation increases the relative proportion of our business for which each channel partner is responsible, which may magnify the risks described in the preceding paragraphs. In July 2017, Exclusive Networks Group (“Exclusive”), which distributes our solutions to a large group of resellers and end-customers, acquired Fine Tec U.S. Since the acquisition of Fine Tec U.S., Exclusive’s business with us has increased and may continue to increase in the future. Exclusive accounted for 34% of our total net accounts receivable as of March 31, 2019. Ingram Micro, Inc. (“Ingram Micro”), which distributed our solutions to a large group of resellers and end-customers accounted for 10% of our total net accounts receivable as of March 31, 2019. During the three months ended March 31, 2019, Exclusive and Ingram Micro accounted for 30% and 11% of our total revenue, respectively. During the three months ended March 31, 2018, Exclusive accounted for 29% of our total revenue.</w:t>
      </w:r>
    </w:p>
    <w:p>
      <w:pPr>
        <w:spacing w:after="0" w:line="19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We depend on our global channel partners to comply with applicable legal and regulatory requirements. To the extent that they fail to do so, that could have a material adverse effect on our business, operating results and financial condition. If we fail to optimize our channel partner model or fail to manage existing sales channels, our business will be seriously harmed.</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detect or prevent a security breach or the misuse of our products could harm our reputation and divert resources.</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cause our products or services to be vulnerable to electronic break-ins or cause them to fail to help secure networks. We are also susceptible to errors, defects, vulnerabilities or attacks that may arise at, or be inserted into our products in, different stages in our supply chain, or manufacturing processes, and which are out of our control. Attacks may target specific unidentified or unresolved vulnerabilities that exist or arrive only in the supply chain, making these attacks virtually impossible to anticipate and difficult to defend against. Different customers deploy and use our products in different ways, and certain deployments and usages may subject our products to adverse conditions that may negatively impact the effectiveness and useful lifetime of our products. Our networks and products, including cloud-based technology, could be targeted by attacks specifically designed to disrupt our business and harm our reputation. We cannot ensure that our products will prevent all security threats. Because the techniques used by computer hackers to access or sabotage networks change frequently and generally are not recognized until launched against a target, we may be unable to anticipate these techniques. In addition, defects or errors in our FortiGuard security subscription or FortiCare updates or our FortiGate appliances and operating systems could result in a failure of our FortiGuard security subscription services to effectively update end-customers’ FortiGate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appliances and cloud-based products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our customer base. Any such technical failure, downtime or failures in general may temporarily or permanently expose our end-customers’ networks, leaving their networks unprotected against the latest security threats.</w:t>
      </w:r>
    </w:p>
    <w:p>
      <w:pPr>
        <w:spacing w:after="0" w:line="19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and, in some instances, subject us to potential liability that is not contractually limited. We may not be able to correct any security flaws or vulnerabilities promptly, or at all. Our products may also be misused by end-customers or third parties who obtain access to our 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 party. Any actual, possible or perceived defects, errors or vulnerabilities in our products, or misuse of our products, could result in:</w:t>
      </w:r>
    </w:p>
    <w:p>
      <w:pPr>
        <w:spacing w:after="0" w:line="192" w:lineRule="exact"/>
        <w:rPr>
          <w:sz w:val="20"/>
          <w:szCs w:val="20"/>
          <w:color w:val="auto"/>
        </w:rPr>
      </w:pPr>
    </w:p>
    <w:p>
      <w:pPr>
        <w:ind w:left="1300" w:right="8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expenditure of significant financial and product development resources in efforts to analyze, correct, eliminate or work 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negative publicity and harm to our reputation; and</w:t>
      </w:r>
    </w:p>
    <w:p>
      <w:pPr>
        <w:spacing w:after="0" w:line="22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 and, in some instances, subject us to potential liability that is not contractually limited.</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do not appropriately manage any future growth, including through the expansion of our real estate facilities, or are unable to improve our systems, processes and controls, our operating results will be negatively affected.</w:t>
      </w:r>
    </w:p>
    <w:p>
      <w:pPr>
        <w:spacing w:after="0" w:line="184" w:lineRule="exact"/>
        <w:rPr>
          <w:sz w:val="20"/>
          <w:szCs w:val="20"/>
          <w:color w:val="auto"/>
        </w:rPr>
      </w:pPr>
    </w:p>
    <w:p>
      <w:pPr>
        <w:ind w:right="80" w:firstLine="648"/>
        <w:spacing w:after="0" w:line="290" w:lineRule="auto"/>
        <w:rPr>
          <w:sz w:val="20"/>
          <w:szCs w:val="20"/>
          <w:color w:val="auto"/>
        </w:rPr>
      </w:pPr>
      <w:r>
        <w:rPr>
          <w:rFonts w:ascii="Arial" w:cs="Arial" w:eastAsia="Arial" w:hAnsi="Arial"/>
          <w:sz w:val="17"/>
          <w:szCs w:val="17"/>
          <w:color w:val="auto"/>
        </w:rPr>
        <w:t>We rely heavily on information technology to help manage critical functions such as order configuration, pricing and quoting, revenue recognition, financial forecasts, inventory and supply chain management and trade compliance reviews. In addition, we have been slow to adopt and implement certain automated functions, which could have a negative impact on our business. For example, a large part of our order processing relies on manual data entry of customer purchase orders received through email and, to a lesser extent, through electronic data interchange from our customers. Combined with the fact that we may receive a large amount of our orders in the last few weeks of any given quarter, an interruption in our email service or other systems could result in delayed order fulfillment and decreased billings and revenue for that quarter.</w:t>
      </w:r>
    </w:p>
    <w:p>
      <w:pPr>
        <w:spacing w:after="0" w:line="16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manage any future growth effectively, we must continue to improve and expand our information technology and financial, operating, security and administrative systems and controls, and our business continuity and disaster recovery plans and processes, and continue to manage headcount, capital and processes in an efficient manner. We may not be able to successfully implement requisite improvements to these systems, controls and processes, such as system capacity, access, security and change management controls, in a timely or efficient manner. Our failure to improve our systems and processes, or their failure to operate in the intended manner, whether as a result of the significant growth of our business or otherwise, may result in our inability to manage the growth of our business and to accurately forecast our revenue, expenses and earnings, or to prevent certain losses. Moreover, the failure of our systems and processes could undermine our ability to provide accurate, timely and reliable reports on our financial and operating results and could impact the effectiveness of our internal control over financial reporting.</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addition, our systems, processes and controls may not prevent or detect all errors, omissions, malfeasance or fraud, such as corruption and improper “side agreements” that may impact revenue recognition or result in financial liability. Our productivity and the quality of our products and services may also be adversely affected if we do not integrate and train our new employees quickly and effectively. Any future growth would add complexity to our organization and require effective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coordination throughout our organization. Failure to ensure appropriate systems, processes and controls and to manage any future growth effectively could result in increased costs and harm our reputation and results of operations.</w:t>
      </w:r>
    </w:p>
    <w:p>
      <w:pPr>
        <w:spacing w:after="0" w:line="170"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We have expanded our office real estate holdings to meet our projected growing need for office space. We have started construction on a second building adjacent to our headquarters as we expand our campus in Sunnyvale, California. These plans will require significant capital expenditure over the next several years and involve certain risks, including impairment charges and acceleration of depreciation, changes in future business strategy that may decrease the need for expansion (such as a decrease in headcount) and, risks related to construction. Future changes in growth or fluctuations in cash flow may also negatively impact our ability to pay for these projects or free cash flow. Additionally, inaccuracies in our projected capital expenditures could negatively impact our business,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maintaining and expanding our internal business management systems.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maintenance of our internal business management systems, such as our ERP and CRM systems, has required, and will continue to require, the investment of significant financial and human resources. In addition, we may choose to upgrade or expand the functionality of our internal systems, leading to additional costs. We may also discover deficiencies in our design or maintenance of our internal systems that could adversely affect our ability to forecast orders, process orders, ship products, provide services and customer support, send invoices and track payments, fulfill contractual obligations, accurately maintain books and records, provide accurate, timely and reliable reports on our financial and operating results, or otherwise operate our business. Additionally, if any of our internal systems does not operate as intended, the effectiveness of our internal control over financial reporting could be adversely affected or our ability to assess it adequately could be delayed. Further, we recently implemented new systems to comply with the new revenue recognition standard and may further expand the scope of our ERP and CRM systems. Our operating results may be adversely affected if these upgrades or expansions are delayed or if the systems do not function as intended or are not sufficient to meet our operating requirements.</w:t>
      </w:r>
    </w:p>
    <w:p>
      <w:pPr>
        <w:spacing w:after="0" w:line="167"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in this Quarterly Report on Form 10-Q, the results of which form the basis for making judgments about the carrying values of assets and liabilities that are not readily apparent from other sources. Additionally, in connection with adopting and implementing the new revenue standard, management will continue to make judgments and assumptions based on our interpretation of the new standard. The new revenue standard is principles based and interpretation of those principles may vary from company to company based on their unique circumstances. It is possible that interpretation, industry practice and guidance may evolve.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deferred contract costs and commission expense, valuation of inventory, accounting for business combination, contingent liabilities and accounting for income taxes. For example, a change in our sales compensation plan may materially impact our accounting for deferred contract costs, which would impact our commission expense and therefore our future operating results.</w:t>
      </w:r>
    </w:p>
    <w:p>
      <w:pPr>
        <w:spacing w:after="0" w:line="17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 and free cash flow.</w:t>
      </w:r>
    </w:p>
    <w:p>
      <w:pPr>
        <w:spacing w:after="0" w:line="18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outsource the manufacturing of our security appliance products to contract manufacturing partners and original design manufacturing partners including manufacturers with facilities located in Taiwan, China and other countries outside the United States such as Micro-Star International Co., Wistron Corporation, Senao Networks, Inc., ADLINK Technology, Inc. and IBASE Technology, Inc. Our reliance on our third-party manufacturers in Asia and elsewhere reduces our control over the manufacturing process, exposing us to risks, including reduced control over quality assurance, costs, supply and timing and possible tariffs. Any manufacturing disruption by our third-party manufacturers could impair our ability to fulfill orders. If we are unable to manage our relationships with these third-party manufacturers effectively, or if these third-party manufacturers experience delays, increased 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These manufacturers fulfill our supply requirements on the basis of individual purchase orders. We have no long-term contracts or arrangements with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or shipping interruptions for any reason, such as a natural disaster, epidemic, capacity shortages, quality problems or strike or other labor disruption at one of our manufacturing partners or locations or at shipping ports or locations, would severely affect sales of our product lines manufactured by that manufacturing partner. Furthermore, manufacturing cost increases for any reason could result in lower gross margins.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proprietary SPU, which is the key to the performance of our appliances, is built by contract manufacturers including Faraday and</w:t>
      </w:r>
    </w:p>
    <w:p>
      <w:pPr>
        <w:spacing w:after="0" w:line="2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Renesas. These contract manufacturers use foundries operated by UMC, TSMC or Renesas on a purchase-order basis, and these foundries do not guarantee their capacity and could delay orders or increase their pricing. Accordingly, the foundries are not obligated to continue to fulfill our supply requirements, and due to the long lead time that a new foundry would require, we could suffer temporary inventory shortages of our SPU as well as increased costs. In addition to our proprietary SPU, we also purchase off-the-shelf ASICs or integrated circuits from vendors for which we have experienced, and may continue to experience, long lead times. Our suppliers may also prioritize orders by other companies that order higher volumes or more profitable products. If any of these manufacturers materially delays its supply of ASICs or specific product models to us, or requires us to find an alternate supplier and we are not able to do so on a timely and reasonable basis, or if these foundries materially increase their prices for fabrication of our ASICs, our business would be harmed.</w:t>
      </w:r>
    </w:p>
    <w:p>
      <w:pPr>
        <w:spacing w:after="0" w:line="16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Restriction of Hazardous Substances Directive (the “EU RoHS”) adopted in the European Union (the “EU”) and other similar laws. It also exposes us to the risk that certain minerals and metals, known as “conflict minerals,” that are contained in our products have originated in the Democratic Republic of the Congo or an adjoining country. As a result of the passage of the Dodd-Frank Wall Street Reform and Consumer Protection Act of 2010 (“Dodd-Frank”), the SEC adopted disclosure requirements for public companies whose products contain conflict minerals that are necessary to the functionality or production of such products. Under these rules, we are required to obtain sourcing data from suppliers, perform supply chain due diligence, and file annually with the SEC a specialized disclosure report on Form SD covering the prior calendar year. We have incurred and expect to incur additional costs to comply with the rules, including costs related to efforts to determine the origin, source and chain of custody of the conflict minerals used in our products and the adoption of conflict minerals-related governance policies, processes and controls. Moreover, the implementation of these compliance measures could adversely affect the sourcing, availability and pricing of materials used in the manufacture of our products to the extent that there may be only a limited number of suppliers that are able to meet our sourcing requirements, which would make it more difficult to obtain such materials in sufficient quantities or at competitive prices. We may also encounter customers who require that all of the components of our products be certified as conflict-free. If we are not able to meet customer requirements, such customers may choose to not purchase our products, which could impact our sales and the value of portions of our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cause loss of sales and customers or increase component costs resulting in lower gross margins and free cash flow.</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CPUs from Intel, network chips from Broadcom, Marvell and Intel, and memory devices from Intel, ADATA, Toshiba, Samsung and Western Digital. We also may face shortages in the supply of the capacitors and resistors that are used in the manufacturing of our products. The introduction by component suppliers of new versions of their products, particularly if not anticipated by us or our contract manufacturers, could require us to expend significant resources to incorporate these new components into our products. In 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78"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occurrence of any of these events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 significant portion of our operating expenses are incurred outside the United States. These expenses are denominated in foreign currencies and are subject to fluctuations due to changes in foreign currency exchange rates, particularly changes in the Euro and Canadian dollar and, to a lesser extent, the British pound. Additionally, fluctuations in the exchange rate of the Canadian dollar may negatively impact our development plans in Burnaby, Canada. While we are not currently engaged in material hedging activities, we have been hedging currency exposures relating to certain balance sheet</w:t>
      </w:r>
    </w:p>
    <w:p>
      <w:pPr>
        <w:spacing w:after="0" w:line="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accounts through the use of forward exchange contracts. If we stop hedging against any of these risks or if our attempts to hedge against these currency exposures are not successful, our financial condition and results of operations could be adversely affected. Our sales contracts are primarily denominated in U.S. dollars and therefore, while substantially all of our revenue is not subject to foreign currency risk, it does not serve as a hedge to our foreign currency-denominated operating expenses. In addition, a strengthening of the U.S. dollar may increase the real cost of our products to our customers outside of the United States, which may also adversely affect our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Failure to comply with laws and regulations applicable to our business could subject us to fines and penalties and could also cause us to lose end-customers in the public sector or negatively impact our ability to contract with the public sector.</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business is subject to regulation by various federal, state, regional, local and foreign governmental agencies, including agencies responsible for monitoring and enforcing employment and labor laws, workplace safety, product safety, product labeling, environmental laws, consumer protection laws, anti-bribery laws, data privacy laws, import and export controls, federal securities laws and tax laws and regulations. In certain jurisdictions, these regulatory requirements may be more stringent than in the United States. Non-compliance with applicable regulations or requirements could subject us to investigations, sanctions, enforcement actions, disgorgement of profits, fines, damages and civil and criminal penalties or injunctions. If any governmental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166"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For example, with respect to data privacy and protection, the General Data Protection Regulation (the “GDPR”), which became effective in May 2018 and superseded current EU data protection regulations, imposes stringent data handling requirements on companies that receive or process personal data of residents of the EU. Non-compliance with the GDPR could result in significant penalties, including data protection audits and heavy fines. Compliance with, and the other burdens imposed by, the GDPR may limit our ability to operate or expand our business in Europe and could adversely impact our operating results, as could delays or shortcomings in the implementation of our GDPR compliance program.</w:t>
      </w:r>
    </w:p>
    <w:p>
      <w:pPr>
        <w:spacing w:after="0" w:line="173"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Additionally, we may be subject to other legal regimes throughout the world governing data handling, protection and privacy. For example, in June 2018, California passed the California Consumer Privacy Act (the “CCPA”), which provides new data privacy rights for consumers and new operational requirements for companies and will become effective in 2020. Fines for noncompliance may be up to $7,500 per violation. The costs of compliance with, and other burdens imposed by, the GDPR and CCPA may limit the use and adoption of our products and services and could have an adverse impact on our business.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Selling our solutions to the U.S. government, whether directly or through channel partners, also subjects us to certain regulatory and contractual requirements. Failure to comply with these requirements by either us or our channel partners could subject us to investigations, fines, other penalties and damages, which could have an adverse effect on our business, operating results, financial condition and prospects. As an example, the U.S. Department of Justice (the “DOJ”), on its own behalf or on behalf of the General Services Administration (the “GSA”), as well as individuals, has in the past pursued claims against, reached financial settlements with or otherwise obtained damages from companies that sell electronic equipment and from IT vendors under the False Claims Act and other statutes related to pricing, discount practices and compliance with laws related to sales to the federal government, such as the Trade Agreements Act (the “TAA”). The DOJ continues to actively pursue such claims, and we recently settled a TAA-related claim with the DOJ. Violations of certain regulatory and contractual requirements could also result in us being suspended or debarred from future government contracting. Any of these outcomes could have an adverse effect on our revenue, operating results, financial condition and prospects. See Part II, Item 1 of this Quarterly Report on Form 10-Q for more information on our legal proceedings.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These laws and regulations impose added costs on our business, and failure to comply with these or other applicable regulations and requirements, including non-compliance in the past, could lead to claims for damages from our channel partners, penalties, termination of contracts, loss of exclusive rights in our intellectual property and temporary suspension or permanent debarment from government contracting. Any such damages, penalties, disruptions or limitations in our ability to do business with the public sector could have an adverse effect on our business and operating results.</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Global economic uncertainty and weakening product demand caused by political instability and conflict could adversely affect our business and financial performance.</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Economic uncertainty in various global markets caused by political instability and conflict has resulted, and may continue to result, in weakened demand for our products and services and difficulty for us in forecasting our financial results and managing inventory levels. Political developments impacting government spending and international trade, including government shutdowns in the United States, continued uncertainty surrounding the United Kingdom’s departure from the EU and trade disputes and tariffs, may negatively impact markets and cause weaker macroeconomic conditions. The effects of these events may continue due to potential additional U.S. government shutdowns, instability in the United Kingdom and the EU as negotiations for the terms of Brexit continue, with the ultimate outcome still uncertain, and the United States’ ongoing trade disputes with China and other countries. The continuing effect of any or all of these events could adversely impact demand for our products, harm our operations and weaken our financial results.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subject us to liability or restrictions on sales, and could impair our ability to compete in international markets.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Because we incorporate encryption technology into our products, certain of our products are subject to U.S. export controls and may be exported outside the United States only with the required export license or through an export license exception, and may be prohibited altogether from export to certain countries. If we were to fail to comply with U.S. export laws,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(e.g. for stocking orders placed by our partners), we may also be adversely affected through reputational harm and penalties and we may not be able to provide support related to appliances shipped pursuant to such orders. Obtaining the necessary export license for a particular sale may be time-consuming and may result in the delay or loss of sales opportunities.</w:t>
      </w:r>
    </w:p>
    <w:p>
      <w:pPr>
        <w:spacing w:after="0" w:line="17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 and 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180" w:lineRule="exact"/>
        <w:rPr>
          <w:sz w:val="20"/>
          <w:szCs w:val="20"/>
          <w:color w:val="auto"/>
        </w:rPr>
      </w:pPr>
    </w:p>
    <w:p>
      <w:pPr>
        <w:ind w:right="260"/>
        <w:spacing w:after="0" w:line="381" w:lineRule="auto"/>
        <w:rPr>
          <w:sz w:val="20"/>
          <w:szCs w:val="20"/>
          <w:color w:val="auto"/>
        </w:rPr>
      </w:pPr>
      <w:r>
        <w:rPr>
          <w:rFonts w:ascii="Arial" w:cs="Arial" w:eastAsia="Arial" w:hAnsi="Arial"/>
          <w:sz w:val="15"/>
          <w:szCs w:val="15"/>
          <w:b w:val="1"/>
          <w:bCs w:val="1"/>
          <w:i w:val="1"/>
          <w:iCs w:val="1"/>
          <w:color w:val="auto"/>
        </w:rPr>
        <w:t>Efforts to withdraw from or materially modify international trade agreements, to change tax provisions related to global manufacturing and sales or to impose new tariffs, economic sanctions or related legislation, any of which could adversely affect our financial condition and results of operations.</w:t>
      </w:r>
    </w:p>
    <w:p>
      <w:pPr>
        <w:spacing w:after="0" w:line="10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business benefits directly and indirectly from free trade agreements, and we also rely on various U.S. corporate tax provisions related to international commerce, as we develop, market and sell our products and services globally. Efforts to withdraw from or materially modify international trade agreements, or to change corporate tax policy related to international commerce, could adversely affect our financial condition and results of operations as could the continuing uncertainty regarding whether such actions will be taken.</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Moreover, efforts to implement changes related to export or import regulations (including the imposition of new border taxes or tariffs on foreign imports), trade barriers, economic sanctions and other related policies could harm our results of operations. For example, in March 2018, the current administration imposed a 25% tariff on steel imports and a 10% tariff on aluminum imports and announced additional tariffs on goods imported from China specifically, as well as certain other countries. Subsequently, in September 2018, additional tariffs were imposed by the United States on some goods imported from China, including certain electronics and IT products. Other countries have in turn imposed retaliatory tariffs on goods exported from the United States and both the United States and foreign countries have threatened to alter or leave current trade agreements. While we do not currently expect these tariffs to have a significant effect on our raw material and product import costs, if the United States expands increased tariffs, or retaliatory trade measures are taken by China or other countries in response to the tariffs, the cost of our products could increase, our operations could be disrupted or we could be required to raise our prices, which may result in the loss of customers and harm to our reputation and operating performance.</w:t>
      </w:r>
    </w:p>
    <w:p>
      <w:pPr>
        <w:spacing w:after="0" w:line="167"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Any modification in these areas, any shift in the enforcement or scope of existing regulations or any change in the countries, governments, persons or technologies targeted by such regulations, could result in decreased use of our products by, or in our decreased ability to export or sell our products to, existing or potential end-customers with international operations and could result in increased costs. Any decreased use of our products or limitation on our ability to export or sell our products would likely adversely affect our business, financial condition and results of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are subject to various environmental laws and regulations, including laws governing the hazardous material content of our products, laws relating to our real property and future expansion plans and laws concerning the recycling of electrical and electronic equipment. The laws and regulations to which we are subject include the EU RoHS and the EU Waste Electrical and Electronic Equipment Directive (the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5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EU RoHS and the similar laws of other jurisdictions ban the use of certain hazardous materials such as lead, mercury, cadmium and certain plastic additives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continue to incur costs related to environmental laws and regulations in the future. With respect to the EU RoHS, we and our competitors rely on exemptions for lead and other substances in network infrastructure equipment. It is possible this exemption will be revoked in the future. Additionally, although the EU RoHS exemptions have been extended, it is possible that some of these exemptions may expire in the future without being extended. If this exemption is revoked or expires without extension,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82"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organizations,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 organizations. Sales to government organizations are subject to a number of risks. Selling to government organizations can be highly competitive, expensive and time consuming, often requiring significant upfront time and expense, with long sales cycles and without any assurance of winning a sale.</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geopolitical matters, including tariff and trade disputes, Brexit and government shutdowns;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 including GSA regulations.</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rules and regulations applicable to sales to government organizations may also negatively impact sales to other organizations. To date, we have had limited traction in sales to U.S. federal government agencies, and any future sales to government organizations is uncertain. Government organizations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 organization, the financial health of the distributor could be substantially harmed, which could negatively affect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future sales to such distributor. Governments routinely investigate, review and audit government vendors’ administrative and other processes, and any unfavorable investigation, audit or other review could result in the government’s refusing to continue buying our products and services, a reduction of revenue or fines, or civil or criminal liability if the investigation, audit or other review uncovers improper, illegal or otherwise concerning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vulnerabilities, viruses or security breaches or false identification of spam or spyware could adversely affect our business.</w:t>
      </w:r>
    </w:p>
    <w:p>
      <w:pPr>
        <w:spacing w:after="0" w:line="248"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Our FortiGuard security subscription services may falsely detect, report and act on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FortiGuard security subscription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In addition, our threat researchers periodically identify vulnerabilities in various third-party products, and, if these identifications are perceived to be incorrect or are in fact incorrect, this could harm our business. Any such false identification or perceived false identification of important files, applications or vulnerabilities could result in negative publicity, loss of end-customers and sales, increased costs to remedy any problem and costly litigation.</w:t>
      </w:r>
    </w:p>
    <w:p>
      <w:pPr>
        <w:spacing w:after="0" w:line="18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b w:val="1"/>
          <w:bCs w:val="1"/>
          <w:i w:val="1"/>
          <w:iCs w:val="1"/>
          <w:color w:val="auto"/>
        </w:rPr>
        <w:t>If our internal enterprise IT networks, on which we conduct internal business and interface externally, or our operational networks, through which we connect to customer systems and provide services, are compromised, public perception of our products and services will be harmed, we may become subject to liability, and our business, operating results and stock price may be adversely impacted.</w:t>
      </w:r>
    </w:p>
    <w:p>
      <w:pPr>
        <w:spacing w:after="0" w:line="166"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Our success depends on the market’s confidence in our ability to provide effective network security protection. Despite our efforts and processes to prevent breaches of our internal network system and website, we are still vulnerable to computer viruses, break-ins, phishing attacks, attempts to overload our servers with denial-of-service and other cyber-attacks and similar disruptions from unauthorized access to our internal network system or our website. Our security measures may also be breached due to employee error, malfeasance or otherwise, which breaches may be more difficult to detect than outsider threats, and the existing programs and trainings we have in place to prevent such insider threats may not be effective or sufficient. Third parties may also attempt to fraudulently induce our employees to transfer funds or disclose information in order to gain access to our network and confidential information. We cannot guarantee that the measures we have taken to protect our network and website will provide absolute security. Moreover, because we provide network security products, we may be a more attractive target for attacks by computer hackers. Hackers and malicious parties may be able to develop and deploy viruses, worms, ransomware and other malicious software programs that attack our products and customers or otherwise exploit any security vulnerabilities of our products, or attempt to fraudulently induce our employees, customers or others to disclose passwords or other sensitive information or unwittingly provide access to our internal network system or data. Although we have not yet experienced significant damages from unauthorized access by a third party of our internal network or website, an actual or perceived breach of network security occurs in our internal systems or website could adversely affect the market perception of our products and services and investor confidence in our company. Any breach of our network system or website could impair our ability to operate our business, including our ability to provide FortiGuard security subscription and FortiCare technical support services to our end-customers, lead to interruptions or system slowdowns, cause loss of critical data or lead to the unauthorized disclosure or use of confidential, proprietary or sensitive information. We could also be subject to liability and litigation and reputational harm and our channel partners and end-customers may be harmed, lose confidence in us and decrease or cease using our products and services. Any breach of our internal network system or our website could have an adverse effect on our business, operating results and stock price.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Once our products are deployed within our end-customers’ networks, our end-customers depend on our technical support services, as well as the support of our channel partners and other third parties, to resolve any issues relating to our products. If we, our channel partners or other third parties do not effectively assist our customers in planning, deploying and operational proficiency for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and service provider or government organization end-customers, require higher levels of support than smaller end-customers because of their more complex deployments and more demanding environments and business models. If we, our channel partners or other third parties fail to meet the requirements of our larger end-customers, it may be more difficult to execute on our strategy to increase our penetration with large businesses, service providers and government organizations. As a result, our failure to maintain high quality support services would have a material adverse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subject to changes in our tax rates, the adoption of new U.S. or international tax legislation or exposure to additional tax liabilities.</w:t>
      </w:r>
    </w:p>
    <w:p>
      <w:pPr>
        <w:spacing w:after="0" w:line="24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are subject to taxes in the United States and numerous foreign jurisdictions, where a number of our subsidiaries are organized. Our provision for income taxes is subject to volatility and could be adversely affected by several factors, many of which are outside of our control. These include:</w:t>
      </w:r>
    </w:p>
    <w:p>
      <w:pPr>
        <w:spacing w:after="0" w:line="124"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earnings in countries with differing statutory tax rates or withholding taxes;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pricing adjustments;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provision for income taxes for the period in which the settlement takes place;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accounting principles, court decisions, tax rulings, and interpretations of or changes to tax laws, and regulations by international, federal or local governmental authorities.</w:t>
      </w:r>
    </w:p>
    <w:p>
      <w:pPr>
        <w:spacing w:after="0" w:line="170" w:lineRule="exact"/>
        <w:rPr>
          <w:sz w:val="20"/>
          <w:szCs w:val="20"/>
          <w:color w:val="auto"/>
        </w:rPr>
      </w:pPr>
    </w:p>
    <w:p>
      <w:pPr>
        <w:jc w:val="both"/>
        <w:ind w:right="280" w:firstLine="648"/>
        <w:spacing w:after="0" w:line="312" w:lineRule="auto"/>
        <w:rPr>
          <w:sz w:val="20"/>
          <w:szCs w:val="20"/>
          <w:color w:val="auto"/>
        </w:rPr>
      </w:pPr>
      <w:r>
        <w:rPr>
          <w:rFonts w:ascii="Arial" w:cs="Arial" w:eastAsia="Arial" w:hAnsi="Arial"/>
          <w:sz w:val="16"/>
          <w:szCs w:val="16"/>
          <w:color w:val="auto"/>
        </w:rPr>
        <w:t>We have open tax years that could be subject to the examination by the IRS and other tax authorities. We currently have ongoing tax audits in the United Kingdom and several other foreign jurisdictions. The focus of all of these audits is the allocation of profit between our legal entities. We regularly assess the likelihood of adverse outcomes resulting from such examinations to determine the adequacy of our provision for income taxes.</w:t>
      </w:r>
    </w:p>
    <w:p>
      <w:pPr>
        <w:spacing w:after="0" w:line="14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December 2017, the U.S. federal government enacted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 reduced the federal corporate income tax rate from 35% to 21% and created a territorial tax system with a one-time mandatory tax on foreign earnings of U.S. subsidiaries not previously subject to U.S. income tax. In December 2017, the SEC staff issued Staff Accounting Bulletin No. 118, Income Tax Accounting Implications of the Tax Cuts and Jobs Act (“SAB 118”), which allowed us to record provisional amounts during a measurement period not to extend beyond one year of the enactment date. As a result, we previously provided a provisional estimate of the effect of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 in our financial statements. In the fourth quarter of 2018, we completed our analysis to determine the effect of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 within the measurement period under the SEC guidance. We expect further guidance may be forthcoming from the Financial Accounting Standards Board (“FASB”) and the SEC, as well as regulations, interpretations and rulings from federal and state tax agencies, which could result in additional impacts. We will continue to monitor and assess the impact of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 and the ongoing guidance and accounting interpretations issued in response to the 2017 </w:t>
      </w:r>
      <w:r>
        <w:rPr>
          <w:rFonts w:ascii="Arial" w:cs="Arial" w:eastAsia="Arial" w:hAnsi="Arial"/>
          <w:sz w:val="17"/>
          <w:szCs w:val="17"/>
          <w:i w:val="1"/>
          <w:iCs w:val="1"/>
          <w:color w:val="auto"/>
        </w:rPr>
        <w:t>Tax</w:t>
      </w:r>
      <w:r>
        <w:rPr>
          <w:rFonts w:ascii="Arial" w:cs="Arial" w:eastAsia="Arial" w:hAnsi="Arial"/>
          <w:sz w:val="17"/>
          <w:szCs w:val="17"/>
          <w:color w:val="auto"/>
        </w:rPr>
        <w:t xml:space="preserve"> Act.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Ninth Circuit Court of Appeals is expected to issue a decision in Altera Corp. v. Commissioner regarding the treatment of stock-based compensation expense in a cost sharing arrangement, which could have a material effect on our tax obligations and effective tax rate for the quarter in which the decision is issued.</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We may undertake corporate operating restructurings or transfers of assets that involve our group of foreign country subsidiaries through which we do business abroad, in order to maximize the operational and tax efficiency of our group structure. If ineffectual, such restructurings or transfers could increase our income tax liabilities, and in turn, increase our global effective tax rate. Moreover, our existing corporate structure and intercompany arrangements have been implemented in a manner we believe is in compliance with current prevailing tax laws. However, the tax authorities of the jurisdictions in which we operate may challenge our methodologies for valuing developed technology or intercompany arrangements, which could impact our worldwide effective tax rate and harm our financial position and operating results.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Forecasts of our income tax position and effective tax rate are complex, subject to uncertainty and periodic updates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in a given jurisdiction differs from our estimate, our actual tax rate could be materially different than forecasted, which could have a material impact on our results of business, financial condition and results of operations. Additionally, our actual tax rate may be subject to further uncertainty due to potential changes in U.S. and foreign tax rules.</w:t>
      </w:r>
    </w:p>
    <w:p>
      <w:pPr>
        <w:spacing w:after="0" w:line="17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 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 authorities may impose tax assessments or judgments against us that could materially impact our tax liability and/or our effective income tax rate.</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Organisation for Economic Co-operation and Development (the “OECD”), an international association comprised of 36 countries, including the United States, has issued and continues to issue guidelines and proposals that change various aspects of the existing framework under which our tax obligations are determined in many of the countries in which we do business. Due to our extensive international business activities, any changes in the taxation of such activities could increase our tax obligations in many countries and may increase our worldwide effective tax rate.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In order to remain competitive, we may seek to acquire additional businesses, products, technologies or intellectual property, such as patents. For example, we closed our acquisitions of Bradford and ZoneFox in the second quarter of 2018 and the fourth quarter of 2018, respectively. For any past acquisition or possible future acquisition, we may not be successful in negotiating the terms of the acquisition, financing the acquisition, or effectively integrating the acquired business, product, technology or intellectual property and sales force into our existing business and operations. We may have difficulty incorporating acquired technologies, intellectual property or products with our existing product lines, integrating reporting systems and procedures, and maintaining uniform standards, controls, procedures and policies. For example, we may experience difficulties integrating an acquired company’s ERP or CRM systems, sales support and other processes and systems, with our current systems and processes.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impairment charges that could be substantial. We may have to pay cash, incur debt or issue equity securities to pay for any acquisition, each of which could affect our financial condition or the value of our capital stock and could result in dilution to our stockholders.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products are very complex and, despite testing prior to their release, have contained and may contain undetected defects or errors, especially when first introduced or when new versions are released. Product errors have affected the performance and effectiveness of our products and could delay the development or release of new products or new versions of products, adversely affect our reputation and our end-customers’ willingness to buy products from us, result in litigation and dispute with customers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litigation, litigation costs and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Although we generally have limitation of liability provisions in our standard terms and conditions of sale, they may not fully or effectively protect us from claims if exceptions apply or if the provisions are deemed not enforceable, for example as a result of federal, state or local laws or ordinances or unfavorable judicial decisions in the United States or other countries, and in some circumstances we may be required to indemnify a customer in full, without a limitation on liability, for certain liabilities, including potential liabilities that are not contractually limited. The sale and support of our products also entail the risk of product liability claims. We maintain insurance to protect against certain claims associated with the use of our products, but our insurance coverage may not cover such claim at all or may not adequately cover any claim asserted against us, and in some instances may subject us to potential liability that is not contractually limited.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labor disruption and terrorism.</w:t>
      </w:r>
    </w:p>
    <w:p>
      <w:pPr>
        <w:spacing w:after="0" w:line="170"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A significant natural disaster, such as an earthquake, fire, power outage, flood or other catastrophic event, could have a material adverse impact on our business, operating results and financial condition. Our corporate headquarters are located in the San Francisco Bay Area, a region known for seismic activity, and our research and development and data center in Burnaby, Canada, from which we deliver to customers our FortiGuard security subscription updates, is subject to the risk of flooding and is also in a region known for seismic activity. Any earthquake in the Bay Area or Burnaby, or flooding in Burnaby could materially negatively impact our ability to provide products and services, such as FortiCare support and FortiGuard subscription services and could otherwise materially negatively impact our business. In addition, natural disasters could affect our manufacturing vendors, suppliers or logistics providers’ ability to perform services, such as obtaining product components and manufacturing products, or assisting with shipments, on a timely basis, as well as our customers’ ability to order from us and our employees’ ability to perform their duties. In the event our or our service providers’ information technology systems or manufacturing or logistics abilities are hindered by any of the events discussed above, shipments could be delayed, resulting in our missing financial targets, such as revenue and shipment targets, for a particular quarter. In addition, regional instability, civil unrest, labor disruptions, acts of terrorism and other geo-political unrest could cause disruptions in our business or the business of our manufacturers, logistics providers, partners or end-customers, or of the economy as a whole. Given our typical concentration of sales at the end of each quarter, any disruption in the business of our manufacturers, logistics providers, partners or end-customers that impacts sales at the end of our quarter could have a significant adverse impact on our quarterly results. To the extent that any of the above results in security risks to our customers, delays or cancellations of customer orders, the delay of the manufacture, deployment or shipment of our products or interruption or downtime of our services, our business, financial condition and results of operations would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For example, we enter into development agreements with third parties. If our contract development projects are not successfully completed, or are not completed in a timely fashion, our product development could be delayed and our business generally could suffer. Costs for contract development can be substantial and our profitability may be harmed if we are unable to recover these costs.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Moreover, business models based on software-as-a-service (“SaaS”), either hosted or cloud-based services, have become increasingly in-demand by our end-customers and adopted by other providers, including our competitors. While we have introduced additional cloud-based products and services and will continue to do so, most of our platform is currently deployed on premise, and therefore, if customers demand that our platform be provided through a SaaS business model, we would be required to make additional investments in our infrastructure and personnel to be able to more fully provide our platform through a SaaS model in order to maintain the competitiveness of our platform. Such investments may involve expanding our data centers, servers and networks, and increasing our technical operations and engineering teams. These risks are compounded by the uncertainty concerning the future viability of SaaS business models and the future demand for such models by customers. Additionally, if we are unable to meet the demand to provide our services through a SaaS model, we may lose customers to competitors.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2" w:right="29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uniform resource locator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 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6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spend substantial amounts of time and money to acquire and develop internally new products and enhanced versions of our existing products in order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have the appropriate research and development expertise and focus to make our top strategic fabric products successful;</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the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Demand for our products may be limited by market perception that individual products from one vendor that provide multiple layers of security protection in one product are inferior to point solution network security solutions from multiple vendors.</w:t>
      </w:r>
    </w:p>
    <w:p>
      <w:pPr>
        <w:spacing w:after="0" w:line="17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Sales of many of our products depend on increased demand for incorporating broad security functionality into one appliance. If the market for these products fails to grow as we anticipate, our business will be seriously harmed. Target customers may view “all-in-one” network security solutions as inferior to security solutions from multiple vendors because of, among other things, their perception that such products of ours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our solutions create a “single point of failure” in their networks, which means that an error, vulnerability or failure of our product may place the entire network at risk. In addition, the market perception that “all-in-one” solutions may be suitable only for small and medium-sized businesses because such solution lacks the performance capabilities and functionality of other solutions may harm our sales to large businesses, service provider and government organization end-customers. If the foregoing concerns and perceptions become prevalent, even if there is no factual basis for these concerns and perceptions, or if other issues arise with our market in general, demand for multi-security functionality products could be severely limited, which would limit our growth and harm our business, financial condition and results of operations. Further, a successful and publicized targeted attack against us, exposing a “single point of failure,” could significantly increase these concerns and perceptions and may harm our business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market for network security products is intensely competitive and we expect competition to intensify in the future. We face many competitors across the different cybersecurity markets. Our competitors include companies such as Barracuda Networks, Inc., Check Point Software Technologies Ltd., Cisco Systems, Inc. (“Cisco”), F5 Networks, Inc. (“F5 Networks”), FireEye, Inc., Forcepoint LLC, Imperva, Inc., Juniper Networks, Inc. (“Juniper”), McAfee, LLC, Palo Alto Networks, Inc., Proofpoint, Inc., SonicWALL, Inc., Sophos Group Plc and Trend Micro Incorporated.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customers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competitors and potential competitors may also be able to develop products or services that are equal or superior to ours, achieve greater market acceptance of their products and services, and increase sales by utilizing different distribution channels than we do. Our current and potential competitors may also offer point solutions, fabric and/or cloud security services that compete with some of the features present in our platform. They may also establish cooperative relationships among themselves or with third parties that may further enhance their resources. In addition, current or potential competitors may be acquired by third parties with greater available resources, and new competitors may arise pursuant to acquisitions of network security companies or divisions. As a result of such acquisitions, competition in our market may continue to increase and our current or potential competitors might be able to adapt more quickly to new technologies and customer needs, devote greater resources to the promotion or sale of their products and services, initiate or withstand substantial price competition, take advantage of 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In addition, our competitors may bundle products and services competitive with ours with other products and services. Customers may accept these bundled products and services rather than separately purchasing our products and services. As our customers refresh the security products bought in prior years, they may seek to consolidate vendors, which may result in current customers choosing to purchase products from our competitors on an ongoing basis.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F5 Networks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and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guarantee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1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Our products contain software modules licensed to us by third-party authors under “open source” licenses, including the GNU Public License, the GNU Lesser Public License, the BSD License, the Apache License, the MIT X License and the Mozilla Public License.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for example,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6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U.S. courts, and there is a risk that these licenses could be construed in a way that, for example, could impose unanticipated conditions or restrictions on our ability to commercialize our products. In this event, we could be required to seek licenses from third parties to continue offering our products, to make our proprietary code generally available in source code form, to re-engineer our products or to discontinue the sale of our products if re-engineering could not be accomplished on a timely basis, any of which requirements could adversely affect our business, operating results and financial condition.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Patent and other intellectual property disputes are common in the network security industry. Third parties are currently asserting, have asserted and may in the future assert claims of infringement of intellectual property rights against us. Third parties have also asserted such claims against our end-customers or channel partners whom we may indemnify against claims that our products infringe the intellectual property rights of third parties. As the number of products and competitors in our market increases and overlaps occur, infringement claims may increase. Any claim of infringement by a third party, even those without merit, could cause us to incur substantial costs defending against the claim and could distract our management from our business. In addition, litigation may involve patent holding companies, non-practicing entities or other adverse patent owners who have no relevant product revenue and against whom our own patents may therefore provide little or no deterrence or protection.</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From time to time we are subject to lawsuits claiming patent infringement. We are also subject to other litigation in addition to patent infringement claims, such as employment-related litigation and disputes, as well as general commercial litigation, and could become subject to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w:t>
      </w:r>
    </w:p>
    <w:p>
      <w:pPr>
        <w:spacing w:after="0" w:line="173"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have several ongoing patent lawsuits, certain companies have sent us demand letters proposing that we license certain of their patents, and organizations have sent letters demanding that we provide indemnification for patent claims. One such patent lawsuit by British Telecommunications plc was filed in federal court in Delaware in July 2018, and a second such lawsuit by Finjan, Inc. was filed in federal court in California in October 2018. Given this and the proliferation of lawsuits in our industry and other similar industries by both non-practicing entities and operating entities, and recent non-practicing entity and operating entity patent litigation against other companies in the security space, we expect that we will be sued for patent infringement in the future, regardless of the merits of any such lawsuits. The cost to defend such lawsuits and any settlement payment or adverse result in such lawsuits could have a material adverse effect on our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Licensors may claim we owe them additional license fees for past and future use of their software and other intellectual property or that we cannot utilize such software or intellectual property in our products going forward. There can be no assurance that the necessary licenses would be available on acceptable terms, if at all. The inability to obtain certain licenses or other rights or to obtain such licenses or rights on favorable terms or for reasonable pricing, or the need to engage in litigation regarding these matters, could result in delays in product releases until equivalent technology can be identified, licensed or developed, if at all, and integrated into our products and may result in significant license fees and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also rely on technologies licensed from third parties in order to operate functions of our business. If any of these third parties allege that we have not properly paid for such licenses or that we have improperly used the technologies under such licenses, we may need to pay additional fees or obtain new licenses, and such licenses may not be available on terms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acceptable to us or at all or may be costly. In any such case, or if we were required to redesign our internal operations to function with new technologies, our business, results of operations and financial condition could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Sarbanes-Oxley Act of 2002 (“Sarbanes-Oxley”), Dodd-Frank and other rules implemented by the SEC and The Nasdaq Stock Market impose various requirements on public companies, including requiring changes in corporate governance practices. These requirements, as well as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Sarbanes-Oxley requires, among other things, that we assess the effectiveness of our internal control over financial reporting annually, and of our disclosure controls and procedures quarterly. Although our most recent assessment, testing and evaluation resulted in our conclusion that, as of December 31, 2018, our internal controls over financial reporting were effective, we cannot predict the outcome of our testing in 2019 or future periods. We may incur additional expenses and commitment of management’s time in connection with further evaluations, both of which could materially increase our operating expenses and accordingly reduce our operating results.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2018, California enacted a law that requires publicly held companies headquartered in California to have at least one female director by the end of 2019 and at least three by the end of 2021, depending on the size of the board. The law would impose financial penalties for failure to comply. Though we are currently in compliance with the requirements of the law for 2019, we may incur costs associated with complying with the law in future years, including costs associated with expanding our board of directors or identifying qualified candidates for appointment to our board of directors, or financial penalties or harm to our brand and reputation if we are unable to do 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change in accounting standards or practices, and varying interpretations of existing or new accounting pronouncements, such as changes to standards related to revenue recognition and accounting for leases (which became effective for us on January 1, 2019), as well as the significant costs incurred or that may be incurred to adopt and to comply with these new pronouncements,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our ability to meet our reporting obligations and compliance with internal control requirements.</w:t>
      </w:r>
    </w:p>
    <w:p>
      <w:pPr>
        <w:spacing w:after="0" w:line="15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have adopted the new lease accounting standard as of January 1, 2019. Refer to Note 1 to our condensed consolidated financial statements included in this Quarterly Report on Form 10-Q for additional information on the new standard and its impact on us.</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new revenue and lease standards are principles based and interpretation of those principles may vary from company to company based on their unique circumstances. Management will continue to make judgments and assumptions based on our interpretation of the new standard. It is possible that interpretation, industry practice and guidance may evolve as we work toward implementing the new revenue recognition standard. If our circumstances change or if actual circumstances differ from our assumptions, our operating result may be adversely affected and could fall below our publicly announced guidance or the expectations of securities analysts and investors, resulting in a decline in the market price of our common stock. Further, equity investments are now required to be measured at fair value (with subsequent changes in fair value recognized in net income), which may increase the volatility of our earnings.</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 us downgrades our stock or publishes inaccurate or unfavorable research about our business, our stock price could decline. If one or more of these analysts ceases coverage of our company or fails to publish reports on us regularly, demand for our stock could decrease, which could cause our stock price and trading volume to decline.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w:t>
      </w:r>
    </w:p>
    <w:p>
      <w:pPr>
        <w:spacing w:after="0" w:line="22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market price of our common stock may be subject to wide fluctuations in response to, among other things, the risk factors described in this periodic report, news about us and our financial results, news about our competitors and their results, and other factors such as rumors or fluctuations in the valuation of companies perceived by investors to be comparable to us. For example, during the three months ended March 31, 2019, the closing price of our common stock ranged from $66.91 to $88.30 per share.</w:t>
      </w:r>
    </w:p>
    <w:p>
      <w:pPr>
        <w:spacing w:after="0" w:line="187" w:lineRule="exact"/>
        <w:rPr>
          <w:sz w:val="20"/>
          <w:szCs w:val="20"/>
          <w:color w:val="auto"/>
        </w:rPr>
      </w:pPr>
    </w:p>
    <w:p>
      <w:pPr>
        <w:ind w:firstLine="693"/>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b w:val="1"/>
          <w:bCs w:val="1"/>
          <w:i w:val="1"/>
          <w:iCs w:val="1"/>
          <w:color w:val="auto"/>
        </w:rPr>
        <w:t>Share repurchases under the Repurchase Program could increase the volatility of the trading price of our common stock, could diminish our cash reserves, could occur at non-optimal prices and may not result in the most effective use of our capital.</w:t>
      </w:r>
    </w:p>
    <w:p>
      <w:pPr>
        <w:spacing w:after="0" w:line="14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2018, our board of directors approved the increase in the aggregate authorized repurchase amount under the Repurchase Program by $500.0 million, bringing the total authorization to $1.5 billion. Share repurchases under the Repurchase Program could affect the price of our common stock, increase stock price volatility and diminish our cash reserves. In addition, an announcement of the reduction, suspension or termination of the Repurchase Program could result in a decrease in the trading price of our common stock. Moreover, despite analyses we perform in connection with repurchases under the Repurchase Program to determine the appropriate prices for repurchases of our stock, our stock price could decline, resulting in repurchases made at non-optimal prices. Our failure to repurchase our stock at optimal prices may be perceived by investors as an inefficient use of our cash and cash equivalents, which could result in litigation that may have an adverse effect on our business, operating results and financial condition. In addition, while our board of directors carefully considers various alternative uses of our cash and cash equivalents in determining whether to authorize stock repurchases, there can be no assurance that the decision by our board of directors to repurchase stock would result in in the most effective uses of our cash and cash equivalents, and there may be alternative uses of our cash and cash equivalents that would be more effective, such as investing in growing our business organically or through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right="52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providing that certain litigation matters may only be brought against us in state or federal courts in the State of Delaware;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640" w:hanging="644"/>
        <w:spacing w:after="0" w:line="277"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However, these anti-takeover provisions will not have the effect of preventing activist stockholders from seeking to increase short-term stockholder value through actions such as nominating board candidates and requesting that we pursue strategic combinations or other transactions. These actions could disrupt our operations, be costly and time-consuming and divert the attention of our management and employees. In addition, perceived uncertainties as to our future direction as a result of activist stockholder actions could result in the loss of potential business opportunities, as well as other negative business consequences. Actions of an activist stockholder may also cause fluctuations in our stock price based on speculative market perceptions or other factors that do not necessarily reflect our business. Further, we may incur significant expenses in retaining professionals to advise and assist us on activist stockholder matters, including legal, financial, communications advisors and solicitation experts, which may negatively impact our future financial results.</w:t>
      </w:r>
    </w:p>
    <w:p>
      <w:pPr>
        <w:spacing w:after="0" w:line="1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with respect to the shares of common stock we repurchased under the Repurchase Program during the three months ended March 31, 2019 (in millions, except share and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Average Price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100" w:type="dxa"/>
            <w:vAlign w:val="bottom"/>
          </w:tcPr>
          <w:p>
            <w:pPr>
              <w:spacing w:after="0"/>
              <w:rPr>
                <w:sz w:val="12"/>
                <w:szCs w:val="12"/>
                <w:color w:val="auto"/>
              </w:rPr>
            </w:pPr>
          </w:p>
        </w:tc>
        <w:tc>
          <w:tcPr>
            <w:tcW w:w="2060" w:type="dxa"/>
            <w:vAlign w:val="bottom"/>
            <w:gridSpan w:val="2"/>
          </w:tcPr>
          <w:p>
            <w:pPr>
              <w:jc w:val="right"/>
              <w:ind w:right="19"/>
              <w:spacing w:after="0" w:line="149" w:lineRule="exact"/>
              <w:rPr>
                <w:sz w:val="20"/>
                <w:szCs w:val="20"/>
                <w:color w:val="auto"/>
              </w:rPr>
            </w:pPr>
            <w:r>
              <w:rPr>
                <w:rFonts w:ascii="Arial" w:cs="Arial" w:eastAsia="Arial" w:hAnsi="Arial"/>
                <w:sz w:val="14"/>
                <w:szCs w:val="14"/>
                <w:b w:val="1"/>
                <w:bCs w:val="1"/>
                <w:color w:val="auto"/>
                <w:w w:val="97"/>
              </w:rPr>
              <w:t>Purchased Under the Plans or</w:t>
            </w:r>
          </w:p>
        </w:tc>
        <w:tc>
          <w:tcPr>
            <w:tcW w:w="0" w:type="dxa"/>
            <w:vAlign w:val="bottom"/>
          </w:tcPr>
          <w:p>
            <w:pPr>
              <w:spacing w:after="0"/>
              <w:rPr>
                <w:sz w:val="1"/>
                <w:szCs w:val="1"/>
                <w:color w:val="auto"/>
              </w:rPr>
            </w:pPr>
          </w:p>
        </w:tc>
      </w:tr>
      <w:tr>
        <w:trPr>
          <w:trHeight w:val="81"/>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2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Announced Plan or Program</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105"/>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9"/>
                <w:szCs w:val="9"/>
                <w:color w:val="auto"/>
              </w:rPr>
            </w:pPr>
          </w:p>
        </w:tc>
        <w:tc>
          <w:tcPr>
            <w:tcW w:w="2060" w:type="dxa"/>
            <w:vAlign w:val="bottom"/>
            <w:vMerge w:val="restart"/>
          </w:tcPr>
          <w:p>
            <w:pPr>
              <w:jc w:val="right"/>
              <w:ind w:right="6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Pr>
          <w:p>
            <w:pPr>
              <w:spacing w:after="0"/>
              <w:rPr>
                <w:sz w:val="9"/>
                <w:szCs w:val="9"/>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Paid per Share</w:t>
            </w:r>
          </w:p>
        </w:tc>
        <w:tc>
          <w:tcPr>
            <w:tcW w:w="100" w:type="dxa"/>
            <w:vAlign w:val="bottom"/>
            <w:vMerge w:val="restart"/>
          </w:tcPr>
          <w:p>
            <w:pPr>
              <w:spacing w:after="0"/>
              <w:rPr>
                <w:sz w:val="9"/>
                <w:szCs w:val="9"/>
                <w:color w:val="auto"/>
              </w:rPr>
            </w:pPr>
          </w:p>
        </w:tc>
        <w:tc>
          <w:tcPr>
            <w:tcW w:w="2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0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4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695,795</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71.17</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695,795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February 1 - February 28, 2019</w:t>
            </w:r>
          </w:p>
        </w:tc>
        <w:tc>
          <w:tcPr>
            <w:tcW w:w="2060" w:type="dxa"/>
            <w:vAlign w:val="bottom"/>
          </w:tcPr>
          <w:p>
            <w:pPr>
              <w:jc w:val="right"/>
              <w:ind w:right="36"/>
              <w:spacing w:after="0"/>
              <w:rPr>
                <w:sz w:val="20"/>
                <w:szCs w:val="20"/>
                <w:color w:val="auto"/>
              </w:rPr>
            </w:pPr>
            <w:r>
              <w:rPr>
                <w:rFonts w:ascii="Arial" w:cs="Arial" w:eastAsia="Arial" w:hAnsi="Arial"/>
                <w:sz w:val="18"/>
                <w:szCs w:val="18"/>
                <w:color w:val="auto"/>
              </w:rPr>
              <w:t>83,443</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80.72</w:t>
            </w:r>
          </w:p>
        </w:tc>
        <w:tc>
          <w:tcPr>
            <w:tcW w:w="100" w:type="dxa"/>
            <w:vAlign w:val="bottom"/>
          </w:tcPr>
          <w:p>
            <w:pPr>
              <w:spacing w:after="0"/>
              <w:rPr>
                <w:sz w:val="21"/>
                <w:szCs w:val="21"/>
                <w:color w:val="auto"/>
              </w:rPr>
            </w:pPr>
          </w:p>
        </w:tc>
        <w:tc>
          <w:tcPr>
            <w:tcW w:w="2040" w:type="dxa"/>
            <w:vAlign w:val="bottom"/>
          </w:tcPr>
          <w:p>
            <w:pPr>
              <w:jc w:val="right"/>
              <w:ind w:right="18"/>
              <w:spacing w:after="0"/>
              <w:rPr>
                <w:sz w:val="20"/>
                <w:szCs w:val="20"/>
                <w:color w:val="auto"/>
              </w:rPr>
            </w:pPr>
            <w:r>
              <w:rPr>
                <w:rFonts w:ascii="Arial" w:cs="Arial" w:eastAsia="Arial" w:hAnsi="Arial"/>
                <w:sz w:val="18"/>
                <w:szCs w:val="18"/>
                <w:color w:val="auto"/>
              </w:rPr>
              <w:t>83,443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9"/>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 2019</w:t>
            </w:r>
          </w:p>
        </w:tc>
        <w:tc>
          <w:tcPr>
            <w:tcW w:w="2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57"/>
        </w:trPr>
        <w:tc>
          <w:tcPr>
            <w:tcW w:w="390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2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779,238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779,238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0" w:type="dxa"/>
            <w:vAlign w:val="bottom"/>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820" w:type="dxa"/>
            <w:vAlign w:val="bottom"/>
            <w:gridSpan w:val="2"/>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31.</w:t>
              </w:r>
              <w:r>
                <w:rPr>
                  <w:rFonts w:ascii="Arial" w:cs="Arial" w:eastAsia="Arial" w:hAnsi="Arial"/>
                  <w:sz w:val="14"/>
                  <w:szCs w:val="14"/>
                  <w:u w:val="single" w:color="auto"/>
                  <w:color w:val="0000FF"/>
                </w:rPr>
                <w:t>1</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Executive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69">
              <w:r>
                <w:rPr>
                  <w:rFonts w:ascii="Arial" w:cs="Arial" w:eastAsia="Arial" w:hAnsi="Arial"/>
                  <w:sz w:val="14"/>
                  <w:szCs w:val="14"/>
                  <w:color w:val="0000FF"/>
                </w:rPr>
                <w:t>31.</w:t>
              </w:r>
              <w:r>
                <w:rPr>
                  <w:rFonts w:ascii="Arial" w:cs="Arial" w:eastAsia="Arial" w:hAnsi="Arial"/>
                  <w:sz w:val="14"/>
                  <w:szCs w:val="14"/>
                  <w:u w:val="single" w:color="auto"/>
                  <w:color w:val="0000FF"/>
                </w:rPr>
                <w:t>2</w:t>
              </w:r>
            </w:hyperlink>
            <w:r>
              <w:rPr>
                <w:rFonts w:ascii="Arial" w:cs="Arial" w:eastAsia="Arial" w:hAnsi="Arial"/>
                <w:sz w:val="14"/>
                <w:szCs w:val="14"/>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7"/>
              </w:rPr>
              <w:t>Certification of Chief Financial Officer pursuant to Exchange Act Rules 13a-14(a) and 15d-14(a), as adopted pursuant to Section 302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372"/>
        </w:trPr>
        <w:tc>
          <w:tcPr>
            <w:tcW w:w="820" w:type="dxa"/>
            <w:vAlign w:val="bottom"/>
            <w:gridSpan w:val="2"/>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32.</w:t>
              </w:r>
              <w:r>
                <w:rPr>
                  <w:rFonts w:ascii="Arial" w:cs="Arial" w:eastAsia="Arial" w:hAnsi="Arial"/>
                  <w:sz w:val="14"/>
                  <w:szCs w:val="14"/>
                  <w:u w:val="single" w:color="auto"/>
                  <w:color w:val="0000FF"/>
                </w:rPr>
                <w:t>1</w:t>
              </w:r>
            </w:hyperlink>
            <w:r>
              <w:rPr>
                <w:rFonts w:ascii="Arial" w:cs="Arial" w:eastAsia="Arial" w:hAnsi="Arial"/>
                <w:sz w:val="8"/>
                <w:szCs w:val="8"/>
                <w:color w:val="000000"/>
              </w:rPr>
              <w:t>#</w:t>
            </w:r>
          </w:p>
        </w:tc>
        <w:tc>
          <w:tcPr>
            <w:tcW w:w="10400" w:type="dxa"/>
            <w:vAlign w:val="bottom"/>
          </w:tcPr>
          <w:p>
            <w:pPr>
              <w:ind w:left="220"/>
              <w:spacing w:after="0"/>
              <w:rPr>
                <w:sz w:val="20"/>
                <w:szCs w:val="20"/>
                <w:color w:val="auto"/>
              </w:rPr>
            </w:pPr>
            <w:r>
              <w:rPr>
                <w:rFonts w:ascii="Arial" w:cs="Arial" w:eastAsia="Arial" w:hAnsi="Arial"/>
                <w:sz w:val="14"/>
                <w:szCs w:val="14"/>
                <w:color w:val="auto"/>
                <w:w w:val="93"/>
              </w:rPr>
              <w:t>Certifications of Chief Executive Officer and Chief Financial Officer pursuant to 18 U.S.C. Section 1350, as adopted pursuant to Section 906 of the Sarbanes-Oxley Act of 2002</w:t>
            </w:r>
          </w:p>
        </w:tc>
      </w:tr>
      <w:tr>
        <w:trPr>
          <w:trHeight w:val="20"/>
        </w:trPr>
        <w:tc>
          <w:tcPr>
            <w:tcW w:w="2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r>
      <w:tr>
        <w:trPr>
          <w:trHeight w:val="400"/>
        </w:trPr>
        <w:tc>
          <w:tcPr>
            <w:tcW w:w="820" w:type="dxa"/>
            <w:vAlign w:val="bottom"/>
            <w:gridSpan w:val="2"/>
          </w:tcPr>
          <w:p>
            <w:pPr>
              <w:spacing w:after="0"/>
              <w:rPr>
                <w:sz w:val="20"/>
                <w:szCs w:val="20"/>
                <w:color w:val="auto"/>
              </w:rPr>
            </w:pPr>
            <w:r>
              <w:rPr>
                <w:rFonts w:ascii="Arial" w:cs="Arial" w:eastAsia="Arial" w:hAnsi="Arial"/>
                <w:sz w:val="14"/>
                <w:szCs w:val="14"/>
                <w:color w:val="auto"/>
              </w:rPr>
              <w:t>101.INS*</w:t>
            </w:r>
          </w:p>
        </w:tc>
        <w:tc>
          <w:tcPr>
            <w:tcW w:w="10400" w:type="dxa"/>
            <w:vAlign w:val="bottom"/>
          </w:tcPr>
          <w:p>
            <w:pPr>
              <w:ind w:left="220"/>
              <w:spacing w:after="0"/>
              <w:rPr>
                <w:sz w:val="20"/>
                <w:szCs w:val="20"/>
                <w:color w:val="auto"/>
              </w:rPr>
            </w:pPr>
            <w:r>
              <w:rPr>
                <w:rFonts w:ascii="Arial" w:cs="Arial" w:eastAsia="Arial" w:hAnsi="Arial"/>
                <w:sz w:val="14"/>
                <w:szCs w:val="14"/>
                <w:color w:val="auto"/>
                <w:w w:val="98"/>
              </w:rPr>
              <w:t>XBRL Instance Document - the instance document does not appear in the interactive data file because its XBRL tags are embedded within the inline XBRL document.</w:t>
            </w:r>
          </w:p>
        </w:tc>
      </w:tr>
      <w:tr>
        <w:trPr>
          <w:trHeight w:val="473"/>
        </w:trPr>
        <w:tc>
          <w:tcPr>
            <w:tcW w:w="820" w:type="dxa"/>
            <w:vAlign w:val="bottom"/>
            <w:gridSpan w:val="2"/>
          </w:tcPr>
          <w:p>
            <w:pPr>
              <w:spacing w:after="0"/>
              <w:rPr>
                <w:sz w:val="20"/>
                <w:szCs w:val="20"/>
                <w:color w:val="auto"/>
              </w:rPr>
            </w:pPr>
            <w:r>
              <w:rPr>
                <w:rFonts w:ascii="Arial" w:cs="Arial" w:eastAsia="Arial" w:hAnsi="Arial"/>
                <w:sz w:val="14"/>
                <w:szCs w:val="14"/>
                <w:color w:val="auto"/>
              </w:rPr>
              <w:t>101.SCH*</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101.CAL*</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101.DEF*</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101.LAB*</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820" w:type="dxa"/>
            <w:vAlign w:val="bottom"/>
            <w:gridSpan w:val="2"/>
          </w:tcPr>
          <w:p>
            <w:pPr>
              <w:spacing w:after="0"/>
              <w:rPr>
                <w:sz w:val="20"/>
                <w:szCs w:val="20"/>
                <w:color w:val="auto"/>
              </w:rPr>
            </w:pPr>
            <w:r>
              <w:rPr>
                <w:rFonts w:ascii="Arial" w:cs="Arial" w:eastAsia="Arial" w:hAnsi="Arial"/>
                <w:sz w:val="14"/>
                <w:szCs w:val="14"/>
                <w:color w:val="auto"/>
              </w:rPr>
              <w:t>101.PRE*</w:t>
            </w:r>
          </w:p>
        </w:tc>
        <w:tc>
          <w:tcPr>
            <w:tcW w:w="10400" w:type="dxa"/>
            <w:vAlign w:val="bottom"/>
          </w:tcPr>
          <w:p>
            <w:pPr>
              <w:ind w:left="220"/>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27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179"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8"/>
          <w:szCs w:val="18"/>
          <w:color w:val="auto"/>
        </w:rPr>
      </w:pPr>
      <w:r>
        <w:rPr>
          <w:rFonts w:ascii="Arial" w:cs="Arial" w:eastAsia="Arial" w:hAnsi="Arial"/>
          <w:sz w:val="14"/>
          <w:szCs w:val="14"/>
          <w:color w:val="auto"/>
        </w:rPr>
        <w:t>Filed herewith.</w:t>
      </w:r>
    </w:p>
    <w:p>
      <w:pPr>
        <w:ind w:left="100" w:hanging="92"/>
        <w:spacing w:after="0" w:line="187" w:lineRule="auto"/>
        <w:tabs>
          <w:tab w:leader="none" w:pos="100" w:val="left"/>
        </w:tabs>
        <w:numPr>
          <w:ilvl w:val="0"/>
          <w:numId w:val="43"/>
        </w:numPr>
        <w:rPr>
          <w:rFonts w:ascii="Arial" w:cs="Arial" w:eastAsia="Arial" w:hAnsi="Arial"/>
          <w:sz w:val="24"/>
          <w:szCs w:val="24"/>
          <w:color w:val="auto"/>
          <w:vertAlign w:val="superscript"/>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60"/>
          </w:cols>
          <w:pgMar w:left="240" w:top="122" w:right="39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7280" w:val="left"/>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Ken Xie, Chief Executive Officer and Chairman</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Executive Officer)</w:t>
      </w: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FORTINET, INC.</w:t>
      </w:r>
    </w:p>
    <w:p>
      <w:pPr>
        <w:spacing w:after="0" w:line="297" w:lineRule="exact"/>
        <w:rPr>
          <w:sz w:val="20"/>
          <w:szCs w:val="20"/>
          <w:color w:val="auto"/>
        </w:rPr>
      </w:pPr>
    </w:p>
    <w:p>
      <w:pPr>
        <w:ind w:left="3580"/>
        <w:spacing w:after="0"/>
        <w:tabs>
          <w:tab w:leader="none" w:pos="6940" w:val="left"/>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31750</wp:posOffset>
            </wp:positionV>
            <wp:extent cx="46310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Keith Jensen, Chief Financial Officer</w:t>
      </w:r>
    </w:p>
    <w:p>
      <w:pPr>
        <w:spacing w:after="0" w:line="154" w:lineRule="exact"/>
        <w:rPr>
          <w:sz w:val="20"/>
          <w:szCs w:val="20"/>
          <w:color w:val="auto"/>
        </w:rPr>
      </w:pPr>
    </w:p>
    <w:p>
      <w:pPr>
        <w:jc w:val="center"/>
        <w:ind w:left="4120"/>
        <w:spacing w:after="0"/>
        <w:rPr>
          <w:sz w:val="20"/>
          <w:szCs w:val="20"/>
          <w:color w:val="auto"/>
        </w:rPr>
      </w:pPr>
      <w:r>
        <w:rPr>
          <w:rFonts w:ascii="Arial" w:cs="Arial" w:eastAsia="Arial" w:hAnsi="Arial"/>
          <w:sz w:val="16"/>
          <w:szCs w:val="16"/>
          <w:b w:val="1"/>
          <w:bCs w:val="1"/>
          <w:color w:val="auto"/>
        </w:rPr>
        <w:t>(Duly Authorized Officer and Principal Financial Officer and Principal Accounting Officer)</w:t>
      </w:r>
    </w:p>
    <w:p>
      <w:pPr>
        <w:spacing w:after="0" w:line="200" w:lineRule="exact"/>
        <w:rPr>
          <w:sz w:val="20"/>
          <w:szCs w:val="20"/>
          <w:color w:val="auto"/>
        </w:rPr>
      </w:pP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122" w:right="4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Chief Executive Officer and Chairman</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Keith Jensen,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2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620" w:hanging="320"/>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7,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Keith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4112895</wp:posOffset>
            </wp:positionH>
            <wp:positionV relativeFrom="paragraph">
              <wp:posOffset>31750</wp:posOffset>
            </wp:positionV>
            <wp:extent cx="29673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Keith Jensen</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171"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 ended March 31, 2019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Ken Xie</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7, 2019</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Ken Xie</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Executive Officer and Chairman</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I, Keith Jensen, certify, pursuant to 18 U.S.C. Section 1350, as adopted pursuant to Section 906 of the Sarbanes-Oxley Act of 2002, that the Quarterly Report on Form 10-Q of Fortinet, Inc. for the quarter ended March 31, 2019 fully complies with the requirements of Section 13(a) or 15(d) of the Exchange Act and that information contained in this Quarterly Report on Form 10-Q fairly presents, in all material respects, the financial condition and results of operations of Fortinet,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Keith Jensen</w:t>
            </w:r>
          </w:p>
        </w:tc>
      </w:tr>
      <w:tr>
        <w:trPr>
          <w:trHeight w:val="27"/>
        </w:trPr>
        <w:tc>
          <w:tcPr>
            <w:tcW w:w="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40"/>
              <w:spacing w:after="0"/>
              <w:rPr>
                <w:sz w:val="20"/>
                <w:szCs w:val="20"/>
                <w:color w:val="auto"/>
              </w:rPr>
            </w:pPr>
            <w:r>
              <w:rPr>
                <w:rFonts w:ascii="Arial" w:cs="Arial" w:eastAsia="Arial" w:hAnsi="Arial"/>
                <w:sz w:val="18"/>
                <w:szCs w:val="18"/>
                <w:color w:val="auto"/>
              </w:rPr>
              <w:t>May 7, 2019</w:t>
            </w:r>
          </w:p>
        </w:tc>
        <w:tc>
          <w:tcPr>
            <w:tcW w:w="2880" w:type="dxa"/>
            <w:vAlign w:val="bottom"/>
          </w:tcPr>
          <w:p>
            <w:pPr>
              <w:ind w:left="2240"/>
              <w:spacing w:after="0"/>
              <w:rPr>
                <w:sz w:val="20"/>
                <w:szCs w:val="20"/>
                <w:color w:val="auto"/>
              </w:rPr>
            </w:pPr>
            <w:r>
              <w:rPr>
                <w:rFonts w:ascii="Arial" w:cs="Arial" w:eastAsia="Arial" w:hAnsi="Arial"/>
                <w:sz w:val="18"/>
                <w:szCs w:val="18"/>
                <w:color w:val="auto"/>
              </w:rPr>
              <w:t>Name:</w:t>
            </w:r>
          </w:p>
        </w:tc>
        <w:tc>
          <w:tcPr>
            <w:tcW w:w="4680" w:type="dxa"/>
            <w:vAlign w:val="bottom"/>
          </w:tcPr>
          <w:p>
            <w:pPr>
              <w:ind w:left="40"/>
              <w:spacing w:after="0"/>
              <w:rPr>
                <w:sz w:val="20"/>
                <w:szCs w:val="20"/>
                <w:color w:val="auto"/>
              </w:rPr>
            </w:pPr>
            <w:r>
              <w:rPr>
                <w:rFonts w:ascii="Arial" w:cs="Arial" w:eastAsia="Arial" w:hAnsi="Arial"/>
                <w:sz w:val="18"/>
                <w:szCs w:val="18"/>
                <w:color w:val="auto"/>
              </w:rPr>
              <w:t>Keith Jensen</w:t>
            </w:r>
          </w:p>
        </w:tc>
      </w:tr>
      <w:tr>
        <w:trPr>
          <w:trHeight w:val="256"/>
        </w:trPr>
        <w:tc>
          <w:tcPr>
            <w:tcW w:w="54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2880" w:type="dxa"/>
            <w:vAlign w:val="bottom"/>
          </w:tcPr>
          <w:p>
            <w:pPr>
              <w:ind w:left="2240"/>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w w:val="96"/>
              </w:rPr>
              <w:t>(Principal Financial Officer and Principal Accounting Officer)</w:t>
            </w:r>
          </w:p>
        </w:tc>
      </w:tr>
    </w:tbl>
    <w:p>
      <w:pPr>
        <w:spacing w:after="0" w:line="39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x"/>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1"/>
    </w:lvl>
  </w:abstractNum>
  <w:abstractNum w:abstractNumId="6">
    <w:nsid w:val="B03E0C6"/>
    <w:multiLevelType w:val="hybridMultilevel"/>
    <w:lvl w:ilvl="0">
      <w:lvlJc w:val="left"/>
      <w:lvlText w:val="%1."/>
      <w:numFmt w:val="decimal"/>
      <w:start w:val="4"/>
    </w:lvl>
  </w:abstractNum>
  <w:abstractNum w:abstractNumId="7">
    <w:nsid w:val="189A769B"/>
    <w:multiLevelType w:val="hybridMultilevel"/>
    <w:lvl w:ilvl="0">
      <w:lvlJc w:val="left"/>
      <w:lvlText w:val="%1."/>
      <w:numFmt w:val="decimal"/>
      <w:start w:val="5"/>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1."/>
      <w:numFmt w:val="decimal"/>
      <w:start w:val="7"/>
    </w:lvl>
  </w:abstractNum>
  <w:abstractNum w:abstractNumId="10">
    <w:nsid w:val="2CA88611"/>
    <w:multiLevelType w:val="hybridMultilevel"/>
    <w:lvl w:ilvl="0">
      <w:lvlJc w:val="left"/>
      <w:lvlText w:val="%1."/>
      <w:numFmt w:val="decimal"/>
      <w:start w:val="8"/>
    </w:lvl>
  </w:abstractNum>
  <w:abstractNum w:abstractNumId="11">
    <w:nsid w:val="836C40E"/>
    <w:multiLevelType w:val="hybridMultilevel"/>
    <w:lvl w:ilvl="0">
      <w:lvlJc w:val="left"/>
      <w:lvlText w:val="%1."/>
      <w:numFmt w:val="decimal"/>
      <w:start w:val="9"/>
    </w:lvl>
  </w:abstractNum>
  <w:abstractNum w:abstractNumId="12">
    <w:nsid w:val="2901D82"/>
    <w:multiLevelType w:val="hybridMultilevel"/>
    <w:lvl w:ilvl="0">
      <w:lvlJc w:val="left"/>
      <w:lvlText w:val="%1."/>
      <w:numFmt w:val="decimal"/>
      <w:start w:val="10"/>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1"/>
    </w:lvl>
  </w:abstractNum>
  <w:abstractNum w:abstractNumId="15">
    <w:nsid w:val="1E7FF521"/>
    <w:multiLevelType w:val="hybridMultilevel"/>
    <w:lvl w:ilvl="0">
      <w:lvlJc w:val="left"/>
      <w:lvlText w:val="%1."/>
      <w:numFmt w:val="decimal"/>
      <w:start w:val="12"/>
    </w:lvl>
  </w:abstractNum>
  <w:abstractNum w:abstractNumId="16">
    <w:nsid w:val="7C3DBD3D"/>
    <w:multiLevelType w:val="hybridMultilevel"/>
    <w:lvl w:ilvl="0">
      <w:lvlJc w:val="left"/>
      <w:lvlText w:val="%1."/>
      <w:numFmt w:val="decimal"/>
      <w:start w:val="13"/>
    </w:lvl>
  </w:abstractNum>
  <w:abstractNum w:abstractNumId="17">
    <w:nsid w:val="737B8DDC"/>
    <w:multiLevelType w:val="hybridMultilevel"/>
    <w:lvl w:ilvl="0">
      <w:lvlJc w:val="left"/>
      <w:lvlText w:val="%1."/>
      <w:numFmt w:val="decimal"/>
      <w:start w:val="14"/>
    </w:lvl>
  </w:abstractNum>
  <w:abstractNum w:abstractNumId="18">
    <w:nsid w:val="6CEAF087"/>
    <w:multiLevelType w:val="hybridMultilevel"/>
    <w:lvl w:ilvl="0">
      <w:lvlJc w:val="left"/>
      <w:lvlText w:val="%1."/>
      <w:numFmt w:val="decimal"/>
      <w:start w:val="15"/>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6"/>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1."/>
      <w:numFmt w:val="decimal"/>
      <w:start w:val="1"/>
    </w:lvl>
    <w:lvl w:ilvl="1">
      <w:lvlJc w:val="left"/>
      <w:lvlText w:val="%2."/>
      <w:numFmt w:val="lowerLetter"/>
      <w:start w:val="1"/>
    </w:lvl>
  </w:abstractNum>
  <w:abstractNum w:abstractNumId="44">
    <w:nsid w:val="57E4CCA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2019-12-28T12:34:29Z</dcterms:created>
  <dcterms:modified xsi:type="dcterms:W3CDTF">2019-12-28T12:34:29Z</dcterms:modified>
</cp:coreProperties>
</file>