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660" w:right="1660" w:hanging="3634"/>
        <w:spacing w:after="0" w:line="393" w:lineRule="auto"/>
        <w:tabs>
          <w:tab w:leader="none" w:pos="409"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00"/>
          </w:cols>
          <w:pgMar w:left="320" w:top="225"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5" w:right="379" w:bottom="1440" w:gutter="0" w:footer="0" w:header="0"/>
          <w:type w:val="continuous"/>
        </w:sectPr>
      </w:pPr>
    </w:p>
    <w:p>
      <w:pPr>
        <w:spacing w:after="0" w:line="128" w:lineRule="exact"/>
        <w:rPr>
          <w:sz w:val="24"/>
          <w:szCs w:val="24"/>
          <w:color w:val="auto"/>
        </w:rPr>
      </w:pPr>
    </w:p>
    <w:p>
      <w:pPr>
        <w:ind w:right="220" w:firstLine="324"/>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0" w:lineRule="exact"/>
        <w:rPr>
          <w:sz w:val="24"/>
          <w:szCs w:val="24"/>
          <w:color w:val="auto"/>
        </w:rPr>
      </w:pPr>
    </w:p>
    <w:p>
      <w:pPr>
        <w:ind w:right="40" w:firstLine="283"/>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4" w:lineRule="exact"/>
        <w:rPr>
          <w:sz w:val="24"/>
          <w:szCs w:val="24"/>
          <w:color w:val="auto"/>
        </w:rPr>
      </w:pPr>
    </w:p>
    <w:p>
      <w:pPr>
        <w:ind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firstLine="283"/>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2" w:lineRule="exact"/>
        <w:rPr>
          <w:sz w:val="20"/>
          <w:szCs w:val="20"/>
          <w:color w:val="auto"/>
        </w:rPr>
      </w:pPr>
    </w:p>
    <w:p>
      <w:pPr>
        <w:ind w:left="300" w:right="18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November 4, 2022, there were 781,236,011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2022 and 2021</w:t>
            </w:r>
          </w:p>
        </w:tc>
        <w:tc>
          <w:tcPr>
            <w:tcW w:w="126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2022 and 2021</w:t>
            </w: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(Deficit) for the Three and Nine Months Ended September 30, 2022 and 2021</w:t>
            </w: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10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2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2"/>
          </w:tcPr>
          <w:p>
            <w:pPr>
              <w:spacing w:after="0"/>
              <w:rPr>
                <w:sz w:val="18"/>
                <w:szCs w:val="18"/>
                <w:color w:val="auto"/>
              </w:rPr>
            </w:pPr>
          </w:p>
        </w:tc>
        <w:tc>
          <w:tcPr>
            <w:tcW w:w="320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0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8"/>
                <w:szCs w:val="18"/>
                <w:color w:val="auto"/>
              </w:rPr>
            </w:pPr>
          </w:p>
        </w:tc>
      </w:tr>
      <w:tr>
        <w:trPr>
          <w:trHeight w:val="1728"/>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the following:</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8" w:lineRule="exact"/>
        <w:rPr>
          <w:rFonts w:ascii="Times New Roman" w:cs="Times New Roman" w:eastAsia="Times New Roman" w:hAnsi="Times New Roman"/>
          <w:sz w:val="18"/>
          <w:szCs w:val="18"/>
          <w:color w:val="auto"/>
        </w:rPr>
      </w:pPr>
    </w:p>
    <w:p>
      <w:pPr>
        <w:ind w:left="660" w:right="200" w:hanging="328"/>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including its ongoing variants, will likely continue to adversely affect our business in a significant way, for example, through product and component shortages, longer product lead times, changes in customer buying-behavior including delays in service contract registrations, accelerating or delaying purchases, changes in the mix of backlog and the related margins or a negative impact on demand.</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recession and possible impacts of inflation or stagflation, rising interest rates or reduced information technology spending may adversely impact our business.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and our operating margins may decline.</w:t>
      </w:r>
    </w:p>
    <w:p>
      <w:pPr>
        <w:spacing w:after="0" w:line="23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revenue and a small number of distributors represents a large percentage of our revenue and accounts receivable.</w:t>
      </w:r>
    </w:p>
    <w:p>
      <w:pPr>
        <w:spacing w:after="0" w:line="189"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could cause our billings and revenue to fall below expected levels or delay collections and the related addition to free cash flow.</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in Ukraine, related macroeconomic effects and our decision to suspend operations in Russia have affected and may continue to affect our business.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8" w:lineRule="exact"/>
        <w:rPr>
          <w:rFonts w:ascii="Times New Roman" w:cs="Times New Roman" w:eastAsia="Times New Roman" w:hAnsi="Times New Roman"/>
          <w:sz w:val="18"/>
          <w:szCs w:val="18"/>
          <w:color w:val="auto"/>
        </w:rPr>
      </w:pPr>
    </w:p>
    <w:p>
      <w:pPr>
        <w:ind w:left="660" w:right="8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customers, which are subject to a number of regulatory requirements, challenges and risks.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inventory or components, including finished goods, chips and other components, and including component or inventory shortages related to the COVID-19 pandemic, manufacturer’s capacity, shipping challenges, delays in timing of receipts of inventory, or other factors affecting the global supply chain, may result in lost sales opportunities or delayed billings and revenue and increased costs, and may harm our gross margins and our product price increases designed to help mitigate lower gross margins may not be acceptable to customers.</w:t>
      </w:r>
    </w:p>
    <w:p>
      <w:pPr>
        <w:spacing w:after="0" w:line="190" w:lineRule="exact"/>
        <w:rPr>
          <w:rFonts w:ascii="Times New Roman" w:cs="Times New Roman" w:eastAsia="Times New Roman" w:hAnsi="Times New Roman"/>
          <w:sz w:val="18"/>
          <w:szCs w:val="18"/>
          <w:color w:val="auto"/>
        </w:rPr>
      </w:pPr>
    </w:p>
    <w:p>
      <w:pPr>
        <w:ind w:left="660" w:right="9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to provide various components for our products and build our products and are susceptible to manufacturing delays, capacity constraints and cost increases.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 or stagflation in certain geographies, rising interest rates and by the effects of an economic downturn and possible recession.</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ind w:left="328" w:right="20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supply chain constraints, supply shortages and disruptions, long lead times for components and finished goods and supply changes because some of the key components in our products come from limited sources of supply.</w:t>
      </w:r>
    </w:p>
    <w:p>
      <w:pPr>
        <w:spacing w:after="0" w:line="189" w:lineRule="exact"/>
        <w:rPr>
          <w:rFonts w:ascii="Times New Roman" w:cs="Times New Roman" w:eastAsia="Times New Roman" w:hAnsi="Times New Roman"/>
          <w:sz w:val="18"/>
          <w:szCs w:val="18"/>
          <w:color w:val="auto"/>
        </w:rPr>
      </w:pPr>
    </w:p>
    <w:p>
      <w:pPr>
        <w:jc w:val="both"/>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breach could harm our reputation, even more so than with other companies given that we are a security company.</w:t>
      </w:r>
    </w:p>
    <w:p>
      <w:pPr>
        <w:spacing w:after="0" w:line="203" w:lineRule="exact"/>
        <w:rPr>
          <w:rFonts w:ascii="Times New Roman" w:cs="Times New Roman" w:eastAsia="Times New Roman" w:hAnsi="Times New Roman"/>
          <w:sz w:val="18"/>
          <w:szCs w:val="18"/>
          <w:color w:val="auto"/>
        </w:rPr>
      </w:pPr>
    </w:p>
    <w:p>
      <w:pPr>
        <w:ind w:left="328" w:right="280" w:hanging="328"/>
        <w:spacing w:after="0"/>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In addition, any potential future impairment of the value of our investment in Linksys Holdings, Inc. (“Linksys”) could negatively affect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regulators’ expectations of our performance relating to environmental, social and governance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38"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75"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2"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weakening product demand caused by political instability, changes in trade agreements and conflicts, such as the war in Ukraine, could adversely affect our business and financial performance.</w:t>
      </w:r>
    </w:p>
    <w:p>
      <w:pPr>
        <w:spacing w:after="0" w:line="200" w:lineRule="exact"/>
        <w:rPr>
          <w:sz w:val="20"/>
          <w:szCs w:val="20"/>
          <w:color w:val="auto"/>
        </w:rPr>
      </w:pPr>
    </w:p>
    <w:p>
      <w:pPr>
        <w:spacing w:after="0" w:line="30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7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5,120.7</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780.1 and 810.0 shares issued and</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outstanding on September 30, 2022 and December 31, 2021, respectively</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Fortinet, Inc. stockholders’ equity (deficit)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55"/>
        </w:trPr>
        <w:tc>
          <w:tcPr>
            <w:tcW w:w="49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INCLUDING NON-CONTROLLING</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Fortinet, Inc. (Note 9):</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to compute net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Fortinet, Inc.:</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6"/>
        </w:trPr>
        <w:tc>
          <w:tcPr>
            <w:tcW w:w="47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tax provision (benefit) related to items of other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or loss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including non-controlling interests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Fortinet,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176"/>
        </w:trPr>
        <w:tc>
          <w:tcPr>
            <w:tcW w:w="4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plans - net of tax withholding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$ 1,250.2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$ 1,245.2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175"/>
        </w:trPr>
        <w:tc>
          <w:tcPr>
            <w:tcW w:w="4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plans - net of tax withholding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Recognition of non-controlling interests upon business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combination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3"/>
                <w:szCs w:val="3"/>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4"/>
                <w:szCs w:val="14"/>
                <w:color w:val="auto"/>
              </w:rPr>
            </w:pPr>
          </w:p>
        </w:tc>
        <w:tc>
          <w:tcPr>
            <w:tcW w:w="76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0" w:type="dxa"/>
            <w:vAlign w:val="bottom"/>
          </w:tcPr>
          <w:p>
            <w:pPr>
              <w:spacing w:after="0"/>
              <w:rPr>
                <w:sz w:val="1"/>
                <w:szCs w:val="1"/>
                <w:color w:val="auto"/>
              </w:rPr>
            </w:pPr>
          </w:p>
        </w:tc>
      </w:tr>
      <w:tr>
        <w:trPr>
          <w:trHeight w:val="176"/>
        </w:trPr>
        <w:tc>
          <w:tcPr>
            <w:tcW w:w="44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incentive plans - net of tax withholding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$ 1,250.2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6"/>
        </w:trPr>
        <w:tc>
          <w:tcPr>
            <w:tcW w:w="44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0" w:type="dxa"/>
            <w:vAlign w:val="bottom"/>
          </w:tcPr>
          <w:p>
            <w:pPr>
              <w:spacing w:after="0"/>
              <w:rPr>
                <w:sz w:val="1"/>
                <w:szCs w:val="1"/>
                <w:color w:val="auto"/>
              </w:rPr>
            </w:pPr>
          </w:p>
        </w:tc>
      </w:tr>
      <w:tr>
        <w:trPr>
          <w:trHeight w:val="176"/>
        </w:trPr>
        <w:tc>
          <w:tcPr>
            <w:tcW w:w="44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incentive plans - net of tax withholding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Recognition of non-controlling interests upon business</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r>
              <w:rPr>
                <w:rFonts w:ascii="Times New Roman" w:cs="Times New Roman" w:eastAsia="Times New Roman" w:hAnsi="Times New Roman"/>
                <w:sz w:val="18"/>
                <w:szCs w:val="18"/>
                <w:u w:val="single" w:color="auto"/>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95"/>
        </w:trPr>
        <w:tc>
          <w:tcPr>
            <w:tcW w:w="8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premiums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8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8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95"/>
        </w:trPr>
        <w:tc>
          <w:tcPr>
            <w:tcW w:w="83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5"/>
        </w:trPr>
        <w:tc>
          <w:tcPr>
            <w:tcW w:w="83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95"/>
        </w:trPr>
        <w:tc>
          <w:tcPr>
            <w:tcW w:w="83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5"/>
        </w:trPr>
        <w:tc>
          <w:tcPr>
            <w:tcW w:w="83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5"/>
        </w:trPr>
        <w:tc>
          <w:tcPr>
            <w:tcW w:w="83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1,132.9</w:t>
            </w:r>
          </w:p>
        </w:tc>
        <w:tc>
          <w:tcPr>
            <w:tcW w:w="0" w:type="dxa"/>
            <w:vAlign w:val="bottom"/>
          </w:tcPr>
          <w:p>
            <w:pPr>
              <w:spacing w:after="0"/>
              <w:rPr>
                <w:sz w:val="1"/>
                <w:szCs w:val="1"/>
                <w:color w:val="auto"/>
              </w:rPr>
            </w:pPr>
          </w:p>
        </w:tc>
      </w:tr>
      <w:tr>
        <w:trPr>
          <w:trHeight w:val="18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 of investment in privately held company</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6"/>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marketable equity securities</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03"/>
        </w:trPr>
        <w:tc>
          <w:tcPr>
            <w:tcW w:w="834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(1,059.2)</w:t>
            </w:r>
          </w:p>
        </w:tc>
        <w:tc>
          <w:tcPr>
            <w:tcW w:w="0" w:type="dxa"/>
            <w:vAlign w:val="bottom"/>
          </w:tcPr>
          <w:p>
            <w:pPr>
              <w:spacing w:after="0"/>
              <w:rPr>
                <w:sz w:val="1"/>
                <w:szCs w:val="1"/>
                <w:color w:val="auto"/>
              </w:rPr>
            </w:pPr>
          </w:p>
        </w:tc>
      </w:tr>
      <w:tr>
        <w:trPr>
          <w:trHeight w:val="17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long-term borrowings, net of discount and underwriting fees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of debt assumed in connection with business combination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5"/>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w:t>
            </w:r>
          </w:p>
        </w:tc>
        <w:tc>
          <w:tcPr>
            <w:tcW w:w="0" w:type="dxa"/>
            <w:vAlign w:val="bottom"/>
          </w:tcPr>
          <w:p>
            <w:pPr>
              <w:spacing w:after="0"/>
              <w:rPr>
                <w:sz w:val="1"/>
                <w:szCs w:val="1"/>
                <w:color w:val="auto"/>
              </w:rPr>
            </w:pPr>
          </w:p>
        </w:tc>
      </w:tr>
      <w:tr>
        <w:trPr>
          <w:trHeight w:val="202"/>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Liability for repurchase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2021, contained in our Annual Report on Form 10-K filed with the SEC on February 25, 2022. In the opinion of management, all adjustments, which include normal recurring adjustments, considered necessary for a fair presentation, have been included. The results of operations for the three and nine months ended September 30, 2022 are not necessarily indicative of the results to be expected for the full year or for any future periods. The condensed consolidated balance sheet as of December 31, 2021 is derived from the audited consolidated financial statements for the year ended December 31, 2021.</w:t>
      </w:r>
    </w:p>
    <w:p>
      <w:pPr>
        <w:spacing w:after="0" w:line="21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14, 2022, our Board of Directors approved a five-for-one forward stock split of our common stock (the "Forward Stock Split"), which was conditioned upon obtaining stockholder approval for the Forward Stock Split, and to increase the number of our authorized shares of common stock. On June 17, 2022, at our 2022 Annual Meeting of Stockholders, our stockholders approved the Forward Stock Split and the amendment and restatement of our amended and restated certificate of incorporation to increase the number of authorized shares of common stock from 300 million to 1.5 billion. The par value of our common stock was not adjusted as a result of the Forward Stock Split. Effective June 22, 2022, we filed our amended and restated certification of incorporation and completed the Forward Stock Split. All share and per share amounts and related stockholders’ equity (deficit) balances presented herein have been retroactively adjusted to reflect the Forward Stock Split.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and nine months ended September 30, 2022.</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spacing w:after="0" w:line="19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sell cybersecurity solutions to channel partners who in turn sell such solutions to a variety of organizations, such as large-, medium- and small-sized enterprises, communication service providers and government organizations. Our revenue consists of product and service revenue. Product revenue is generated by our Core Platform (previously referred to as FortiGate network security and other products) and our Enhanced Platform Technologies (previously referred to as Platform Extension). Service revenue relates to sales of our security subscription services, which mainly consists of our FortiGuard security subscriptions, as well as our FortiCare technical support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r>
      <w:tr>
        <w:trPr>
          <w:trHeight w:val="22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23"/>
        </w:trPr>
        <w:tc>
          <w:tcPr>
            <w:tcW w:w="4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2,378.6</w:t>
            </w: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recognized $401.9 million and $1.37 billion in service revenue that was included in the deferred revenue balance as of December 31, 2021, respectively. During the three and nine months ended September 30, 2021, we recognized $309.2 million and $1.10 billion in service revenue that was included in the deferred revenue balance as of December 31, 2020,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remaining performance obligations was $4.21 billion, which was substantially comprised of deferred security subscription, technical support services revenue and unbilled contract revenue from non-cancellable contracts that will be recognized in future periods. We expect to recognize approximately $2.15 billion as revenue over the next 12 months and the remainder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95" w:lineRule="exact"/>
        <w:rPr>
          <w:sz w:val="20"/>
          <w:szCs w:val="20"/>
          <w:color w:val="auto"/>
        </w:rPr>
      </w:pPr>
    </w:p>
    <w:p>
      <w:pPr>
        <w:ind w:right="440" w:firstLine="583"/>
        <w:spacing w:after="0" w:line="250" w:lineRule="auto"/>
        <w:rPr>
          <w:sz w:val="20"/>
          <w:szCs w:val="20"/>
          <w:color w:val="auto"/>
        </w:rPr>
      </w:pPr>
      <w:r>
        <w:rPr>
          <w:rFonts w:ascii="Times New Roman" w:cs="Times New Roman" w:eastAsia="Times New Roman" w:hAnsi="Times New Roman"/>
          <w:sz w:val="18"/>
          <w:szCs w:val="18"/>
          <w:color w:val="auto"/>
        </w:rPr>
        <w:t>The allowance for credit losses was $3.7 million and $2.4 million as of September 30, 2022 and December 31, 2021, respectively. Provisions, write-offs and recoveries were not material during the nine months ended September 30, 2022 and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of deferred contract costs during the three months ended September 30, 2022 and 2021 were $56.7 million and $45.1 million, respectively. Amortization of deferred contract costs during the nine months ended September 30, 2022 and 2021 were $163.8 million and $126.9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securities (in millions):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9"/>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8"/>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9"/>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securities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9"/>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31"/>
        </w:trPr>
        <w:tc>
          <w:tcPr>
            <w:tcW w:w="2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as follows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r>
      <w:tr>
        <w:trPr>
          <w:trHeight w:val="229"/>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and the related tax impact included as a separate component of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securities were insignificant in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marketable equity securities were $26.9 million and $38.6 million as of September 30, 2022 and December 31, 2021. The changes in fair</w:t>
      </w:r>
    </w:p>
    <w:p>
      <w:pPr>
        <w:spacing w:after="0" w:line="221" w:lineRule="auto"/>
        <w:rPr>
          <w:sz w:val="20"/>
          <w:szCs w:val="20"/>
          <w:color w:val="auto"/>
        </w:rPr>
      </w:pPr>
      <w:r>
        <w:rPr>
          <w:rFonts w:ascii="Times New Roman" w:cs="Times New Roman" w:eastAsia="Times New Roman" w:hAnsi="Times New Roman"/>
          <w:sz w:val="18"/>
          <w:szCs w:val="18"/>
          <w:color w:val="auto"/>
        </w:rPr>
        <w:t>value of our marketable equity securities are recorded in other expense—net on the condensed consolidated statements of income. We recognized a</w:t>
      </w:r>
    </w:p>
    <w:p>
      <w:pPr>
        <w:spacing w:after="0" w:line="219" w:lineRule="auto"/>
        <w:rPr>
          <w:sz w:val="20"/>
          <w:szCs w:val="20"/>
          <w:color w:val="auto"/>
        </w:rPr>
      </w:pPr>
      <w:r>
        <w:rPr>
          <w:rFonts w:ascii="Times New Roman" w:cs="Times New Roman" w:eastAsia="Times New Roman" w:hAnsi="Times New Roman"/>
          <w:sz w:val="18"/>
          <w:szCs w:val="18"/>
          <w:color w:val="auto"/>
        </w:rPr>
        <w:t>$2.6 million gain and a $11.7 million loss during the three and nine months ended September 30, 2022, respectively. We recognized a $3.7 million and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loss during the three and nine months ended September 30,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76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920" w:type="dxa"/>
            <w:vAlign w:val="bottom"/>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760" w:type="dxa"/>
            <w:vAlign w:val="bottom"/>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5"/>
                <w:szCs w:val="15"/>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40" w:type="dxa"/>
            <w:vAlign w:val="bottom"/>
          </w:tcPr>
          <w:p>
            <w:pPr>
              <w:spacing w:after="0"/>
              <w:rPr>
                <w:sz w:val="15"/>
                <w:szCs w:val="15"/>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deposits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r>
              <w:rPr>
                <w:rFonts w:ascii="Times New Roman" w:cs="Times New Roman" w:eastAsia="Times New Roman" w:hAnsi="Times New Roman"/>
                <w:sz w:val="18"/>
                <w:szCs w:val="18"/>
                <w:u w:val="single" w:color="auto"/>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r>
              <w:rPr>
                <w:rFonts w:ascii="Times New Roman" w:cs="Times New Roman" w:eastAsia="Times New Roman" w:hAnsi="Times New Roman"/>
                <w:sz w:val="18"/>
                <w:szCs w:val="18"/>
                <w:u w:val="single" w:color="auto"/>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nine months ended September 30, 2022 and year ended December 31, 2021.</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the following (in millions):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In July 2022, we purchased real property in Union City, California, for $65.4 million. The purchase was accounted for under the asset acquisition method. The cost of the assets acquired was allocated to land and buildings based on their relative fair values. The amounts allocated to land and buildings were $52.4 million and $13.0 million, respectively.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$21.2 million and $18.1 million during the three months ended September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$59.4 million and $47.4 million during the nine months ended September 30, 2022 and 2021, respectively.</w:t>
      </w:r>
    </w:p>
    <w:p>
      <w:pPr>
        <w:spacing w:after="0" w:line="23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PRIVATELY HELD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auto"/>
        </w:rPr>
        <w:t>On March 19, 2021, we invested $75.0 million in cash for shares of the Series A Preferred Stock of Linksys for a 32.6% ownership interest in this privately-held company. On September 24, 2021, we invested an additional $85.0 million in cash for shares of Series A Preferred Stock of Linksys, and as of September 30, 2022 and December 31, 2021, we held 50.8% of the outstanding common stock (on an as-converted basis) of Linksys. Linksys provides router connectivity solutions to the consumer and small business markets.</w:t>
      </w:r>
    </w:p>
    <w:p>
      <w:pPr>
        <w:spacing w:after="0" w:line="208"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$6.3 million and $22.9 million for the three and nine months ended September 30, 2022, and was $2.8 million for the three and nine months ended September 30, 2021, and has been recorded in loss from equity method investment on the condensed consolidated statements of income. As of September 30, 2022 and December 31, 2021, the investment was included in other assets on our condensed consolidated balance sheets. Transaction costs related to this investment were not material.</w:t>
      </w:r>
    </w:p>
    <w:p>
      <w:pPr>
        <w:spacing w:after="0" w:line="218"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we evaluated our equity method investment for an other-than-temporary impairment (“OTTI”) during the three months ended September 30, 2022. We considered various factors in determining whether an OTTI has occurred, including the limited operating history available, our ability and intent to hold the investment until its fair value recovers, the implied revenue valuation multiples compared to guideline public companies, Linksys’ ability to achieve milestones and any notable operational and strategic changes. After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evaluation, we determined that an OTTI has not occurred as of September 30, 2022 and as of the date of this Quarterly Report on Form 10-Q.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reported results and disclosures of Linksys.</w:t>
      </w:r>
    </w:p>
    <w:p>
      <w:pPr>
        <w:spacing w:after="0" w:line="21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Alaxala Networks Corporation</w:t>
      </w:r>
    </w:p>
    <w:p>
      <w:pPr>
        <w:spacing w:after="0" w:line="281"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On August 31, 2021, we closed an acquisition of 75% of equity interests as controlling interests in Alaxala Networks Corporation (“Alaxala”), a privately held network hardware equipment company in Japan, for $64.2 million in cash. We acquired the equity interests in Alaxala to broaden our offering of secure switches integrated with our Core Platform and Enhanced Platform Technology functionality, and, over time, to innovate and rebrand certain of Alaxala’s switches to offer a broader suite of secure switches globally.</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4"/>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non-controlling interests of $17.8 million was estimated based on the non-controlling interests’ respective share of the fair value of Alaxala.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as of August 31, 2021, were as follows (in millions, except years):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3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the owner of the royalty granted in exchange for the use of the asset. The economic useful life was determined based on the technology cycle related to each developed technology, as well as the cash flows over the forecast period.</w:t>
      </w:r>
    </w:p>
    <w:p>
      <w:pPr>
        <w:spacing w:after="0" w:line="21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20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4"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204"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w:t>
            </w:r>
          </w:p>
        </w:tc>
      </w:tr>
      <w:tr>
        <w:trPr>
          <w:trHeight w:val="25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Fortinet,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2022</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nine months ended September 30, 2022 or during prior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$5.2 million and $4.8 million during the three months ended September 30, 2022 and 2021, respectively. Amortization expense was $17.6 million and $11.7 million during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(the remainder of 2022)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25"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attributable to Fortinet, Inc. is as follows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64"/>
        </w:trPr>
        <w:tc>
          <w:tcPr>
            <w:tcW w:w="51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Fortinet, Inc.</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Fortinet, Inc.:</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 for the periods presented, as their effect would have been antidilutive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24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20" w:type="dxa"/>
            <w:vAlign w:val="bottom"/>
            <w:gridSpan w:val="3"/>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080" w:type="dxa"/>
            <w:vAlign w:val="bottom"/>
          </w:tcPr>
          <w:p>
            <w:pPr>
              <w:spacing w:after="0"/>
              <w:rPr>
                <w:sz w:val="13"/>
                <w:szCs w:val="13"/>
                <w:color w:val="auto"/>
              </w:rPr>
            </w:pPr>
          </w:p>
        </w:tc>
        <w:tc>
          <w:tcPr>
            <w:tcW w:w="1620" w:type="dxa"/>
            <w:vAlign w:val="bottom"/>
            <w:tcBorders>
              <w:top w:val="single" w:sz="8" w:color="auto"/>
            </w:tcBorders>
            <w:gridSpan w:val="2"/>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20" w:type="dxa"/>
            <w:vAlign w:val="bottom"/>
            <w:tcBorders>
              <w:top w:val="single" w:sz="8" w:color="auto"/>
            </w:tcBorders>
          </w:tcPr>
          <w:p>
            <w:pPr>
              <w:jc w:val="right"/>
              <w:ind w:right="17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tcBorders>
              <w:top w:val="single" w:sz="8" w:color="auto"/>
            </w:tcBorders>
          </w:tcPr>
          <w:p>
            <w:pPr>
              <w:jc w:val="right"/>
              <w:ind w:right="11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50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September 30, 2022 and December 31, 2021,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we accrued interest payable of $0.7 million and $4.7 million, respectively, and there are no financial covenants with which we must comply. During the three months ended September 30, 2022 and 2021, we recorded $4.4 million of total interest expense in relation to these Senior Notes in each quarter. During the nine months ended September 30, 2022 and 2021, total interest expense in relation to these Senior Notes was $13.4 million and $10.2 million, respectively. No interest costs were capitalized for the three months or nine months ended September 30, 2022 and 2021, as the costs that qualified for capitalization were not material.</w:t>
      </w:r>
    </w:p>
    <w:p>
      <w:pPr>
        <w:spacing w:after="0" w:line="21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$808.9 million, including accrued and unpaid interest, as of September 30, 2022.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September 30, 2022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42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bl>
    <w:p>
      <w:pPr>
        <w:spacing w:after="0" w:line="315"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—Our independent contract manufacturers and certain component suppliers procure components and 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products based on our forecasts, the availability of various components and their capacity.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market conditions. In order to manage manufacturing lead times, plan for adequate component supply and incentivize suppliers to deliver, we may issue purchase orders to some of our independent contract manufacturers, which are non-cancelable. As of September 30, 2022 and December 31, 2021, we had $1.46 billion and $1.14 billion, respectively, of open purchase orders with our independent contract manufacturers that consist of non-cancelable commitments. In certain instances, these agreements allow us the option to reschedule and adjust our requirements based on our business needs prior to firm orders being placed.</w:t>
      </w:r>
    </w:p>
    <w:p>
      <w:pPr>
        <w:spacing w:after="0" w:line="20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September 30, 2022 and December 31, 2021, we had $111.7 million and $126.7 million, respectively, in other contractual commitments having a remaining term in excess of one year that are non-cancelable and an additional $73.5 million and $68.9 million, respectively, in contractual commitments for operating lease liabilities.</w:t>
      </w:r>
    </w:p>
    <w:p>
      <w:pPr>
        <w:spacing w:after="0" w:line="19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Litigation loss contingency accruals associated with outstanding cases were not material as of September 30, 2022 and December 31, 2021.</w:t>
      </w:r>
    </w:p>
    <w:p>
      <w:pPr>
        <w:spacing w:after="0" w:line="2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—Under the indemnification provisions of our standard sales contracts, we agree to defend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any existing claims or proceedings related to these types of matters, including any that we believe are likely to have a material adverse effect on our financial position.</w:t>
      </w:r>
    </w:p>
    <w:p>
      <w:pPr>
        <w:spacing w:after="0" w:line="199" w:lineRule="exact"/>
        <w:rPr>
          <w:sz w:val="20"/>
          <w:szCs w:val="20"/>
          <w:color w:val="auto"/>
        </w:rPr>
      </w:pPr>
    </w:p>
    <w:p>
      <w:pPr>
        <w:ind w:left="660" w:right="6060" w:hanging="652"/>
        <w:spacing w:after="0" w:line="534" w:lineRule="auto"/>
        <w:tabs>
          <w:tab w:leader="none" w:pos="46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PLANS AND SHARE REPURCHASE PROGRAM </w:t>
      </w:r>
      <w:r>
        <w:rPr>
          <w:rFonts w:ascii="Times New Roman" w:cs="Times New Roman" w:eastAsia="Times New Roman" w:hAnsi="Times New Roman"/>
          <w:sz w:val="18"/>
          <w:szCs w:val="18"/>
          <w:b w:val="1"/>
          <w:bCs w:val="1"/>
          <w:i w:val="1"/>
          <w:iCs w:val="1"/>
          <w:color w:val="auto"/>
        </w:rPr>
        <w:t>Stock-Based Compensation Plans</w:t>
      </w:r>
    </w:p>
    <w:p>
      <w:pPr>
        <w:spacing w:after="0" w:line="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and stock options. As of September 30, 2022, there were a total of 57.3 million shares of common stock available for grant under the Amended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September 30, 2022, total compensation expense related to unvested RSUs granted to employees and non-employees under the Amended Plan, but not yet recognized, was $393.3 million, with a weighted-average remaining vesting period of 2.7 years.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4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60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vest—September 30, 2022</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exercisable—September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on September 30, 2022 for all in-the-money stock options. Stock compensation expense is recognized on a straight-line basis over the vesting period of each stock option. As of September 30, 2022, total compensation expense related to unvested stock options granted to employees but not yet recognized was $56.9 million, with a weighted-average remaining vesting period of 2.7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49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6"/>
        </w:trPr>
        <w:tc>
          <w:tcPr>
            <w:tcW w:w="11240" w:type="dxa"/>
            <w:vAlign w:val="bottom"/>
            <w:gridSpan w:val="15"/>
          </w:tcPr>
          <w:p>
            <w:pPr>
              <w:jc w:val="right"/>
              <w:ind w:right="195"/>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as</w:t>
            </w: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 (in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4"/>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July 2022, under the Share Repurchase Program originally approved by our board of directors in January 2016 (the “Repurchase Program”), our board of directors approved a $1.0 billion increase, bringing the aggregate amount authorized to be repurchased to $5.25 billion of our outstanding common stock through February 28, 2023.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repurchased 10.2 million and 36.0 million shares of common stock, respectively, under the Repurchase Program in open-market transactions at a weighted-average price of $49.15 per share and $55.37 per share, respectively, for an aggregate purchase price of $500.0 million and $1.99 billion, respectively. As of September 30, 2022, $529.6 million remained available for future share repurchases under the Repurchase Program.</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Our effective tax rate was 10% for the three months ended September 30, 2022, compared to an effective tax rate of negative 6% for the same period last year. Our effective tax rate was 4% for the nine months ended September 30, 2022, compared to an effective tax rate of 2% for the same period last year. The effective tax rates for the periods presented are primarily comprised of U.S. federal and state taxes, withholding taxes, foreign taxes, the tax benefit from foreign-derived intangible income deduction (the “FDII deduction”) and excess tax benefits from stock-based compensation expense. The tax rates for the three months ended September 30, 2022 and 2021 were composed of U.S. federal and state taxes, withholding taxes and foreign taxes that amounted to $75.5 million and $40.1 million, respectively. The tax rate for the three months ended September 30, 2022 was impacted by a tax benefit of $28.9 million from the FDII deduction and excess tax benefits from stock-based compensation expense of $19.3 million. The tax rate for the three months ended September 30, 2021 was impacted by a tax benefit of $8.7 million from the FDII deduction and excess tax benefits from stock-based compensation</w:t>
      </w:r>
    </w:p>
    <w:p>
      <w:pPr>
        <w:spacing w:after="0" w:line="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 of $25.0 million. In addition, the tax rate for the three months ended September 30, 2021 was further impacted by a tax benefit of $15.7 million for a change in tax accounting positions in finalization of the prior year’s tax return.</w:t>
      </w:r>
    </w:p>
    <w:p>
      <w:pPr>
        <w:spacing w:after="0" w:line="176"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The tax rates for the nine months ended September 30, 2022 and 2021 were composed of U.S. federal and state taxes, withholding taxes and foreign taxes that amounted to $169.2 million and $115.8 million, respectively. The tax rate for the nine months ended September 30, 2022 was impacted by a tax benefit of $62.6 million from the FDII deduction, excess tax benefits from stock-based compensation expense of $68.7 million and release of reserves of $16.3 million on uncertain tax positions and the accrued interest thereon due to the expiration of the statute of limitations. The tax rate for the nine months ended September 30, 2021 was impacted by a tax benefit of $23.9 million from the FDII deduction, excess tax benefits from stock-based compensation expense of $60.3 million and release of reserves of $5.5 million on uncertain tax positions and the accrued interest thereon due to the expiration of the statute of limitations. In addition, the tax rate for the nine months ended September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2021 was further impacted by a tax benefit of $15.7 million for a change in tax accounting positions in finalization of the prior year’s tax return.</w:t>
      </w:r>
    </w:p>
    <w:p>
      <w:pPr>
        <w:spacing w:after="0" w:line="239"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As of September 30, 2022 and December 31, 2021, unrecognized tax benefits were $65.5 million and $73.3 million, respectively. If recognized, $56.9 million of the unrecognized tax benefits as of September 30, 2022 would favorably affect our effective tax rate. It is our policy to include accrued interest and penalties related to unrecognized tax benefits in income tax expense. As of September 30, 2022 and December 31, 2021, accrued interest and penalties were $10.2 million and $13.3 million, respectively. It is reasonably possible that our gross unrecognized tax benefits will decrease by up to $20.3 million in the next 12 months, due to the lapse of statutes of limitation in various jurisdictions. This decrease, if recognized, would favorably impact our effective tax rate, and would be recognized as additional tax benefits.</w:t>
      </w:r>
    </w:p>
    <w:p>
      <w:pPr>
        <w:spacing w:after="0" w:line="21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Germany and several other foreign jurisdictions. The focus of these audits is the inter-company profit allocation.</w:t>
      </w:r>
    </w:p>
    <w:p>
      <w:pPr>
        <w:spacing w:after="0" w:line="19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On September 29, 2020, the United States Department of the Treasury (the “U.S. Treasury”) and the Internal Revenue Service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Cuts and Jobs Act (the “2017 Tax Act”). Generally, the provisions that were included in the 2019 proposed regulations apply to taxable years ended on or after December 16, 2019, except as otherwise specified. On December 28, 2021, the U.S. Treasury and the IRS released final regulations addressing various aspects of the foreign tax credit regime, which did not have a material impact on our consolidated financial statements as of December 31, 2021. On January 4, 2022, the U.S. Treasury and the IRS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These final regulations adversely impact our ability to claim foreign tax credits in the United States for certain taxes imposed by certain foreign jurisdictions. These final regulations increased our tax expense in the nine months ended September 30, 2022 by approximately $16.4 million.</w:t>
      </w:r>
    </w:p>
    <w:p>
      <w:pPr>
        <w:spacing w:after="0" w:line="213" w:lineRule="exact"/>
        <w:rPr>
          <w:sz w:val="20"/>
          <w:szCs w:val="20"/>
          <w:color w:val="auto"/>
        </w:rPr>
      </w:pPr>
    </w:p>
    <w:p>
      <w:pPr>
        <w:jc w:val="both"/>
        <w:ind w:right="220" w:firstLine="648"/>
        <w:spacing w:after="0" w:line="259" w:lineRule="auto"/>
        <w:rPr>
          <w:sz w:val="20"/>
          <w:szCs w:val="20"/>
          <w:color w:val="auto"/>
        </w:rPr>
      </w:pPr>
      <w:r>
        <w:rPr>
          <w:rFonts w:ascii="Times New Roman" w:cs="Times New Roman" w:eastAsia="Times New Roman" w:hAnsi="Times New Roman"/>
          <w:sz w:val="17"/>
          <w:szCs w:val="17"/>
          <w:color w:val="auto"/>
        </w:rPr>
        <w:t>On August 16, 2022, the United States enacted the Inflation Reduction Act of 2022 that provides for, among other changes, changes to the U.S. corporate income tax system, including a 15% minimum tax based on financial statement income for companies with three-year average annual adjusted financial statement income exceeding $1 billion, and a 1% excise tax on net repurchases of stock after December 31, 2022. The 15% minimum tax based</w:t>
      </w:r>
    </w:p>
    <w:p>
      <w:pPr>
        <w:spacing w:after="0" w:line="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financial statement income will not apply to us immediately, but may in the future as we continue to grow. The 1% excise tax on net repurchases of stock will apply to our net repurchases after December 31, 2022, if any.</w:t>
      </w:r>
    </w:p>
    <w:p>
      <w:pPr>
        <w:spacing w:after="0" w:line="199"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September 30, 2022 and 2021 were $3.2 million and $2.5 million, respectively. Our matching contributions to our 401(k) Plan and the RRSP for the nine months ended September 30, 2022 and 2021 were $9.8 million and $7.9 million, respectively.</w:t>
      </w:r>
    </w:p>
    <w:p>
      <w:pPr>
        <w:spacing w:after="0" w:line="21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line="221"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3"/>
                <w:szCs w:val="13"/>
                <w:color w:val="auto"/>
              </w:rPr>
            </w:pPr>
          </w:p>
        </w:tc>
        <w:tc>
          <w:tcPr>
            <w:tcW w:w="130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72"/>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43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72"/>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3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6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20" w:type="dxa"/>
            <w:vAlign w:val="bottom"/>
            <w:gridSpan w:val="3"/>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600" w:type="dxa"/>
            <w:vAlign w:val="bottom"/>
          </w:tcPr>
          <w:p>
            <w:pPr>
              <w:spacing w:after="0"/>
              <w:rPr>
                <w:sz w:val="13"/>
                <w:szCs w:val="13"/>
                <w:color w:val="auto"/>
              </w:rPr>
            </w:pPr>
          </w:p>
        </w:tc>
        <w:tc>
          <w:tcPr>
            <w:tcW w:w="1720" w:type="dxa"/>
            <w:vAlign w:val="bottom"/>
            <w:tcBorders>
              <w:top w:val="single" w:sz="8" w:color="auto"/>
            </w:tcBorders>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tcBorders>
              <w:top w:val="single" w:sz="8" w:color="auto"/>
            </w:tcBorders>
          </w:tcPr>
          <w:p>
            <w:pPr>
              <w:jc w:val="right"/>
              <w:ind w:right="21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60" w:type="dxa"/>
            <w:vAlign w:val="bottom"/>
            <w:tcBorders>
              <w:top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Borders>
              <w:top w:val="single" w:sz="8" w:color="auto"/>
            </w:tcBorders>
          </w:tcPr>
          <w:p>
            <w:pPr>
              <w:jc w:val="right"/>
              <w:ind w:right="1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10%</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Non-Controlling Interests in Alaxala</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3, 2022, we completed our acquisition of the remaining 25% equity interests in Alaxala for $13.5 million. Refer to Note 7. Business Combinations for information in connection with our acquisition of Alaxala.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right="54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supply chain constraints and the global chip and component shortages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right="1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duration and impact of the COVID-19 pandemic, including various COVID-19 variants and the implementation of “return to office” plans;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the war in Ukraine, related macroeconomic effects and the impact of our decision to suspend operations in Russia;</w:t>
      </w:r>
    </w:p>
    <w:p>
      <w:pPr>
        <w:spacing w:after="0" w:line="252" w:lineRule="exact"/>
        <w:rPr>
          <w:rFonts w:ascii="Times New Roman" w:cs="Times New Roman" w:eastAsia="Times New Roman" w:hAnsi="Times New Roman"/>
          <w:sz w:val="18"/>
          <w:szCs w:val="18"/>
          <w:i w:val="1"/>
          <w:iCs w:val="1"/>
          <w:color w:val="auto"/>
        </w:rPr>
      </w:pPr>
    </w:p>
    <w:p>
      <w:pPr>
        <w:ind w:left="1300" w:right="66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increased inflation and rising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48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macro-economic, geopolitical factors and other disruption on our manufacturing or sales, including the impact of the COVID-19 pandemic and other public health issues, wars and natural disasters;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effects of government regulation, tariffs and other policies;</w:t>
      </w:r>
    </w:p>
    <w:p>
      <w:pPr>
        <w:spacing w:after="0" w:line="252" w:lineRule="exact"/>
        <w:rPr>
          <w:rFonts w:ascii="Times New Roman" w:cs="Times New Roman" w:eastAsia="Times New Roman" w:hAnsi="Times New Roman"/>
          <w:sz w:val="18"/>
          <w:szCs w:val="18"/>
          <w:color w:val="auto"/>
        </w:rPr>
      </w:pPr>
    </w:p>
    <w:p>
      <w:pPr>
        <w:ind w:left="1300" w:right="160" w:hanging="644"/>
        <w:spacing w:after="0" w:line="268"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sales productivity and capacity, functionality and value in our subscription service offerings;</w:t>
      </w:r>
    </w:p>
    <w:p>
      <w:pPr>
        <w:spacing w:after="0" w:line="199"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right="60" w:hanging="644"/>
        <w:spacing w:after="0" w:line="267"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product plans, employee groups,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w:t>
      </w:r>
    </w:p>
    <w:p>
      <w:pPr>
        <w:spacing w:after="0" w:line="225" w:lineRule="exact"/>
        <w:rPr>
          <w:rFonts w:ascii="Times New Roman" w:cs="Times New Roman" w:eastAsia="Times New Roman" w:hAnsi="Times New Roman"/>
          <w:sz w:val="18"/>
          <w:szCs w:val="18"/>
          <w:color w:val="auto"/>
        </w:rPr>
      </w:pPr>
    </w:p>
    <w:p>
      <w:pPr>
        <w:ind w:left="1300" w:right="80" w:hanging="644"/>
        <w:spacing w:after="0" w:line="284"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in absolute dollars during 2022;</w:t>
      </w:r>
    </w:p>
    <w:p>
      <w:pPr>
        <w:spacing w:after="0" w:line="252" w:lineRule="exact"/>
        <w:rPr>
          <w:rFonts w:ascii="Times New Roman" w:cs="Times New Roman" w:eastAsia="Times New Roman" w:hAnsi="Times New Roman"/>
          <w:sz w:val="18"/>
          <w:szCs w:val="18"/>
          <w:i w:val="1"/>
          <w:iCs w:val="1"/>
          <w:color w:val="auto"/>
        </w:rPr>
      </w:pPr>
    </w:p>
    <w:p>
      <w:pPr>
        <w:ind w:left="1300" w:right="1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line="315" w:lineRule="auto"/>
        <w:tabs>
          <w:tab w:leader="none" w:pos="12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expectations regarding uncertain tax benefits and our effective domestic and global tax rates, and the impact of the Tax Cuts and Jobs Act of 2017, the Coronavirus Aid, Relief, and Economic Security Act (the “CARES Act”) of 2020 and the Inflation Reduction Act of 2022;</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right="320" w:hanging="644"/>
        <w:spacing w:after="0" w:line="268"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acquisitions and development, data center investments, as well as other capital expenditures and to the impact on free cash flow;</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2022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statements regarding 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68"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43"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8"/>
          <w:szCs w:val="18"/>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cybersecurity platform products and services providing a mesh architecture, which feature automated protection, detection and response along with consolidated visibility across both Fortinet developed solutions and a broad ecosystem of third-party solutions and technologies. Our cybersecurity platform portfolio leverages a common operating system or integration to this operating system across our product offerings and helps organizations better secure their environments and reduce their security and network complexities. The Fortinet operating system has an open architecture designed to integrate Fortinet solutions with third-party solutions in a single ecosystem, enabling automated detection and response across the attack surface.</w:t>
      </w:r>
    </w:p>
    <w:p>
      <w:pPr>
        <w:spacing w:after="0" w:line="20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product offerings consist of our Core Platform (previously referred to as FortiGate network security physical and virtual products) and our Enhanced Platform Technologies (previously referred to as Platform Extension). The extended platform includes Secure Networking (Secure Switching, Access Points, 5G and Network Access Control), Network and Security Operations (Management, Analytics, Security Information and Event Management, Security Operations, Orchestration and Response and Email Security), Endpoint Security (Enhanced Detection and Response and Identity) and Cloud Security (Web Application Firewall).</w:t>
      </w:r>
    </w:p>
    <w:p>
      <w:pPr>
        <w:spacing w:after="0" w:line="21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Our cloud- and hosted- Enhanced Platform Technology products and services include sandboxing, endpoint detection and response (“EDR”), email security, web application and application programming interface (“API”) security, cloud networking security and cloud-native protection as well as management and analytics.</w:t>
      </w:r>
    </w:p>
    <w:p>
      <w:pPr>
        <w:spacing w:after="0" w:line="204" w:lineRule="exact"/>
        <w:rPr>
          <w:sz w:val="20"/>
          <w:szCs w:val="20"/>
          <w:color w:val="auto"/>
        </w:rPr>
      </w:pPr>
    </w:p>
    <w:p>
      <w:pPr>
        <w:ind w:right="460" w:firstLine="648"/>
        <w:spacing w:after="0" w:line="236" w:lineRule="auto"/>
        <w:rPr>
          <w:sz w:val="20"/>
          <w:szCs w:val="20"/>
          <w:color w:val="auto"/>
        </w:rPr>
      </w:pPr>
      <w:r>
        <w:rPr>
          <w:rFonts w:ascii="Times New Roman" w:cs="Times New Roman" w:eastAsia="Times New Roman" w:hAnsi="Times New Roman"/>
          <w:sz w:val="18"/>
          <w:szCs w:val="18"/>
          <w:color w:val="auto"/>
        </w:rPr>
        <w:t>Our FortiGuard security subscription services are enabled by FortiGuard Labs, which provides threat research and artificial intelligence capabilities from a cloud network to deliver coordinated protection for the ever-expanding attack surface through Core Platform appliance and virtual machine as well as all Enhanced Platform Technology products that are registered by the end-customer.</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FortiCare support services provide both technical support and professional services to help our customers deploy, maintain, and operationalize Fortinet’s Core Platform and Enhanced Platform Technology products and services.</w:t>
      </w:r>
    </w:p>
    <w:p>
      <w:pPr>
        <w:spacing w:after="0" w:line="190"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Our proprietary Security Processing Units (“SPUs”) are Application-Specific Integrated Circuits that are implemented in our physical Core Platform appliances and are designed to enhance the security processing capabilities implemented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software by accelerating computationally intensive tasks such as firewall policy enforcement, software-defined wide-area network (“SD-WAN”), network address translation, Intrusion Prevention Systems (“IPS”), threat detection and encryption. We also provide virtualized Security Processing Units (“vSPUs”) across our Core Platform virtual appliances to deliver similar accelerated capabilities when run in virtualized environments.</w:t>
      </w:r>
    </w:p>
    <w:p>
      <w:pPr>
        <w:spacing w:after="0" w:line="217"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Our FortiOS operating system provides the foundation for the operation of all Core Platform and Enhanced Platform Technology products, whether physical, virtual, private- or public-cloud based. FortiOS directs the operations of processors and SPUs and provides system management functions. We make regular updates to FortiOS available through our FortiCare support services.</w:t>
      </w:r>
    </w:p>
    <w:p>
      <w:pPr>
        <w:spacing w:after="0" w:line="203"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Networking functionality and security capabilities are integrated into the FortiOS operating system to run both the Core Platform and Enhanced Platform Technology capabilities of Fortinet’s cybersecurity mesh architecture (“Fortinet Security Fabric”). This approach to security combines discrete security solutions together into an integrated operating system which provides centralized management, visibility, automation and intelligence sharing to simplify operations and respond rapidly to threats.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focus areas of our business consist of:</w:t>
      </w:r>
    </w:p>
    <w:p>
      <w:pPr>
        <w:spacing w:after="0" w:line="235" w:lineRule="exact"/>
        <w:rPr>
          <w:sz w:val="20"/>
          <w:szCs w:val="20"/>
          <w:color w:val="auto"/>
        </w:rPr>
      </w:pPr>
    </w:p>
    <w:p>
      <w:pPr>
        <w:ind w:left="660" w:right="20" w:hanging="328"/>
        <w:spacing w:after="0" w:line="23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Security-Driven Networking solutions enables the convergence of networking and security across all edges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next-generation firewall (“NGFW”), SD-WAN, LAN Edge (Wi-Fi and switch) and secure access service edge (“SASE”). We derive a majority of product sales from our Core Platform network security appliances. Core Platform network security appliances include a broad set of built-in security and networking features and functionalities, including firewall, next-generation firewall, secure web gateway, secure sockets layer (“SSL”) inspection, SD-WAN, Intrusion Prevention system (“IPS”), sandboxing, data leak prevention, virtual private network (“VPN”), switch and wireless controller and wide area network (“WAN”) edge. Our network security appliances are managed by our FortiOS network operating system, which provides the foundation for Core Platform security functions. We enhance the performance of our network security appliances from branch to data center by designing and implementing SPUs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work-from-home deployments.</w:t>
      </w:r>
    </w:p>
    <w:p>
      <w:pPr>
        <w:spacing w:after="0" w:line="210" w:lineRule="exact"/>
        <w:rPr>
          <w:rFonts w:ascii="Times New Roman" w:cs="Times New Roman" w:eastAsia="Times New Roman" w:hAnsi="Times New Roman"/>
          <w:sz w:val="18"/>
          <w:szCs w:val="18"/>
          <w:color w:val="auto"/>
        </w:rPr>
      </w:pPr>
    </w:p>
    <w:p>
      <w:pPr>
        <w:ind w:left="660" w:right="140" w:hanging="328"/>
        <w:spacing w:after="0" w:line="24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Zero Trust Access</w:t>
      </w:r>
      <w:r>
        <w:rPr>
          <w:rFonts w:ascii="Times New Roman" w:cs="Times New Roman" w:eastAsia="Times New Roman" w:hAnsi="Times New Roman"/>
          <w:sz w:val="18"/>
          <w:szCs w:val="18"/>
          <w:color w:val="auto"/>
        </w:rPr>
        <w:t>—Fortinet’s Enhanced Platform Technology products and services extend beyond the network to create a cybersecurity mesh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architecture to cover other attack vectors. Our Zero Trust Access solutions enable customers to know and control who and what is on their network, in addition to providing security for work from anywhere (“WFA”). Zero Trust Access solutions include FortiNAC, FortiAuthenticator, FortiClient and FortiToken. Additionally, the proliferation of operational technology (“OT”) and internet of things (“IoT”) devices has generated new opportunities for us to grow our business. Our network access control solutions provide visibility, control and automated event responses in order to secure OT and IoT devices.</w:t>
      </w:r>
    </w:p>
    <w:p>
      <w:pPr>
        <w:spacing w:after="0" w:line="205" w:lineRule="exact"/>
        <w:rPr>
          <w:rFonts w:ascii="Times New Roman" w:cs="Times New Roman" w:eastAsia="Times New Roman" w:hAnsi="Times New Roman"/>
          <w:sz w:val="18"/>
          <w:szCs w:val="18"/>
          <w:color w:val="auto"/>
        </w:rPr>
      </w:pPr>
    </w:p>
    <w:p>
      <w:pPr>
        <w:ind w:left="660" w:right="180" w:hanging="328"/>
        <w:spacing w:after="0" w:line="22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Security</w:t>
      </w:r>
      <w:r>
        <w:rPr>
          <w:rFonts w:ascii="Times New Roman" w:cs="Times New Roman" w:eastAsia="Times New Roman" w:hAnsi="Times New Roman"/>
          <w:sz w:val="18"/>
          <w:szCs w:val="18"/>
          <w:color w:val="auto"/>
        </w:rPr>
        <w:t>—We help customers connect securely to and across their individual, hybrid cloud, multi-cloud and virtualized data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by offering security through our virtual firewall and other software products and through integrated cloud-native capabilities with major cloud platforms. Our public and private cloud security solutions, including virtual appliances and hosted solutions, bring our Enhanced Platform Technology products and services into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secures applications, including email and web applications and APIs and helps organizations better operationalize their cloud security with cloud-native protection. Fortinet cloud security offerings are available for deployment in major public and private cloud environments, including Alibaba Cloud, Amazon Web Services, Google Cloud, IBM Cloud, Microsoft Azure, Oracle Cloud and VMWare Cloud. We also offer managed IPS and web application firewall (“WAF”) rules delivered by FortiGuard Labs as an overlay service to native security offerings offered by Amazon Web Services.</w:t>
      </w:r>
    </w:p>
    <w:p>
      <w:pPr>
        <w:spacing w:after="0" w:line="195"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Operations</w:t>
      </w:r>
      <w:r>
        <w:rPr>
          <w:rFonts w:ascii="Times New Roman" w:cs="Times New Roman" w:eastAsia="Times New Roman" w:hAnsi="Times New Roman"/>
          <w:sz w:val="18"/>
          <w:szCs w:val="18"/>
          <w:color w:val="auto"/>
        </w:rPr>
        <w:t>—We develop and provide a range of products and services that enable the security operations center (“SOC”) teams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investigate and remediate potential incidents in which cybercriminals bypass prevention-oriented controls. Given the breadth of the attack surface to monitor, as well as the volume and sophistication of cyber threats, artificial intelligence is a key part of these offerings, which include: FortiGuard and other security subscription services, modern endpoint security with EDR, a range of breach-protection technologies plus our security information and event management (“SIEM”) and security orchestration, automation and response (“SOAR”), all of which can be applied across the entire set of Platform Extension products and services. These solutions automatically deliver security intelligence and insights that enable organizations to protect against and respond to threats faster through integration with Fortinet and third-party controls.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140" w:hanging="328"/>
        <w:spacing w:after="0" w:line="237" w:lineRule="auto"/>
        <w:tabs>
          <w:tab w:leader="none" w:pos="653" w:val="left"/>
        </w:tabs>
        <w:numPr>
          <w:ilvl w:val="0"/>
          <w:numId w:val="2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Security as a Service</w:t>
      </w:r>
      <w:r>
        <w:rPr>
          <w:rFonts w:ascii="Times New Roman" w:cs="Times New Roman" w:eastAsia="Times New Roman" w:hAnsi="Times New Roman"/>
          <w:sz w:val="18"/>
          <w:szCs w:val="18"/>
          <w:color w:val="auto"/>
        </w:rPr>
        <w:t>—Our customers purchase our natively integrated FortiGuard security subscription services as an add-on to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across the Enhanced Platform Technology products and services with the goal of receiving real-time threat intelligence and protection updates. The rich set of FortiGuard security subscription services is built from the ground up to provide comprehensive protection for users and applications, including market leading offerings for IPS, Web, video and DNS filtering, AV and cloud sandbox as well as OT and IoT Security. The FortiGuard security subscription services are provided from our FortiGuard Labs and cloud-delivered to provide real-time unified protection across network endpoint and cloud.</w:t>
      </w:r>
    </w:p>
    <w:p>
      <w:pPr>
        <w:spacing w:after="0" w:line="208" w:lineRule="exact"/>
        <w:rPr>
          <w:rFonts w:ascii="Calibri" w:cs="Calibri" w:eastAsia="Calibri" w:hAnsi="Calibri"/>
          <w:sz w:val="20"/>
          <w:szCs w:val="20"/>
          <w:color w:val="auto"/>
        </w:rPr>
      </w:pPr>
    </w:p>
    <w:p>
      <w:pPr>
        <w:ind w:left="660" w:right="40" w:hanging="328"/>
        <w:spacing w:after="0" w:line="244" w:lineRule="auto"/>
        <w:tabs>
          <w:tab w:leader="none" w:pos="653"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b w:val="1"/>
          <w:bCs w:val="1"/>
          <w:i w:val="1"/>
          <w:iCs w:val="1"/>
          <w:color w:val="auto"/>
        </w:rPr>
        <w:t>Support and Professional Services</w:t>
      </w:r>
      <w:r>
        <w:rPr>
          <w:rFonts w:ascii="Times New Roman" w:cs="Times New Roman" w:eastAsia="Times New Roman" w:hAnsi="Times New Roman"/>
          <w:sz w:val="18"/>
          <w:szCs w:val="18"/>
          <w:color w:val="auto"/>
        </w:rPr>
        <w:t>—Fortinet offers technical support, FortiOS updates and extended product warranty through our FortiCare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services. In addition to our technical support services, we offer a range of advanced services, including premium support, professional services and expedited warranty replacement. Our advanced support service offerings include technical account managers that act as a single point of contact and customer advocate within Fortinet. Our professional service offerings include resident engineers and professional service consultants for implementations or trainings.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$1.15 billion and $3.13 billion during the three and nine months ended September 30, 2022, an increase of 33% and 32%, respectively, compared to $867.2 million and $2.38 billion in the same periods last year. Product revenue was $468.7 million and $1.24 billion during the three and nine months ended September 30, 2022, an increase of 39% and 42%, respectively, compared to $337.1 million and $876.1 million in the same periods last year. Service revenue was $680.8 million and $1.89 billion during the three and nine months ended September 30, 2022, an increase of 28% and 26%, respectively, compared to $530.1 million and $1.50 billion in the same periods last year.</w:t>
      </w:r>
    </w:p>
    <w:p>
      <w:pPr>
        <w:spacing w:after="0" w:line="2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$866.5 million and $2.35 billion during the three and nine months ended September 30, 2022, an increase of 32% and 29%, respectively, compared to $656.0 million and $1.82 billion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and marketable equity securities were $1.81 billion as of September 30, 2022.</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we repurchased 36.0 million shares of common stock under our Share Repurchase Program (the “Repurchase Program”), for a total purchase price of $1.99 billion.</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$4.19 billion as of September 30, 2022, an increase of $740.6 million, or 21%, compared to $3.45 billion as of December 31, 2021 and an increase of $1.09 billion, or 35%, compared to $3.11 billion as of September 30, 2021. Deferred revenue was $3.11 billion as of September 30, 2021, an increase of $501.1 million, or 19%, compared to $2.61 billion as of December 31, 2020 and an increase of $714.4 million, or 30%, compared to $2.39 billion as of September 30, 2020.</w:t>
      </w:r>
    </w:p>
    <w:p>
      <w:pPr>
        <w:spacing w:after="0" w:line="206"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deferred revenue was $2.13 billion as of September 30, 2022, an increase of $351.6 million, or 20%, compared to $1.78 billion as of December 31, 2021 and an increase of $512.9 million, or 32%, compared to $1.62 billion as of September 30, 2021. Short-term deferred revenue was $1.62 billion as of September 30, 2021, as increase of $223.3 million, or 16%, compared to $1.39 billion as of December 31, 2020 and an increase of $316.1 million, or 24%, compared to $1.30 billion as of September 30, 2020.</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$1.20 billion during the nine months ended September 30, 2022, an increase of $69.6 million, or 6%, compared to the same period last year.</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 geographic basis, revenue continues to be diversified, which remains a key strength of our business. During the three months ended September 30, 2022, the Americas region, the Europe, Middle East and Africa (“EMEA”) region and the Asia Pacific (“APAC”) region contributed 41%, 38% and 21% of our total revenue, respectively, and increased by 34%, 37% and 23% compared to the same period last year, respectively. During the nine months ended September 30, 2022, the Americas region, the EMEA region and the APAC region contributed 40%, 38% and 22% of our total revenue, respectively, and increased by 29%, 31% and 39% compared to the same period last year, respectively.</w:t>
      </w:r>
    </w:p>
    <w:p>
      <w:pPr>
        <w:spacing w:after="0" w:line="197"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Our revenue growth was driven by strong product revenue performance. Product revenue grew 39% and 42% during the three and nine months ended September 30, 2022, respectively, compared to the same periods last year. Product revenue growth was consistent with an elevated cyber threat landscape and changes in our pricing model. Core Platform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accounted for more than 40% of the product revenue growth during the three months ended September 30, 2022. While Secure SD-WAN contributed to product revenue growth, a main driver was the strong demand for the wide range of other operating system capabilities embedded in the Core Platform products. We experienced strong product revenue growth across many of our Enhanced Platform Technology products, including our OT solutions, secure access products and software licenses. Service revenue growth of 28% and 26% during the three and nine months ended September 30, 2022, respectively, compared to the same periods last year, was driven by the strength of our FortiCare technical support and other service revenue which grew 28% and 27%, respectively, and of FortiGuard and other security subscription revenue, which grew 29% and 25%, respectively.</w:t>
      </w:r>
    </w:p>
    <w:p>
      <w:pPr>
        <w:spacing w:after="0" w:line="22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September 30, 2022, approximately 45% of our billings in the aggregate were from over 100 countries that each individually contributed less than 3% of our billings.</w:t>
      </w:r>
    </w:p>
    <w:p>
      <w:pPr>
        <w:spacing w:after="0" w:line="18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as a percentage of revenue decreased by 4 and 3 percentage points during the three and nine months ended September 30, 2022, respectively, compared to the same periods last year. Headcount increased to 12,091 employees and contractors as of September 30, 2022, a 19% increase compared to 10,195 as of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 Update</w:t>
      </w:r>
    </w:p>
    <w:p>
      <w:pPr>
        <w:spacing w:after="0" w:line="25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212529"/>
        </w:rPr>
        <w:t>The United States and the global community we serve have faced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transition back to an in-person working mode, allowing increasing numbers of employees to work from our offices with reasonable precautions and, in all cases, subject to abiding by local legal restrictions. We intend to continue to monitor and abide by local employee health and safety protocols and other regulations as applicable to each local office.</w:t>
      </w:r>
    </w:p>
    <w:p>
      <w:pPr>
        <w:spacing w:after="0" w:line="197" w:lineRule="exact"/>
        <w:rPr>
          <w:sz w:val="20"/>
          <w:szCs w:val="20"/>
          <w:color w:val="auto"/>
        </w:rPr>
      </w:pPr>
    </w:p>
    <w:p>
      <w:pPr>
        <w:ind w:right="80" w:firstLine="405"/>
        <w:spacing w:after="0"/>
        <w:rPr>
          <w:sz w:val="20"/>
          <w:szCs w:val="20"/>
          <w:color w:val="auto"/>
        </w:rPr>
      </w:pPr>
      <w:r>
        <w:rPr>
          <w:rFonts w:ascii="Times New Roman" w:cs="Times New Roman" w:eastAsia="Times New Roman" w:hAnsi="Times New Roman"/>
          <w:sz w:val="18"/>
          <w:szCs w:val="18"/>
          <w:color w:val="auto"/>
        </w:rPr>
        <w:t xml:space="preserve">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w:t>
      </w:r>
      <w:r>
        <w:rPr>
          <w:rFonts w:ascii="Times New Roman" w:cs="Times New Roman" w:eastAsia="Times New Roman" w:hAnsi="Times New Roman"/>
          <w:sz w:val="18"/>
          <w:szCs w:val="18"/>
          <w:color w:val="212529"/>
        </w:rPr>
        <w:t>as 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during the three and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12529"/>
        </w:rPr>
        <w:t xml:space="preserve">. Conversely, some aspects of our business do not appear to have been significantly affected. During the three and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12529"/>
        </w:rPr>
        <w:t>, we have observed the following:</w:t>
      </w:r>
    </w:p>
    <w:p>
      <w:pPr>
        <w:spacing w:after="0" w:line="225" w:lineRule="exact"/>
        <w:rPr>
          <w:sz w:val="20"/>
          <w:szCs w:val="20"/>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have seen continued supply chain challenges, including chip and other component shortages and increased costs for certain chips and other components and shipping, and we do not have enough inventory to promptly meet all demand for all products.</w:t>
      </w:r>
    </w:p>
    <w:p>
      <w:pPr>
        <w:spacing w:after="0" w:line="188" w:lineRule="exact"/>
        <w:rPr>
          <w:rFonts w:ascii="Times New Roman" w:cs="Times New Roman" w:eastAsia="Times New Roman" w:hAnsi="Times New Roman"/>
          <w:sz w:val="18"/>
          <w:szCs w:val="18"/>
          <w:color w:val="212529"/>
        </w:rPr>
      </w:pPr>
    </w:p>
    <w:p>
      <w:pPr>
        <w:ind w:left="660" w:right="140" w:hanging="328"/>
        <w:spacing w:after="0" w:line="258" w:lineRule="auto"/>
        <w:tabs>
          <w:tab w:leader="none" w:pos="655"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 many countries, our employees’ ability to travel has been reduced and certain in-person sales and marketing events or meetings that would normally have been held were canceled, postponed or converted into virtual events. However, as certain country’s restrictions continued to ease, we have started to see an increase in expenses related to travel and marketing events. Although we cannot predict if or when such expenses will return to pre-pandemic levels, as of September 30, 2022, we have started to see an increase in such expenses as compared to the same period last year.</w:t>
      </w:r>
    </w:p>
    <w:p>
      <w:pPr>
        <w:spacing w:after="0" w:line="210" w:lineRule="exact"/>
        <w:rPr>
          <w:rFonts w:ascii="Times New Roman" w:cs="Times New Roman" w:eastAsia="Times New Roman" w:hAnsi="Times New Roman"/>
          <w:sz w:val="18"/>
          <w:szCs w:val="18"/>
          <w:color w:val="212529"/>
        </w:rPr>
      </w:pPr>
    </w:p>
    <w:p>
      <w:pPr>
        <w:ind w:left="660" w:right="20" w:hanging="328"/>
        <w:spacing w:after="0" w:line="261" w:lineRule="auto"/>
        <w:tabs>
          <w:tab w:leader="none" w:pos="655"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 order to mitigate supply chain disruption and other supply chain risks and in anticipation of future demand, we increased our commitments with certain suppliers to secure capacity, and are meeting regularly with our contract manufacturers and component suppliers to manage future commitments, address component shortages and monitor delivery. We have also transitioned primarily to air shipping to avoid port congestion and extended ocean freight time.</w:t>
      </w:r>
    </w:p>
    <w:p>
      <w:pPr>
        <w:spacing w:after="0" w:line="206" w:lineRule="exact"/>
        <w:rPr>
          <w:rFonts w:ascii="Times New Roman" w:cs="Times New Roman" w:eastAsia="Times New Roman" w:hAnsi="Times New Roman"/>
          <w:sz w:val="18"/>
          <w:szCs w:val="18"/>
          <w:color w:val="212529"/>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Our days sales outstanding increased to 75 days in the third quarter of 2022, compared to 63 days in the same period last year, primarily due to the sales linearity. </w:t>
      </w:r>
      <w:r>
        <w:rPr>
          <w:rFonts w:ascii="Times New Roman" w:cs="Times New Roman" w:eastAsia="Times New Roman" w:hAnsi="Times New Roman"/>
          <w:sz w:val="18"/>
          <w:szCs w:val="18"/>
          <w:color w:val="000000"/>
        </w:rPr>
        <w:t>The accounts receivable allowance for credit losses was $3.7 million as of September 30, 2022, increased by $1.3 million compared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 $2.4 million as of December 31, 2021, primarily due to an increase in past due invoices over 60 and 90 days.</w:t>
      </w:r>
    </w:p>
    <w:p>
      <w:pPr>
        <w:spacing w:after="0" w:line="189" w:lineRule="exact"/>
        <w:rPr>
          <w:sz w:val="20"/>
          <w:szCs w:val="20"/>
          <w:color w:val="auto"/>
        </w:rPr>
      </w:pPr>
    </w:p>
    <w:p>
      <w:pPr>
        <w:ind w:right="40" w:firstLine="405"/>
        <w:spacing w:after="0" w:line="239" w:lineRule="auto"/>
        <w:rPr>
          <w:sz w:val="20"/>
          <w:szCs w:val="20"/>
          <w:color w:val="auto"/>
        </w:rPr>
      </w:pPr>
      <w:r>
        <w:rPr>
          <w:rFonts w:ascii="Times New Roman" w:cs="Times New Roman" w:eastAsia="Times New Roman" w:hAnsi="Times New Roman"/>
          <w:sz w:val="18"/>
          <w:szCs w:val="18"/>
          <w:color w:val="212529"/>
        </w:rPr>
        <w:t>Going forward, the situation remains uncertain, rapidly changing and hard to predict, and the COVID-19 pandemic may have a material negative impact on our future periods. If we experience component, shipping, inventory challenges or customer payment, it will negatively impact billings and product revenue in the current quarter and FortiGuard and FortiCare service revenues in subsequent quarters, as we sell annual and multi-year service contracts that are recognized ratably over the contractual service term, generally starting on the contract registration date.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212529"/>
        </w:rPr>
        <w:t>cycles, the impact on our partners, suppliers, and employees, actions that may be taken by governmental authorities and other factors identified in Part II, Item 1A “Risk Factors” in this Form 10-Q.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 in Ukraine</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Due to the war in Ukraine and the resulting sanctions and other actions against Russia and Belarus and due to inflation and the economic downturn and possible recession, there has been uncertainty and disruption in the global economy. On March 7, 2022, we announced that we were suspending sales, support, security updates and other operations in Russia.</w:t>
      </w:r>
    </w:p>
    <w:p>
      <w:pPr>
        <w:spacing w:after="0" w:line="18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Although the Russian war against Ukraine did not have a material adverse impact on our revenue or other financial results for the three and nine months ended September 30, 2022, at this time we are unable to fully assess the aggregate impact it will have on our business in future periods due to various uncertainties, which include, but are not limited to, the duration of the war, its effect on the economy, its impact to the businesses of our customers and distributors, actions that may be taken by governmental authorities related to the war, and other factors identified in Part II, Item 1A, “Risk Factors” in this Quarterly Report, including the risk factor titled “The war in Ukraine and our suspension of operations in Russia have affected and may continue to affect our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service providers and managed security service providers (“MSSPs”), who, in turn, sell to end-customers or use our products and services to provide hosted solutions to other enterprises. At times, we also sell directly to large service providers and major systems integrators. Our end-customers are located in over 100 countries and include small, medium and large enterprises and government organizations across a wide range of industries, including education, financial services, government, healthcare, manufacturing, retail, technology and telecommunications. An end-customer deployment may involve as few as one or as many as thousands of Core Platform products as well as Enhanced Platform Technology products, depending on the end-customer’s size and security requirements.</w:t>
      </w:r>
    </w:p>
    <w:p>
      <w:pPr>
        <w:spacing w:after="0" w:line="198"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also offer our products hosted in our own data centers and through co-locations and major cloud providers, and have recognized revenue on a usage basis from our data centers as well as Alibaba Cloud, Amazon Web Services, Google Cloud, IBM Cloud, Microsoft Azure and Oracle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it in third-party clouds or in their private cloud.</w:t>
      </w:r>
    </w:p>
    <w:p>
      <w:pPr>
        <w:spacing w:after="0" w:line="198" w:lineRule="exact"/>
        <w:rPr>
          <w:sz w:val="20"/>
          <w:szCs w:val="20"/>
          <w:color w:val="auto"/>
        </w:rPr>
      </w:pPr>
    </w:p>
    <w:p>
      <w:pPr>
        <w:ind w:right="38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may offer extended payment terms to certain distributors or related to certain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below under “—Liquidity and Capital Resources.” Deferred revenue, billings (non-GAAP), and free cash flow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are discussed immediately below the following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5"/>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1,149.5</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4,193.5</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3,106.4</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1,411.0</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483.0</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395.2</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r>
    </w:tbl>
    <w:p>
      <w:pPr>
        <w:spacing w:after="0" w:line="304"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$4.19 billion as of September 30, 2022, an increase of $740.6 million, or 21%, from December 31, 2021. Short term deferred revenue was $2.13 billion as of September 30, 2022, an increase of $351.6 million, or 20%, from December 31, 2021.</w:t>
      </w:r>
    </w:p>
    <w:p>
      <w:pPr>
        <w:spacing w:after="0" w:line="210"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w:t>
      </w:r>
    </w:p>
    <w:p>
      <w:pPr>
        <w:spacing w:after="0" w:line="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recognized as revenue and are impacted by the term of FortiGuard security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$1.41 billion for the three months ended September 30, 2022, an increase of 33% compared to $1.06 billion in the same period last year.</w:t>
      </w:r>
    </w:p>
    <w:p>
      <w:pPr>
        <w:spacing w:after="0" w:line="208"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gridSpan w:val="3"/>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2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w:t>
            </w:r>
          </w:p>
        </w:tc>
        <w:tc>
          <w:tcPr>
            <w:tcW w:w="4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cash flow as a comparative measure. A reconciliation of net cash provided by operating activities, the most directly comparable financial measure calculated and presented in accordance with GAAP, to free cash flow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0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(526.6)</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w:t>
            </w:r>
          </w:p>
        </w:tc>
      </w:tr>
      <w:tr>
        <w:trPr>
          <w:trHeight w:val="21"/>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Except as noted below, there were no material changes to our critical accounting policies and estimates as of and for the three and nine months ended September 30, 2022, as compared to the critical accounting policies and estimates described in our Annual Report on Form 10-K filed with the SEC on February 25, 2022 (the “Form 10-K”).</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5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evaluate our investments for OTTIs when circumstances indicate those assets may be impaired. When the decline in value is deemed to be other than temporary, an impairment is recognized to the extent that the fair value is less than the carrying value of the investment. We consider various factors in determining whether a loss in value of an investment is other than temporary including: the length of time and the extent to which the fair value has been below cost; the financial condition of the investees, and our intent and ability to retain the investment for a period of time sufficient to allow for recovery of value. Management makes certain judgments and estimates in its assessment including but not limited to: identifying if circumstances indicate a decline in value is other than temporary, expectations about the business operations of investees, as well as industry, financial and market factors. Any significant changes in assumptions or judgments in assessing impairments could result in an impairment charge.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and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Total revenue increased by $282.3 million, or 33%, during the three months ended September 30, 2022 compared to the same period last year. We continued to experience significant organic revenue growth (i.e., revenue growth excluding attribution from recent acquisitions) with diversification of revenue geographically, and across both customers and industries. Revenue from all regions grew, with EMEA contributing the largest portion of the increase on an absolute dollar basis and on a percentage basis.</w:t>
      </w:r>
    </w:p>
    <w:p>
      <w:pPr>
        <w:spacing w:after="0" w:line="208" w:lineRule="exact"/>
        <w:rPr>
          <w:sz w:val="20"/>
          <w:szCs w:val="20"/>
          <w:color w:val="auto"/>
        </w:rPr>
      </w:pPr>
    </w:p>
    <w:p>
      <w:pPr>
        <w:jc w:val="both"/>
        <w:ind w:right="100" w:firstLine="648"/>
        <w:spacing w:after="0" w:line="239" w:lineRule="auto"/>
        <w:rPr>
          <w:sz w:val="20"/>
          <w:szCs w:val="20"/>
          <w:color w:val="auto"/>
        </w:rPr>
      </w:pPr>
      <w:r>
        <w:rPr>
          <w:rFonts w:ascii="Times New Roman" w:cs="Times New Roman" w:eastAsia="Times New Roman" w:hAnsi="Times New Roman"/>
          <w:sz w:val="18"/>
          <w:szCs w:val="18"/>
          <w:color w:val="auto"/>
        </w:rPr>
        <w:t>Product revenue increased by $131.6 million, or 39%, during the three months ended September 30, 2022 compared to the same period last year. Product revenue growth was consistent with an elevated cyber threat landscape and included the benefit of certain pricing actions. Core Platform products accounted for more than 40% of the product revenue growth in the three months ended September 30, 2022. While Secure SD-WAN and OT contributed significantly to product revenue growth, the main driver was the strong demand for the wide range of other operating system capabilities embedded in the Core Platform products. We also experienced strong revenue growth across many Enhanced Platform Technology products.</w:t>
      </w:r>
    </w:p>
    <w:p>
      <w:pPr>
        <w:spacing w:after="0" w:line="2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Service revenue increased by $150.7 million, or 28%, during the three months ended September 30, 2022 compared to the same period last year. FortiGuard security subscription and FortiCare and other technical support and other revenues increased by $82.4 million, or 29%, and by $68.3 million, or 28%, respectively, during the three months ended September 30, 2022 compared to the same period last year. The increases were primarily due to the recognition of revenue from our growing deferred revenue balance related to FortiGuard and other security subscriptions delivered to on-premise and cloud-based environments as well as FortiCare and other technical support, including our customers moving to higher-tier support offerings and the early effects of certain pricing actions.</w:t>
      </w:r>
    </w:p>
    <w:p>
      <w:pPr>
        <w:spacing w:after="0" w:line="21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September 30, 2022, 88% was included in the deferred revenue balance as of June 30, 2022. Of the service revenue recognized during the three months ended September 30, 2021, 89% was included in the deferred revenue balance as of June 30, 2021. We expect service revenue growth will continue to increase through the remainder of 2022, as our business is expected to grow and as service revenue benefits from previous pricing actions. However, there are risks to service revenue growth rates, including customers reducing their spending, supply chain constraints, customers taking longer to buy their service, 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Total gross margin decreased by 0.2 percentage points during the three months ended September 30, 2022 compared to the same period last year, primarily driven by a change in revenue mix to lower margin product revenue from higher margin service revenue and the consolidation of Alaxala, partially offset by favorable impact of foreign currency fluctuations. Revenue mix shifted by 2 percentage points from service revenue to product revenue, as a percentage of total revenue.</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Product gross margin increased by 0.3 percentage points during the three months ended September 30, 2022 compared to the same period last year. The increase in product margin is driven by higher average selling prices, partially offset by higher expedite fees and other product costs due to supply chain constraints and the consolidation of Alaxala. Cost of product revenue was comprised primarily of third-party contract manufacturers’ costs and the costs of materials used in production.</w:t>
      </w:r>
    </w:p>
    <w:p>
      <w:pPr>
        <w:spacing w:after="0" w:line="2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by 0.1 percentage points during the three months ended September 30, 2022 compared to the same period last year. Cost of service revenue was comprised primarily of personnel and data center costs. The increase in service gross margin was primarily impacted by favorable impact of foreign currency fluctuations and higher average selling prices, partially offset by our data center expansion, increased labor cost and our consolidation of Alaxala.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Research and development expense increased by $26.5 million, or 25%, during the three months ended September 30, 2022 compared to the same period last year, primarily due to an increase of $15.8 million in personnel-related costs as a result of increased headcount to support the development of new products and continued enhancements to our existing products. In addition, we incurred increases in depreciation and other occupancy costs of</w:t>
      </w:r>
    </w:p>
    <w:p>
      <w:pPr>
        <w:spacing w:after="0" w:line="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$6.1 million, and an increase of $3.2 million of product development costs, such as third-party testing and prototypes, partially offset by the favorable impact of foreign currency fluctuations. We currently intend to continue to invest in our research and development organization, and expect research and development expense to increase in absolute dollars during the remainder of 2022.</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Sales and marketing expense increased by $80.0 million, or 23%, during the three months ended September 30, 2022 compared to the same period last year, primarily due to an increase of $46.4 million in personnel-related costs. We significantly increased our sales capacity, including newer non-tenured sales people. The increase in headcount is expected to help drive global market revenue increases. In addition, we incurred increases in marketing-related expense of $13.8 million, travel expense of $11.4 million and depreciation and other occupancy expense of $5.5 million, partially offset by the favorable impact of foreign currency fluctuations. We currently intend to continue to make investments in sales and marketing resources, which are critical to support our future growth, and expect sales and marketing expense to increase in absolute dollars during the remainder of 2022.</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General and administrative expense increased by $4.9 million, or 14%, during the three months ended September 30, 2022 compared to the same period last year, primarily due to an increase of $4.3 million in personnel-related costs and an increase of $1.3 million in depreciation and other occupancy-relate costs, partially offset by a decrease of $1.7 million in provision for expected credit losses, and the favorable impact of foreign currency fluctuations. We currently expect general and administrative expense to increase in absolute dollars during the remainder of 2022.</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generated operating income of $265.5 million during the three months ended September 30, 2022, an increase of $99.1 million, or 60%, compared to $166.4 million in the same period last year. Operating income as a percentage of revenue was 23% during the three months ended September 30, 2022, compared to 19% in the same period last year. The increase in operating margin primarily benefits from 2.8 percentage points, 0.7 percentage points and 0.6 percentage points decreases in sales and marketing expense, research and development expense and general and administrative expense as percentage of revenue,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4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4.6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1095"/>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995"/>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8"/>
              </w:rPr>
              <w:t>(4.6)</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1075"/>
              <w:spacing w:after="0"/>
              <w:rPr>
                <w:sz w:val="20"/>
                <w:szCs w:val="20"/>
                <w:color w:val="auto"/>
              </w:rPr>
            </w:pPr>
            <w:r>
              <w:rPr>
                <w:rFonts w:ascii="Times New Roman" w:cs="Times New Roman" w:eastAsia="Times New Roman" w:hAnsi="Times New Roman"/>
                <w:sz w:val="18"/>
                <w:szCs w:val="18"/>
                <w:color w:val="auto"/>
                <w:w w:val="98"/>
              </w:rPr>
              <w:t>(6.3)</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increased by $3.4 million during the three months ended September 30, 2022 compared to the same period last year, as a result of higher interest rates. Interest income varies depending on our average investment balances during the period, types and mix of investments, and market interest rates. Interest expense remained comparatively flat during the three months ended September 30, 2022 compared to the same period last year. The $5.4 million decrease of Other expense—net during the three months ended September 30, 2022 compared to the same period last year, was primarily due to an increase of $6.3 million gain on marketable equity securities and an increase of $0.9 million net rental income from real estate, partially offset by $2.3 million of foreign currency exchange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4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36.6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10% for the three months ended September 30, 2022 compared to an effective tax rate of negative 6% for the same period last year. The provision for income taxes for the three months ended September 30, 2022 was primarily comprised of U.S. federal and state taxes, withholding taxes and foreign taxes that were $75.5 million, which were favorably affected by a tax benefit of $28.9 million from the foreign-derived intangible income deduction (the “FDII deduction”) and excess tax benefits from stock-based compensation expense of $19.3 million.</w:t>
      </w:r>
    </w:p>
    <w:p>
      <w:pPr>
        <w:spacing w:after="0" w:line="208"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The benefit from income taxes for the three months ended September 30, 2021 was comprised of U.S. federal and state taxes, withholding taxes, and foreign taxes that were $40.1 million, which were offset by a tax benefit of $8.7 million from the FDII deduction and excess tax benefits from stock-based compensation expense of $25.0 million. The provision for income taxes was further impacted by a tax benefit of $15.7 million for a change in tax accounting positions in finalization of the prior year's tax return.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and 2021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Total revenue increased by $755.8 million, or 32%, during the nine months ended September 30, 2022 compared to the same period last year. We continue to experience significant organic revenue growth (i.e., revenue growth excluding attribution from acquisitions) with diversification of revenue geographically, and across both customer and industry segments. Revenue from all regions grew, with Americas contributing the largest portion of the increase on an absolute dollar basis and APAC, which included Alaxala, contributing the largest portion of the increase on a percentage basis.</w:t>
      </w:r>
    </w:p>
    <w:p>
      <w:pPr>
        <w:spacing w:after="0" w:line="193"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Product revenue increased by $364.3 million, or 42%, during the nine months ended September 30, 2022 compared to the same period last year. Product revenue growth was consistent with an elevated cyber threat landscape and included the benefit of certain pricing actions. Core Platform products accounted for approximately half of the product revenue growth in the nine months ended September 30, 2022. While Secure SD-WAN and OT contributed significantly to product revenue growth, the main driver was the strong demand for the wide range of other operating system capabilities embedded in the Core Platform products. We also experienced strong revenue growth across many Enhanced Platform Technology products.</w:t>
      </w:r>
    </w:p>
    <w:p>
      <w:pPr>
        <w:spacing w:after="0" w:line="215"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Service revenue increased by $391.5 million, or 26%, during the nine months ended September 30, 2022 compared to the same period last year. FortiGuard security subscription and FortiCare technical support and other revenues increased by $207.5 million, or 25%, and by $184.0 million, or 27%, respectively, during the nine months ended September 30, 2022 compared to the same period last year. The increases were primarily due to the recognition of revenue from our growing deferred revenue balance related to FortiGuard and other security subscriptions delivered to on-premise and cloud-based environments, as well as FortiCare and other technical support, including our customers moving to higher-tier support offerings and the early effects of certain pricing actions.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Of the service revenue recognized during the nine months ended September 30, 2022, 72% was included in the deferred revenue balance as of December 31, 2021. Of the service revenue recognized during the nine months ended September 30, 2021, 73% was included in the deferred revenue balance as of December 31, 2020. We expect service revenue growth will continue to increase through the remainder of 2022, as our business is expected to grow and as service revenue benefits from previous pricing actions. However, there are risks to service revenue growth rates, including customers reducing their spending, supply chain constraints, customers taking longer to buy their service, or other reasons.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140" w:firstLine="648"/>
        <w:spacing w:after="0"/>
        <w:rPr>
          <w:sz w:val="20"/>
          <w:szCs w:val="20"/>
          <w:color w:val="auto"/>
        </w:rPr>
      </w:pPr>
      <w:r>
        <w:rPr>
          <w:rFonts w:ascii="Times New Roman" w:cs="Times New Roman" w:eastAsia="Times New Roman" w:hAnsi="Times New Roman"/>
          <w:sz w:val="18"/>
          <w:szCs w:val="18"/>
          <w:color w:val="auto"/>
        </w:rPr>
        <w:t>Total gross margin decreased by 1.8 percentage points during the nine months ended September 30, 2022 compared to the same period last year, driven by the consolidation of Alaxala, costs increases and a change in revenue mix to lower margin product revenue from higher margin service revenue. Revenue mix shifted by 3 percentage points from service revenue to product revenue, as a percentage of total revenue. Total gross margin also reflected a decline in product gross margin and services gross margin.</w:t>
      </w:r>
    </w:p>
    <w:p>
      <w:pPr>
        <w:spacing w:after="0" w:line="21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Product gross margin decreased by 1.5 percentage points during the nine months ended September 30, 2022 compared to the same period last year. The decrease in product margin is driven by higher expedite fees, freight fees and other product costs due to supply chain constraints and the consolidation of Alaxala, partially offset by higher average selling prices and a mix shift to higher margin high end appliances. Cost of product revenue was comprised primarily of third-party contract manufacturers’ costs and the costs of materials used in production.</w:t>
      </w:r>
    </w:p>
    <w:p>
      <w:pPr>
        <w:spacing w:after="0" w:line="2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Service gross margin decreased by 0.9 percentage points during the nine months ended September 30, 2022 compared to the same period last year. Cost of service revenue was comprised primarily of personnel and data center costs. The decrease in service gross margin was primarily impacted by our consolidation of Alaxala and our data center expansion, partially offset by favorable impact of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IP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by $71.9 million, or 23%, during the nine months ended September 30, 2022 compared to the same period last year, primarily due to an increase of $47.7 million in personnel-related costs as a result of increased headcount to support the development of new products and continued enhancements to our existing products. In addition, we incurred increases in depreciation and other occupancy costs of $19.4 million, partially offset by the favorable impact of foreign currency fluctuations. We currently intend to continue to invest in our research and development organization, and expect research and development expense to increase sequentially in absolute dollars during the remainder of 2022.</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 increased by $252.2 million, or 26%, during the nine months ended September 30, 2022 compared to the same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last year, primarily due to an increase of $152.7 million in personnel-related costs. We significantly increased our sales capacity, including newer</w:t>
      </w:r>
    </w:p>
    <w:p>
      <w:pPr>
        <w:spacing w:after="0" w:line="234" w:lineRule="auto"/>
        <w:rPr>
          <w:sz w:val="20"/>
          <w:szCs w:val="20"/>
          <w:color w:val="auto"/>
        </w:rPr>
      </w:pPr>
      <w:r>
        <w:rPr>
          <w:rFonts w:ascii="Times New Roman" w:cs="Times New Roman" w:eastAsia="Times New Roman" w:hAnsi="Times New Roman"/>
          <w:sz w:val="18"/>
          <w:szCs w:val="18"/>
          <w:color w:val="auto"/>
        </w:rPr>
        <w:t>non-tenured sales people. The increase in headcount is expected to help drive global market revenue increases. In addition, marketing-related expense</w:t>
      </w:r>
    </w:p>
    <w:p>
      <w:pPr>
        <w:spacing w:after="0" w:line="235" w:lineRule="auto"/>
        <w:rPr>
          <w:sz w:val="20"/>
          <w:szCs w:val="20"/>
          <w:color w:val="auto"/>
        </w:rPr>
      </w:pPr>
      <w:r>
        <w:rPr>
          <w:rFonts w:ascii="Times New Roman" w:cs="Times New Roman" w:eastAsia="Times New Roman" w:hAnsi="Times New Roman"/>
          <w:sz w:val="18"/>
          <w:szCs w:val="18"/>
          <w:color w:val="auto"/>
        </w:rPr>
        <w:t>increased by $38.0 million, travel expense increased by $29.4 million and depreciation expense and other occupancy-related expense increased by</w:t>
      </w:r>
    </w:p>
    <w:p>
      <w:pPr>
        <w:spacing w:after="0" w:line="235" w:lineRule="auto"/>
        <w:rPr>
          <w:sz w:val="20"/>
          <w:szCs w:val="20"/>
          <w:color w:val="auto"/>
        </w:rPr>
      </w:pPr>
      <w:r>
        <w:rPr>
          <w:rFonts w:ascii="Times New Roman" w:cs="Times New Roman" w:eastAsia="Times New Roman" w:hAnsi="Times New Roman"/>
          <w:sz w:val="18"/>
          <w:szCs w:val="18"/>
          <w:color w:val="auto"/>
        </w:rPr>
        <w:t>$14.7 million, partially offset by the favorable impact of foreign currency fluctuations. We currently intend to continue to make investments in sales and</w:t>
      </w:r>
    </w:p>
    <w:p>
      <w:pPr>
        <w:spacing w:after="0" w:line="235" w:lineRule="auto"/>
        <w:rPr>
          <w:sz w:val="20"/>
          <w:szCs w:val="20"/>
          <w:color w:val="auto"/>
        </w:rPr>
      </w:pPr>
      <w:r>
        <w:rPr>
          <w:rFonts w:ascii="Times New Roman" w:cs="Times New Roman" w:eastAsia="Times New Roman" w:hAnsi="Times New Roman"/>
          <w:sz w:val="18"/>
          <w:szCs w:val="18"/>
          <w:color w:val="auto"/>
        </w:rPr>
        <w:t>marketing resources, which are critical to support our future growth, and expect sales and marketing expense to increase sequentially in absolute dollars</w:t>
      </w:r>
    </w:p>
    <w:p>
      <w:pPr>
        <w:spacing w:after="0"/>
        <w:rPr>
          <w:sz w:val="20"/>
          <w:szCs w:val="20"/>
          <w:color w:val="auto"/>
        </w:rPr>
      </w:pPr>
      <w:r>
        <w:rPr>
          <w:rFonts w:ascii="Times New Roman" w:cs="Times New Roman" w:eastAsia="Times New Roman" w:hAnsi="Times New Roman"/>
          <w:sz w:val="18"/>
          <w:szCs w:val="18"/>
          <w:color w:val="auto"/>
        </w:rPr>
        <w:t>during the remainder of 2022.</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General and administrative expense increased by $22.5 million, or 22%, during the nine months ended September 30, 2022 compared to the same period last year, primarily due to an increase of $12.8 million in personnel-related costs, an increase of $3.3 million in depreciation and other occupancy costs, an increase of $2.1 million in supplies expense and an increase of $1.3 million in provision for expected credit losses, partially offset by the favorable impact of foreign currency fluctuations. We currently expect general and administrative expense to increase sequentially in absolute dollars during the remainder of 2022.</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generated operating income of $611.8 million during the nine months ended September 30, 2022, an increase of $176.3 million, or 40%, compared to $435.5 million in the same period last year. Operating income as a percentage of revenue increased to 20% during the nine months ended September 30, 2022 compared to 18% in the same period last year. The increase in our operating margin was primarily due to 1.9 percentage points, 0.9 percentage points and 0.3 percentage points decreases in sales and marketing expense, research and development expense and general and administrative expense as percentage of revenue, respectively, partially offset by a 1.8 percentage points decrease in gross margin.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(11.8)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increased by $4.8 million during the nine months ended September 30, 2022 compared to the same period last year, primarily as a result of higher interest rates. Interest income varies depending on our average investment balances during the period, types and mix of investments, and market interest rates. Interest expense increased by $3.1 million during the nine months ended September 30, 2022 compared to the same period last year, primarily due to the Senior Notes, issued in the first quarter of 2021. Other expense—net increased by $11.8 million during the nine months ended September 30, 2022 compared to the same period last year due to a $8.8 million increase of loss on marketable equity securities and a $6.3 million increase of foreign currency exchange loss, partially offset by a $2.9 million increase in net rental income from real estate.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4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effective tax rate was 4% for the nine months ended September 30, 2022 compared to an effective tax rate of 2% for the same period last year. The provision for income taxes for the nine months ended September 30, 2022 was primarily comprised of U.S. federal and state taxes, withholding taxes and foreign taxes that were $169.2 million. This provision for income taxes was favorably affected by a tax benefit of $62.6 million from the FDII deduction, excess tax benefits from stock-based compensation expense of $68.7 million and release of reserves of $16.3 million on uncertain tax positions and the accrued interest thereon due to the expiration of the statute of limitations.</w:t>
      </w:r>
    </w:p>
    <w:p>
      <w:pPr>
        <w:spacing w:after="0" w:line="21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2021 was comprised of U.S. federal and state taxes, withholding taxes, and foreign taxes that were $115.8 million, which were offset by a tax benefit of $23.9 million from the FDII deduction, excess tax benefits from stock-based compensation expense of $60.3 million and release of reserves of $5.5 million on uncertain tax positions and the accrued interest thereon due to the expiration of the statute of limitations. The provision for income taxes was further impacted by a tax benefit of $15.7 million for a change in tax accounting positions in finalization of the prior year's tax return.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may be impacted by our operating activities, as well as by our stock repurchases, proceeds from the issuance of common stock, investment grade debt issuance and payment of taxes in connection with the net settlement of equity awards, real estate and other capital expenditures, business acquisitions and the timing of inventory deliveries and the related shipments to customers and completeness of such shipments.</w:t>
      </w:r>
    </w:p>
    <w:p>
      <w:pPr>
        <w:spacing w:after="0" w:line="190"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market or industry changes, macroeconomic events such as the COVID-19 pandemic, supply chain capacity and disruptions, international conflicts, including the war in Ukraine,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2022, our board of directors authorized a $1.0 billion increase in the authorized stock repurchase under the Repurchase Program, bringing the aggregate amount of authorized to be repurchased to $5.25 billion of our outstanding common stock through February 28, 2023. During the nine months ended September 30, 2022, we repurchased 36.0 million shares of common stock under the Repurchase Program for an aggregate purchase price of $1.99 billion. As of September 30, 2022, $529.6 million remained available for future share repurchases under the Repurchase Program.</w:t>
      </w:r>
    </w:p>
    <w:p>
      <w:pPr>
        <w:spacing w:after="0" w:line="20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increase our office and warehouse capacity to support growth. As we purchase new properties, we will work to incorporate these properties into the environmental goals we have established. We estimate capital expenditures to be between approximately $75 million and $85 million for the fourth quarter of 2022.</w:t>
      </w:r>
    </w:p>
    <w:p>
      <w:pPr>
        <w:spacing w:after="0" w:line="189"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these Senior Notes early. Refer to Note 10. Debt in Part I, Item 1 of this Quarterly Report on Form 10-Q for information on the Senior Notes. As of September 30, 2022, the long-term debt, net of unamortized discount and debt issuance costs, was $989.9 million.</w:t>
      </w:r>
    </w:p>
    <w:p>
      <w:pPr>
        <w:spacing w:after="0" w:line="208"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We enter into non-cancellable agreements with contract manufacturers and certain component suppliers to procure inventory based on our requirements in order to negotiate manufacturing lead times and encourage and incentivize vendors to deliver components and finished goods. In certain instances, these agreements allow us the option to reschedule and adjust our</w:t>
      </w:r>
    </w:p>
    <w:p>
      <w:pPr>
        <w:sectPr>
          <w:pgSz w:w="11900" w:h="16838" w:orient="portrait"/>
          <w:cols w:equalWidth="0" w:num="1">
            <w:col w:w="11200"/>
          </w:cols>
          <w:pgMar w:left="320" w:top="279" w:right="37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requirements based on our business needs prior to firm orders being placed. These purchase commitments as of September 30, 2022 totaled $1.46 billion, an increase of $315.9 million compared to $1.14 billion as of December 31, 2021 as we increased our commitments in order to address significant supply constraints seen industry-wide due to component shortages caused, in part, by the COVID-19 pandemic, and for which the duration of such constraints is uncertain. Our agreements secured supply and pricing for certain product components and commitments with contract manufacturers to meet customer demand and to address extended lead times. We also have open purchase orders and contractual obligations in the ordinary course of business for which we have not received goods or services. As of September 30, 2022, we had $111.7 million in other contractual commitments having a remaining term in excess of one year that are non-cancelable.</w:t>
      </w:r>
    </w:p>
    <w:p>
      <w:pPr>
        <w:spacing w:after="0" w:line="1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2021 other than as of September 30, 2022 we had additional minimum lease payments of $35.7 million relating to operating leases that had been signed but had not yet commenced. These leases will commence during 2022 and will have lease terms of approximately one to six years.</w:t>
      </w:r>
    </w:p>
    <w:p>
      <w:pPr>
        <w:spacing w:after="0" w:line="2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our cash, cash equivalents, short-term and long-term investments and marketable equity securities of $1.81 billion were invested primarily in deposit accounts, money market funds, corporate debt securities, commercial paper, certificates of deposit and term deposits, U.S. government and agency securities,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$140.9 million as of September 30, 2022 and $132.4 million as of December 31, 2021.</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deferred contract costs, deferred tax assets and accounts receivable, net.</w:t>
      </w:r>
    </w:p>
    <w:p>
      <w:pPr>
        <w:spacing w:after="0" w:line="20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2022 provided cash flows of $1.20 billion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of $742.8 million in our deferred revenue during the nine months ended 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closely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aligned with our long-term strategy. We expect to make similar decisions in the future. We may also make cash payments in connection with future business combinations.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cash provided by investing activities was $546.5 million, driven by $796.8 million in cash proceeds from maturities and sales of investments, net of purchases of investments and partially offset by $250.3 million of purchases of property and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and Restated Fortinet, Inc. 2009 Equity Incentive Plan and the issuance of long-term notes, net of discount and underwriting.</w:t>
      </w:r>
    </w:p>
    <w:p>
      <w:pPr>
        <w:spacing w:after="0" w:line="20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cash used in financing activities was $2.10 billion, primarily driven by $1.99 billion used to repurchase shares of our common stock and $110.4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nine months ended September 30, 2022 compared to the disclosures in Part II, Item 7A of the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September 30, 2022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September 30, 2022,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right="420" w:hanging="644"/>
        <w:spacing w:after="0" w:line="258"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or other economic downturn, increased inflation or possible stagflation in certain geographies, rising interest rates, the war in Ukraine, the COVID-19 pandemic or other factors;</w:t>
      </w:r>
    </w:p>
    <w:p>
      <w:pPr>
        <w:spacing w:after="0" w:line="19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end-customers or sell additional products and services to our existing end-customers;</w:t>
      </w:r>
    </w:p>
    <w:p>
      <w:pPr>
        <w:spacing w:after="0" w:line="238" w:lineRule="exact"/>
        <w:rPr>
          <w:rFonts w:ascii="Times New Roman" w:cs="Times New Roman" w:eastAsia="Times New Roman" w:hAnsi="Times New Roman"/>
          <w:sz w:val="18"/>
          <w:szCs w:val="18"/>
          <w:color w:val="auto"/>
        </w:rPr>
      </w:pPr>
    </w:p>
    <w:p>
      <w:pPr>
        <w:jc w:val="both"/>
        <w:ind w:left="1300" w:right="60" w:hanging="644"/>
        <w:spacing w:after="0"/>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23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and may be impacted by the COVID-19 pandemic and supply chain constraints in ways that we are not able to foresee;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suspension of operations in Russia;</w:t>
      </w:r>
    </w:p>
    <w:p>
      <w:pPr>
        <w:spacing w:after="0" w:line="202"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market acceptance of our price increases, and our reliance on a concentration of shipments at the end of each quarter;</w:t>
      </w:r>
    </w:p>
    <w:p>
      <w:pPr>
        <w:spacing w:after="0" w:line="183"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the COVID-19 pandemic, increased inflation or possible stagflation in certain geographies, rising interest rates, the war in Ukraine and other factors;</w:t>
      </w:r>
    </w:p>
    <w:p>
      <w:pPr>
        <w:spacing w:after="0" w:line="203"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vulnerabilities in our products or services, and any actual or perceived breach of our network or our customers’ networks;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17" w:lineRule="exact"/>
        <w:rPr>
          <w:rFonts w:ascii="Times New Roman" w:cs="Times New Roman" w:eastAsia="Times New Roman" w:hAnsi="Times New Roman"/>
          <w:sz w:val="18"/>
          <w:szCs w:val="18"/>
          <w:color w:val="auto"/>
        </w:rPr>
      </w:pPr>
    </w:p>
    <w:p>
      <w:pPr>
        <w:jc w:val="both"/>
        <w:ind w:left="1300" w:right="2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203" w:lineRule="exact"/>
        <w:rPr>
          <w:rFonts w:ascii="Times New Roman" w:cs="Times New Roman" w:eastAsia="Times New Roman" w:hAnsi="Times New Roman"/>
          <w:sz w:val="18"/>
          <w:szCs w:val="18"/>
          <w:color w:val="auto"/>
        </w:rPr>
      </w:pPr>
    </w:p>
    <w:p>
      <w:pPr>
        <w:jc w:val="both"/>
        <w:ind w:left="1300" w:right="160" w:hanging="644"/>
        <w:spacing w:after="0" w:line="296" w:lineRule="auto"/>
        <w:tabs>
          <w:tab w:leader="none" w:pos="129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products sold, such as the mix between Core Platform and Enhanced Platform Technology solutions, and the mix of revenue between products and services, as well as the degree to which products and services are bundled and sold together for a package price;</w:t>
      </w:r>
    </w:p>
    <w:p>
      <w:pPr>
        <w:spacing w:after="0" w:line="165" w:lineRule="exact"/>
        <w:rPr>
          <w:rFonts w:ascii="Times New Roman" w:cs="Times New Roman" w:eastAsia="Times New Roman" w:hAnsi="Times New Roman"/>
          <w:sz w:val="17"/>
          <w:szCs w:val="17"/>
          <w:color w:val="auto"/>
        </w:rPr>
      </w:pPr>
    </w:p>
    <w:p>
      <w:pPr>
        <w:ind w:left="1300" w:right="46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or refresh cycles;</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45"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2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89" w:lineRule="exact"/>
        <w:rPr>
          <w:rFonts w:ascii="Times New Roman" w:cs="Times New Roman" w:eastAsia="Times New Roman" w:hAnsi="Times New Roman"/>
          <w:sz w:val="18"/>
          <w:szCs w:val="18"/>
          <w:color w:val="auto"/>
        </w:rPr>
      </w:pPr>
    </w:p>
    <w:p>
      <w:pPr>
        <w:ind w:left="1300" w:right="160" w:hanging="644"/>
        <w:spacing w:after="0" w:line="239"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our Enhanced Platform Technology products;</w:t>
      </w:r>
    </w:p>
    <w:p>
      <w:pPr>
        <w:spacing w:after="0" w:line="21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spacing w:after="0" w:line="2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62"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to distributors and backlog levels;</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and cloud solutions for which we and our competitors sell products and services;</w:t>
      </w:r>
    </w:p>
    <w:p>
      <w:pPr>
        <w:spacing w:after="0" w:line="16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2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or the acceleration of orders in response to our announced or expected price list increases;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right="100" w:hanging="644"/>
        <w:spacing w:after="0" w:line="258"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9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public sector, including the U.S. federal government, and other sectors;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security solutions on our billings, revenues, operating margins and free cash flow;</w:t>
      </w:r>
    </w:p>
    <w:p>
      <w:pPr>
        <w:spacing w:after="0" w:line="211" w:lineRule="exact"/>
        <w:rPr>
          <w:rFonts w:ascii="Times New Roman" w:cs="Times New Roman" w:eastAsia="Times New Roman" w:hAnsi="Times New Roman"/>
          <w:sz w:val="18"/>
          <w:szCs w:val="18"/>
          <w:color w:val="auto"/>
        </w:rPr>
      </w:pPr>
    </w:p>
    <w:p>
      <w:pPr>
        <w:ind w:left="1300" w:right="66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revenues and manage and control operating expenses in order to maintain or improve our operating margins;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and collections for service contracts or the contractual term of service contracts sold;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and collections for our contracts;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services and the uncertainty associated with transitioning to providing such services;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198"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34"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5"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93" w:lineRule="exact"/>
        <w:rPr>
          <w:rFonts w:ascii="Times New Roman" w:cs="Times New Roman" w:eastAsia="Times New Roman" w:hAnsi="Times New Roman"/>
          <w:sz w:val="18"/>
          <w:szCs w:val="18"/>
          <w:color w:val="auto"/>
        </w:rPr>
      </w:pPr>
    </w:p>
    <w:p>
      <w:pPr>
        <w:ind w:left="1300" w:right="220" w:hanging="644"/>
        <w:spacing w:after="0" w:line="257"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such as that caused by the war in Ukraine and any disruption and negative impact on our ability to sell to, ship product to and support customers in certain regions based on trade restrictions, embargoes and export control law restrictions;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right="2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202" w:lineRule="exact"/>
        <w:rPr>
          <w:rFonts w:ascii="Times New Roman" w:cs="Times New Roman" w:eastAsia="Times New Roman" w:hAnsi="Times New Roman"/>
          <w:sz w:val="18"/>
          <w:szCs w:val="18"/>
          <w:color w:val="auto"/>
        </w:rPr>
      </w:pPr>
    </w:p>
    <w:p>
      <w:pPr>
        <w:ind w:left="1300" w:right="7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holdings and future development plans; and</w:t>
      </w:r>
    </w:p>
    <w:p>
      <w:pPr>
        <w:spacing w:after="0" w:line="189"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and applicable accounting standards.</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3" w:lineRule="exact"/>
        <w:rPr>
          <w:sz w:val="20"/>
          <w:szCs w:val="20"/>
          <w:color w:val="auto"/>
        </w:rPr>
      </w:pPr>
    </w:p>
    <w:p>
      <w:pPr>
        <w:ind w:right="580"/>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including its ongoing variants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will likely continue to adversely affect our business in a significant way</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for example, through product and component shortages or negative impact on demand.</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COVID-19 pandemic, including its ongoing variants, has negatively impacted the global economy, disrupted global supply chains and demand for certain solutions and created significant volatility in, and disruption of, global markets. The extent of the future impact of the COVID-19 pandemic on our operational and financial performance, including on demand for our products and services, our ability to source components and properly manage costs, and our ability to execute our business strategies and initiatives in the expected time frame, is unpredictable, adds uncertainty to our business, and will depend on future developments, including the duration and spread of the COVID-19 pandemic and related restrictions on, and disruptions of business, supply chain and world economies, all of which are uncertain and difficult to predict. There is a worldwide shortage of various components, impacting many industries, caused in-part by the COVID-19 pandemic. We continue to experience ongoing product and component shortages, which have resulted in, and which we expect will continue to result in, extended lead times of certain products and significant disruption to our production schedule and predictability. In fact, certain of our contract manufacturers and component suppliers have de-committed from their scheduled delivery dates and product and component delivery commitments. We also have experienced and expect to continue to experience increased component costs, which have negatively impacted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effects of the COVID-19 pandemic continue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1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2021 Accelerate sales conferences, and has resulted in increased component and product manufacturing costs. The full impact of the COVID-19</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0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including based on a downturn in the economy and a possible recession and the effects of ongoing or increased inflation or possible stagflation in certain geographies, rising interest rates, geopolitical instability and uncertainty, or a reduction in information technology spending regardless of macro-economic conditions, the effects of the COVID-19 pandemic and the impact of the war in Ukraine, each could have a material adverse impacts on our business, financial condition and results of operations, including longer sales cycles, lower prices for our products and services, increased component costs, higher default rates among our channel partners, reduced unit sales and slower or declining growth.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and our operating margins may decline.</w:t>
      </w:r>
    </w:p>
    <w:p>
      <w:pPr>
        <w:spacing w:after="0" w:line="21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decrease in services revenue growth, our suspension of operations in Russia, increased competition, worldwide or regional economic challenges based on inflation or possible stagflation, a regional recession or a recession in the global economy, rising interest rates, the war in Ukraine, or other factors,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32% of our total net accounts receivable as of September 30, 2022.</w:t>
      </w:r>
    </w:p>
    <w:p>
      <w:pPr>
        <w:spacing w:after="0" w:line="17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21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Six distributor customers accounted for 68% of our total net accounts receivable in the aggregate as of September 30, 2022.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1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0"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 or delay collections and the related increase in free cash flow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4"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19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Enhanced Platform Technology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 highly skilled personnel will be critical to our future success.</w:t>
      </w:r>
    </w:p>
    <w:p>
      <w:pPr>
        <w:spacing w:after="0" w:line="25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had an aggregate of $989.9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9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40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 such as any economic or political instability caused by economic downturns and wars, such as the war in Ukraine and any expansion thereof;</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 particularly during the summer months or as a result of the COVID-19 pandemic and related travel and gathering restrictions;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75" w:lineRule="exact"/>
        <w:rPr>
          <w:rFonts w:ascii="Times New Roman" w:cs="Times New Roman" w:eastAsia="Times New Roman" w:hAnsi="Times New Roman"/>
          <w:sz w:val="18"/>
          <w:szCs w:val="18"/>
          <w:color w:val="auto"/>
        </w:rPr>
      </w:pPr>
    </w:p>
    <w:p>
      <w:pPr>
        <w:ind w:left="1300" w:right="160" w:hanging="644"/>
        <w:spacing w:after="0" w:line="239"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1"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17" w:lineRule="exact"/>
        <w:rPr>
          <w:rFonts w:ascii="Times New Roman" w:cs="Times New Roman" w:eastAsia="Times New Roman" w:hAnsi="Times New Roman"/>
          <w:sz w:val="18"/>
          <w:szCs w:val="18"/>
          <w:color w:val="auto"/>
        </w:rPr>
      </w:pPr>
    </w:p>
    <w:p>
      <w:pPr>
        <w:ind w:left="1300" w:right="96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U.S.;</w:t>
      </w:r>
    </w:p>
    <w:p>
      <w:pPr>
        <w:spacing w:after="0" w:line="175"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06"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 and any expansion thereof, and our suspension of operations in Russia have affected and may continue to affect our business.</w:t>
      </w:r>
    </w:p>
    <w:p>
      <w:pPr>
        <w:spacing w:after="0" w:line="256" w:lineRule="exact"/>
        <w:rPr>
          <w:sz w:val="20"/>
          <w:szCs w:val="20"/>
          <w:color w:val="auto"/>
        </w:rPr>
      </w:pPr>
    </w:p>
    <w:p>
      <w:pPr>
        <w:ind w:right="420" w:firstLine="648"/>
        <w:spacing w:after="0" w:line="329" w:lineRule="auto"/>
        <w:rPr>
          <w:sz w:val="20"/>
          <w:szCs w:val="20"/>
          <w:color w:val="auto"/>
        </w:rPr>
      </w:pPr>
      <w:r>
        <w:rPr>
          <w:rFonts w:ascii="Times New Roman" w:cs="Times New Roman" w:eastAsia="Times New Roman" w:hAnsi="Times New Roman"/>
          <w:sz w:val="18"/>
          <w:szCs w:val="18"/>
          <w:color w:val="auto"/>
        </w:rPr>
        <w:t>The war in Ukraine and resulting disruption are ongoing and likely to continue, and may expand into other regions. Some of the impacts and potential impacts of the war in Ukraine and possible expansion thereof include, but are not limited to:</w:t>
      </w:r>
    </w:p>
    <w:p>
      <w:pPr>
        <w:spacing w:after="0" w:line="14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sales and revenue based on our suspension of operations and sales in Russia;</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business planning and forecasting due to the uncertainty of the impact of the war on aspects of our business, such as on our distributors, resellers, end-customers and suppliers;</w:t>
      </w:r>
    </w:p>
    <w:p>
      <w:pPr>
        <w:spacing w:after="0" w:line="188"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disruption in the general demand environment, including Russia, Belarus, and Ukraine, which could reduce demand by distributors;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the diversion of management’s attention related to oversight of our international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Russian distributors to pay outstanding accounts receivables owed to us;</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retaliatory actions by Russia or other countries against us and other Western companies that chose to limit or remove business operations in the region;</w:t>
      </w:r>
    </w:p>
    <w:p>
      <w:pPr>
        <w:spacing w:after="0" w:line="18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data breach and other threats from ransomware, destructive malware, distributed denial-of-service attacks, as well as fraud, spam and fake accounts, cyber-attacks, or other illegal activity conducted generally by bad actors seeking to take advantage of us, our distributors, resellers or end-customers;</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devaluation of local currency or other inflationary effects caused by the impact of sanctions and other macroeconomic effects of the war;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and disruption of global financial markets and negative impact to global and regional economies.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Sanctions and trade control measures that have been implemented against Russia and Belarus, and others that may be implemented, are complex and still evolving. Our efforts to comply with such measures may be costly, time consuming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divert the attention of management. Any alleged or actual failure to comply with these measures as we work to suspend our business operations in Russia may subject us to government scrutiny, civil or criminal proceedings, sanctions, and other liabilities, which may have a material adverse effect on our international operations, financial condition, and results of operations.</w:t>
      </w:r>
    </w:p>
    <w:p>
      <w:pPr>
        <w:spacing w:after="0" w:line="20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of the above-mentioned factors could adversely affect our business, prospects, financial condition and results of operations. The extent and duration of the military action, sanctions, and resulting market disruptions are impossible to predict, but could be substantial. Any such disruptions may also magnify the impact of other risks described in this Quarterly Report on Form 10-Q.</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18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2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8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Enhanced Platform Technology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organizations and customers, which are subject to a number of regulatory requirements, challenges and risks.</w:t>
      </w:r>
    </w:p>
    <w:p>
      <w:pPr>
        <w:spacing w:after="0" w:line="1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50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has and in the future may require them to make operational changes in order to obtain the necessary approvals and certifications to sell into the government;</w:t>
      </w:r>
    </w:p>
    <w:p>
      <w:pPr>
        <w:spacing w:after="0" w:line="188"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88"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74"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 including U.S. General Service Administration regulations and certain third-party security certifications, and changes to such rules and regulations that may require us to make operational changes in order to obtain the necessary approvals to sell to government agencies.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high-cost manufacturing locations, and we may not manufacture all products in locations that meet the requirements of the U.S. government and may not successfully obtain all certifications or clearances required for certain U.S. government purchases.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Customers, Products and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Arista Networks, Inc., Aruba Networks, Inc., Barracuda Networks, Inc., Check Point Software Technologies Ltd., Cisco Systems, Inc. (“Cisco”), CrowdStrike Holdings, Inc., F5 Networks, Inc., Huawei Technologies Co., Ltd., Juniper Networks, Inc., Palo Alto Networks, Inc., SonicWALL, Inc., Sophos Group Plc, Trend Micro Incorporated, VMware, Inc. and Zscaler, Inc. (“Zscaler”).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such as the war in Ukraine, and critical infrastructure attacks, our business and financial results could be materially and adversely impacted.</w:t>
      </w:r>
    </w:p>
    <w:p>
      <w:pPr>
        <w:spacing w:after="0" w:line="23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global chip shortage caused by the COVID-19 pandemic and other factors affecting manufacturing capacity is having, and we expect to continue to have, an adverse impact on our ability to manage our inventory and to meet product demand in a timely fashion. We expect this shortage will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has resulted in challenges for us to obtain components and inventory, as well as increases to freight and shipping costs, and may result in a material adverse effect on our results of operations.</w:t>
      </w:r>
    </w:p>
    <w:p>
      <w:pPr>
        <w:spacing w:after="0" w:line="20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COVID-19 pandemic impacts on global supply chains are impacting our ability to procure parts required for our hardware appliances. Extended lead times have been introduced in delivering products for customer orders in a timely fashion.</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COVID-19 pandemic has continued to impact global supply chains for many organizations, including us, resulting in shortages of and delays in both raw materials and electronic components such as computer chips. Events in upstream supplies and component shortages are negatively impacting our ability to plan and deliver upon orders received in a timely fashion, and supply chain disruption, component shortages and shipping challenges are increasing our costs. These increased costs have resulted in us increasing the prices of our products in turn; such price increases may result in our products</w:t>
      </w:r>
    </w:p>
    <w:p>
      <w:pPr>
        <w:spacing w:after="0" w:line="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being less price-competitive in the market. If our price increases do not offset our increased costs based on COVID-19, our margins will be negatively impacted.</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and product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88"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Enhanced Platform Technology products successful;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1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87% of our hardware is manufactured in Taiwan. Any increase in tensions between China and Taiwan, including threats of military actions or escalation of military activities, could adversely affect our manufacturing operations in Taiwan.</w:t>
      </w:r>
    </w:p>
    <w:p>
      <w:pPr>
        <w:spacing w:after="0" w:line="20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proprietary SPUs, which are key to the performance of our appliances, are built by contract manufacturers including Renesas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Toshiba. These contract manufacturers use foundries operated by TSMC or Renesas on a purchase-order basis, and these foundries do not guarantee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and could delay orders or increase their pricing. Accordingly, the foundries are not obligated to continue to fulfill our supply requirements,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long lead time that a new foundry would require, we could suffer inventory shortages of our SPU as well as increased costs. In addition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SPU, we also purchase off-the-shelf ASICs or integrated circuits from vendors for which we have experienced, and may continue to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lead times. Our suppliers may also prioritize orders by other companies that order higher volumes or more profitable products. If any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materially delays its supply of ASICs or specific product models to us, or requires us to find an alternate supplier and we are not able to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on a timely and reasonable basis, or if these foundries materially increase their prices for fabrication of our SPU or ASICs, our business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harmed.</w:t>
      </w:r>
    </w:p>
    <w:p>
      <w:pPr>
        <w:spacing w:after="0" w:line="23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 or stagflation, rising interest rates or any economic recession.</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Inflation or possible stagflation, rising interest rates and any economic downturn or recession in certain regions or worldwide have the potential to adversely affect our liquidity, business, financial condition and results of operations by increasing our overall product cost structure or decreasing demand, and this can negatively impact our business by putting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downward pressure on growth or if we are unable to achieve the increases in product prices necessary to appropriately offset the additional costs sufficient to maintain margins. The existence of inflation in certain economies has resulted in, and may continue to result in, rising interest rates and capital costs, shipping costs, increased costs of labor, weakening exchange rates and other similar effects. As a result of inflation, we have experienced and may continue to experience component, product and shipping cost increases. Inflation, stagflation and any economic downturn or a recession may materially adversely affect our business, financial condition, results of operations and liquidity. And, although we take measures to mitigate risks such as those associated with inflation, there could be a difference between the timing of when these mitigating actions impact our results of operations and when the cost of inflation is incurred. Inflation, an economic downturn, a recession, and any other economic challenges may also adversely impact spending patterns by our distributors, resellers and end-customers.</w:t>
      </w:r>
    </w:p>
    <w:p>
      <w:pPr>
        <w:spacing w:after="0" w:line="2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For example, the global chip shortage caused by the COVID-19 pandemic and other factors affecting manufacturing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7"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such as the war in Ukraine, critical infrastructure attacks and other factors. Our reliance on a limited number of suppliers involves several additional risks, including:</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 our products or services, the failure of our products or services to detect or prevent a security breach or the misuse of our products could harm our reputation and divert resources.</w:t>
      </w:r>
    </w:p>
    <w:p>
      <w:pPr>
        <w:spacing w:after="0" w:line="172"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or complete or all customers will take steps to mitigate and certain customers may be negatively impacted. Additionally, any perception that our products have vulnerabilities, whether or not accurate, may cause reputation harm, particularly because we are a security company.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w:t>
      </w:r>
    </w:p>
    <w:p>
      <w:pPr>
        <w:spacing w:after="0" w:line="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technical failure, downtime or failures in general may temporarily or permanently expose our end-customers’ networks, leaving their networks unprotected against the latest security threats.</w:t>
      </w:r>
    </w:p>
    <w:p>
      <w:pPr>
        <w:spacing w:after="0" w:line="203"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2" w:lineRule="exact"/>
        <w:rPr>
          <w:sz w:val="20"/>
          <w:szCs w:val="20"/>
          <w:color w:val="auto"/>
        </w:rPr>
      </w:pPr>
    </w:p>
    <w:p>
      <w:pPr>
        <w:ind w:left="1300" w:right="120" w:hanging="644"/>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0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0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Moreover, business models based on a subscription software as a service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uncertainty concerning the future success of any of our particular SaaS business models and the future demand for our SaaS models by customers.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if we are unable to meet the demand to provide our services through a SaaS model, we may lose customers to competitors.</w:t>
      </w:r>
    </w:p>
    <w:p>
      <w:pPr>
        <w:spacing w:after="0" w:line="22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breaches or false identification of spam or spyware could adversely affect our business.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vendors and partners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9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189"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14"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3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0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9"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coordination throughout our organization. Failure to ensure appropriate systems, processes and controls and to manage any future growth effectively could result in increased costs and harm our reputation and results of operations.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1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97"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defend such lawsuits and any settlement payment or adverse result in such lawsuits could have a material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2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have analyzed whether there should be an OTTI of the value of our investment in Linksys and so far have determined there is no impairment. In evaluating OTTI, we considered factors such as duration and extent of the decline, Linksys’ financial performance, and our ability and intent to retain the investment for a duration sufficient to allow for any anticipated recovery of the investment’s market value. We intend to continue to analyze whether an impairment is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appropriate and may determine in the future that an impairment in the value of our investment in Linksys is other-than-temporary. If a decline in fair value is determined to be other-than-temporary, we will adjust the carrying value of the investment to its fair value and record the impairment expense in our consolidated statements of income. The cost basis of the investment is not adjusted for subsequent recoveries in fair value. We may experience additional volatility to our statements of operations due to the underlying operating results of Linksys or impairments of our Linksys investment. This volatility could be material to our results in any given quarter and may cause our stock price to decline.</w:t>
      </w:r>
    </w:p>
    <w:p>
      <w:pPr>
        <w:spacing w:after="0" w:line="20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206"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0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w:t>
      </w:r>
    </w:p>
    <w:p>
      <w:pPr>
        <w:spacing w:after="0" w:line="2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71"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2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 and Electronic Equipment (“EEE”). The laws and regulations to which we are subject include the EU RoHS Directive, EU Regulation 1907/2006</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have an adverse impact on the costs of components in our products.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w:t>
      </w:r>
    </w:p>
    <w:p>
      <w:pPr>
        <w:spacing w:after="0" w:line="20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EU</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United States.</w:t>
      </w:r>
    </w:p>
    <w:p>
      <w:pPr>
        <w:spacing w:after="0" w:line="209" w:lineRule="exact"/>
        <w:rPr>
          <w:sz w:val="20"/>
          <w:szCs w:val="20"/>
          <w:color w:val="auto"/>
        </w:rPr>
      </w:pPr>
    </w:p>
    <w:p>
      <w:pPr>
        <w:ind w:right="80" w:firstLine="648"/>
        <w:spacing w:after="0" w:line="228"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2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customers and other stakeholders concerning corporate responsibility, specifically related to environmental, social and governance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such as our commitment to target carbon neutrality on Scope 1 and Scope 2 emissions resulting from our owned facilities worldwide by 2030,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has also proposed a draft rule that requires climate disclosures in financial filings. To the extent the SEC proposal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valuation of inventory, accounting for business combinations, contingent liabilities and accounting for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 general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or exposure to additional tax liabilities.</w:t>
      </w:r>
    </w:p>
    <w:p>
      <w:pPr>
        <w:spacing w:after="0" w:line="25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2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2021, our internal controls over financial reporting were effective, we cannot predict the outcome of our testing in</w:t>
      </w:r>
    </w:p>
    <w:p>
      <w:pPr>
        <w:spacing w:after="0" w:line="5"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2022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2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8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if one or more of the analysts who cover us downgrades our stock or publishes inaccurate or unfavorable research about our business or if our results or forecasts fail to meet the expectations of research analysts and investors, our stock price could decline. If one or more of these analysts ceases coverage of our company or fails to publish reports on us regularly, demand for our stock could decrease, which could cause our stock price and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56"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nine months ended September 30, 2022, the closing price of our common stock ranged from $48.29 to $69.50 per share.</w:t>
      </w:r>
    </w:p>
    <w:p>
      <w:pPr>
        <w:spacing w:after="0" w:line="218" w:lineRule="exact"/>
        <w:rPr>
          <w:sz w:val="20"/>
          <w:szCs w:val="20"/>
          <w:color w:val="auto"/>
        </w:rPr>
      </w:pPr>
    </w:p>
    <w:p>
      <w:pPr>
        <w:ind w:right="160" w:firstLine="693"/>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$529.6 million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rising interest rates and weakening product demand caused by political instability, changes in trade agreements and conflicts, such as the war in Ukraine, could adversely affect our business and financial performance.</w:t>
      </w:r>
    </w:p>
    <w:p>
      <w:pPr>
        <w:spacing w:after="0" w:line="182"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and economic challenges caused by the COVID-19 pandemic, the economic downturn, any recession, inflation and rising interest rates has resulted, and may continue to result, in weakened demand for our products and services and difficulty in forecasting our financial results and managing inventory levels. The current economic uncertainty, and possibility of a recession, has negatively impacted the stock prices of many companies in 2022, including many companies in the technology sector.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22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under the Repurchase Program during the three months ended September 30, 2022 (in millions,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9"/>
        </w:trPr>
        <w:tc>
          <w:tcPr>
            <w:tcW w:w="4040" w:type="dxa"/>
            <w:vAlign w:val="bottom"/>
            <w:gridSpan w:val="2"/>
            <w:vMerge w:val="continue"/>
          </w:tcPr>
          <w:p>
            <w:pPr>
              <w:spacing w:after="0"/>
              <w:rPr>
                <w:sz w:val="12"/>
                <w:szCs w:val="12"/>
                <w:color w:val="auto"/>
              </w:rPr>
            </w:pPr>
          </w:p>
        </w:tc>
        <w:tc>
          <w:tcPr>
            <w:tcW w:w="1940" w:type="dxa"/>
            <w:vAlign w:val="bottom"/>
          </w:tcPr>
          <w:p>
            <w:pPr>
              <w:jc w:val="right"/>
              <w:ind w:right="556"/>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2022</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1"/>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4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10-Q for the quarter ended September 30, 2022 is formatted in inline XBRL.</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9" w:lineRule="exact"/>
        <w:rPr>
          <w:sz w:val="20"/>
          <w:szCs w:val="20"/>
          <w:color w:val="auto"/>
        </w:rPr>
      </w:pPr>
    </w:p>
    <w:p>
      <w:pPr>
        <w:ind w:left="140" w:hanging="132"/>
        <w:spacing w:after="0"/>
        <w:tabs>
          <w:tab w:leader="none" w:pos="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ind w:left="100" w:hanging="92"/>
        <w:spacing w:after="0" w:line="195" w:lineRule="auto"/>
        <w:tabs>
          <w:tab w:leader="none" w:pos="10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Executive Officer)</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6800" w:val="left"/>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9"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80"/>
          </w:cols>
          <w:pgMar w:left="320" w:top="279" w:right="3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September 30, 2022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5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Quarterly Report on Form 10-Q of Fortinet, Inc. for the quarter ended September 30, 2022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2022</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9"/>
    </w:lvl>
  </w:abstractNum>
  <w:abstractNum w:abstractNumId="10">
    <w:nsid w:val="2901D82"/>
    <w:multiLevelType w:val="hybridMultilevel"/>
    <w:lvl w:ilvl="0">
      <w:lvlJc w:val="left"/>
      <w:lvlText w:val="%1."/>
      <w:numFmt w:val="decimal"/>
      <w:start w:val="10"/>
    </w:lvl>
  </w:abstractNum>
  <w:abstractNum w:abstractNumId="11">
    <w:nsid w:val="3A95F874"/>
    <w:multiLevelType w:val="hybridMultilevel"/>
    <w:lvl w:ilvl="0">
      <w:lvlJc w:val="left"/>
      <w:lvlText w:val="%1."/>
      <w:numFmt w:val="decimal"/>
      <w:start w:val="1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4"/>
    </w:lvl>
  </w:abstractNum>
  <w:abstractNum w:abstractNumId="14">
    <w:nsid w:val="7C3DBD3D"/>
    <w:multiLevelType w:val="hybridMultilevel"/>
    <w:lvl w:ilvl="0">
      <w:lvlJc w:val="left"/>
      <w:lvlText w:val="%1."/>
      <w:numFmt w:val="decimal"/>
      <w:start w:val="15"/>
    </w:lvl>
  </w:abstractNum>
  <w:abstractNum w:abstractNumId="15">
    <w:nsid w:val="737B8DDC"/>
    <w:multiLevelType w:val="hybridMultilevel"/>
    <w:lvl w:ilvl="0">
      <w:lvlJc w:val="left"/>
      <w:lvlText w:val="%1."/>
      <w:numFmt w:val="decimal"/>
      <w:start w:val="16"/>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endash "/>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2022-11-07T16:53:43Z</dcterms:created>
  <dcterms:modified xsi:type="dcterms:W3CDTF">2022-11-07T16:53:43Z</dcterms:modified>
</cp:coreProperties>
</file>