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544195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509905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61" w:lineRule="exact"/>
        <w:rPr>
          <w:sz w:val="24"/>
          <w:szCs w:val="24"/>
          <w:color w:val="auto"/>
        </w:rPr>
      </w:pPr>
    </w:p>
    <w:p>
      <w:pPr>
        <w:ind w:left="3660" w:right="1660" w:hanging="3634"/>
        <w:spacing w:after="0" w:line="394" w:lineRule="auto"/>
        <w:tabs>
          <w:tab w:leader="none" w:pos="409"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-495935</wp:posOffset>
            </wp:positionV>
            <wp:extent cx="121285" cy="123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285" cy="1231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55"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-165735</wp:posOffset>
            </wp:positionV>
            <wp:extent cx="121285" cy="123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285" cy="123190"/>
                    </a:xfrm>
                    <a:prstGeom prst="rect">
                      <a:avLst/>
                    </a:prstGeom>
                    <a:noFill/>
                  </pic:spPr>
                </pic:pic>
              </a:graphicData>
            </a:graphic>
          </wp:anchor>
        </w:drawing>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2760" w:type="dxa"/>
            <w:vAlign w:val="bottom"/>
          </w:tcPr>
          <w:p>
            <w:pPr>
              <w:ind w:left="400"/>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3260" w:type="dxa"/>
            <w:vAlign w:val="bottom"/>
          </w:tcPr>
          <w:p>
            <w:pPr>
              <w:spacing w:after="0"/>
              <w:rPr>
                <w:sz w:val="17"/>
                <w:szCs w:val="17"/>
                <w:color w:val="auto"/>
              </w:rPr>
            </w:pPr>
          </w:p>
        </w:tc>
      </w:tr>
      <w:tr>
        <w:trPr>
          <w:trHeight w:val="384"/>
        </w:trPr>
        <w:tc>
          <w:tcPr>
            <w:tcW w:w="3400" w:type="dxa"/>
            <w:vAlign w:val="bottom"/>
          </w:tcPr>
          <w:p>
            <w:pPr>
              <w:spacing w:after="0"/>
              <w:rPr>
                <w:sz w:val="24"/>
                <w:szCs w:val="24"/>
                <w:color w:val="auto"/>
              </w:rPr>
            </w:pPr>
          </w:p>
        </w:tc>
        <w:tc>
          <w:tcPr>
            <w:tcW w:w="7340" w:type="dxa"/>
            <w:vAlign w:val="bottom"/>
            <w:gridSpan w:val="6"/>
          </w:tcPr>
          <w:p>
            <w:pPr>
              <w:jc w:val="center"/>
              <w:ind w:right="2817"/>
              <w:spacing w:after="0"/>
              <w:rPr>
                <w:sz w:val="20"/>
                <w:szCs w:val="20"/>
                <w:color w:val="auto"/>
              </w:rPr>
            </w:pPr>
            <w:r>
              <w:rPr>
                <w:rFonts w:ascii="Arial" w:cs="Arial" w:eastAsia="Arial" w:hAnsi="Arial"/>
                <w:sz w:val="18"/>
                <w:szCs w:val="18"/>
                <w:b w:val="1"/>
                <w:bCs w:val="1"/>
                <w:color w:val="auto"/>
                <w:w w:val="89"/>
              </w:rPr>
              <w:t>Commission file number: 001-34511</w:t>
            </w:r>
          </w:p>
        </w:tc>
      </w:tr>
      <w:tr>
        <w:trPr>
          <w:trHeight w:val="207"/>
        </w:trPr>
        <w:tc>
          <w:tcPr>
            <w:tcW w:w="3400" w:type="dxa"/>
            <w:vAlign w:val="bottom"/>
          </w:tcPr>
          <w:p>
            <w:pPr>
              <w:spacing w:after="0"/>
              <w:rPr>
                <w:sz w:val="18"/>
                <w:szCs w:val="18"/>
                <w:color w:val="auto"/>
              </w:rPr>
            </w:pPr>
          </w:p>
        </w:tc>
        <w:tc>
          <w:tcPr>
            <w:tcW w:w="4080" w:type="dxa"/>
            <w:vAlign w:val="bottom"/>
            <w:gridSpan w:val="5"/>
          </w:tcPr>
          <w:p>
            <w:pPr>
              <w:jc w:val="center"/>
              <w:ind w:left="291"/>
              <w:spacing w:after="0"/>
              <w:rPr>
                <w:sz w:val="20"/>
                <w:szCs w:val="20"/>
                <w:color w:val="auto"/>
              </w:rPr>
            </w:pPr>
            <w:r>
              <w:rPr>
                <w:rFonts w:ascii="Arial" w:cs="Arial" w:eastAsia="Arial" w:hAnsi="Arial"/>
                <w:sz w:val="18"/>
                <w:szCs w:val="18"/>
                <w:color w:val="auto"/>
                <w:w w:val="89"/>
              </w:rPr>
              <w:t>______________________________________</w:t>
            </w:r>
          </w:p>
        </w:tc>
        <w:tc>
          <w:tcPr>
            <w:tcW w:w="3260" w:type="dxa"/>
            <w:vAlign w:val="bottom"/>
          </w:tcPr>
          <w:p>
            <w:pPr>
              <w:spacing w:after="0"/>
              <w:rPr>
                <w:sz w:val="18"/>
                <w:szCs w:val="18"/>
                <w:color w:val="auto"/>
              </w:rPr>
            </w:pPr>
          </w:p>
        </w:tc>
      </w:tr>
      <w:tr>
        <w:trPr>
          <w:trHeight w:val="306"/>
        </w:trPr>
        <w:tc>
          <w:tcPr>
            <w:tcW w:w="3400" w:type="dxa"/>
            <w:vAlign w:val="bottom"/>
          </w:tcPr>
          <w:p>
            <w:pPr>
              <w:spacing w:after="0"/>
              <w:rPr>
                <w:sz w:val="24"/>
                <w:szCs w:val="24"/>
                <w:color w:val="auto"/>
              </w:rPr>
            </w:pPr>
          </w:p>
        </w:tc>
        <w:tc>
          <w:tcPr>
            <w:tcW w:w="3340" w:type="dxa"/>
            <w:vAlign w:val="bottom"/>
            <w:gridSpan w:val="3"/>
          </w:tcPr>
          <w:p>
            <w:pPr>
              <w:jc w:val="center"/>
              <w:ind w:left="1031"/>
              <w:spacing w:after="0"/>
              <w:rPr>
                <w:sz w:val="20"/>
                <w:szCs w:val="20"/>
                <w:color w:val="auto"/>
              </w:rPr>
            </w:pPr>
            <w:r>
              <w:rPr>
                <w:rFonts w:ascii="Arial" w:cs="Arial" w:eastAsia="Arial" w:hAnsi="Arial"/>
                <w:sz w:val="25"/>
                <w:szCs w:val="25"/>
                <w:b w:val="1"/>
                <w:bCs w:val="1"/>
                <w:color w:val="auto"/>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93"/>
        </w:trPr>
        <w:tc>
          <w:tcPr>
            <w:tcW w:w="3400" w:type="dxa"/>
            <w:vAlign w:val="bottom"/>
          </w:tcPr>
          <w:p>
            <w:pPr>
              <w:spacing w:after="0"/>
              <w:rPr>
                <w:sz w:val="16"/>
                <w:szCs w:val="16"/>
                <w:color w:val="auto"/>
              </w:rPr>
            </w:pPr>
          </w:p>
        </w:tc>
        <w:tc>
          <w:tcPr>
            <w:tcW w:w="7340" w:type="dxa"/>
            <w:vAlign w:val="bottom"/>
            <w:gridSpan w:val="6"/>
          </w:tcPr>
          <w:p>
            <w:pPr>
              <w:jc w:val="center"/>
              <w:ind w:right="2797"/>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06"/>
        </w:trPr>
        <w:tc>
          <w:tcPr>
            <w:tcW w:w="3400" w:type="dxa"/>
            <w:vAlign w:val="bottom"/>
          </w:tcPr>
          <w:p>
            <w:pPr>
              <w:spacing w:after="0"/>
              <w:rPr>
                <w:sz w:val="17"/>
                <w:szCs w:val="17"/>
                <w:color w:val="auto"/>
              </w:rPr>
            </w:pPr>
          </w:p>
        </w:tc>
        <w:tc>
          <w:tcPr>
            <w:tcW w:w="4080" w:type="dxa"/>
            <w:vAlign w:val="bottom"/>
            <w:gridSpan w:val="5"/>
          </w:tcPr>
          <w:p>
            <w:pPr>
              <w:jc w:val="center"/>
              <w:ind w:left="271"/>
              <w:spacing w:after="0"/>
              <w:rPr>
                <w:sz w:val="20"/>
                <w:szCs w:val="20"/>
                <w:color w:val="auto"/>
              </w:rPr>
            </w:pPr>
            <w:r>
              <w:rPr>
                <w:rFonts w:ascii="Arial" w:cs="Arial" w:eastAsia="Arial" w:hAnsi="Arial"/>
                <w:sz w:val="16"/>
                <w:szCs w:val="16"/>
                <w:color w:val="auto"/>
                <w:w w:val="91"/>
              </w:rPr>
              <w:t>______________________________________</w:t>
            </w:r>
          </w:p>
        </w:tc>
        <w:tc>
          <w:tcPr>
            <w:tcW w:w="3260" w:type="dxa"/>
            <w:vAlign w:val="bottom"/>
          </w:tcPr>
          <w:p>
            <w:pPr>
              <w:spacing w:after="0"/>
              <w:rPr>
                <w:sz w:val="17"/>
                <w:szCs w:val="17"/>
                <w:color w:val="auto"/>
              </w:rPr>
            </w:pPr>
          </w:p>
        </w:tc>
      </w:tr>
      <w:tr>
        <w:trPr>
          <w:trHeight w:val="762"/>
        </w:trPr>
        <w:tc>
          <w:tcPr>
            <w:tcW w:w="3400" w:type="dxa"/>
            <w:vAlign w:val="bottom"/>
          </w:tcPr>
          <w:p>
            <w:pPr>
              <w:jc w:val="center"/>
              <w:ind w:left="755"/>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1"/>
              </w:rPr>
              <w:t>77-0560389</w:t>
            </w:r>
          </w:p>
        </w:tc>
      </w:tr>
      <w:tr>
        <w:trPr>
          <w:trHeight w:val="202"/>
        </w:trPr>
        <w:tc>
          <w:tcPr>
            <w:tcW w:w="3400" w:type="dxa"/>
            <w:vAlign w:val="bottom"/>
          </w:tcPr>
          <w:p>
            <w:pPr>
              <w:jc w:val="center"/>
              <w:ind w:left="735"/>
              <w:spacing w:after="0"/>
              <w:rPr>
                <w:sz w:val="20"/>
                <w:szCs w:val="20"/>
                <w:color w:val="auto"/>
              </w:rPr>
            </w:pPr>
            <w:r>
              <w:rPr>
                <w:rFonts w:ascii="Arial" w:cs="Arial" w:eastAsia="Arial" w:hAnsi="Arial"/>
                <w:sz w:val="16"/>
                <w:szCs w:val="16"/>
                <w:b w:val="1"/>
                <w:bCs w:val="1"/>
                <w:color w:val="auto"/>
                <w:w w:val="91"/>
              </w:rPr>
              <w:t>(State or other jurisdiction of</w:t>
            </w:r>
          </w:p>
        </w:tc>
        <w:tc>
          <w:tcPr>
            <w:tcW w:w="2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3400" w:type="dxa"/>
            <w:vAlign w:val="bottom"/>
          </w:tcPr>
          <w:p>
            <w:pPr>
              <w:jc w:val="center"/>
              <w:ind w:left="755"/>
              <w:spacing w:after="0"/>
              <w:rPr>
                <w:sz w:val="20"/>
                <w:szCs w:val="20"/>
                <w:color w:val="auto"/>
              </w:rPr>
            </w:pPr>
            <w:r>
              <w:rPr>
                <w:rFonts w:ascii="Arial" w:cs="Arial" w:eastAsia="Arial" w:hAnsi="Arial"/>
                <w:sz w:val="16"/>
                <w:szCs w:val="16"/>
                <w:b w:val="1"/>
                <w:bCs w:val="1"/>
                <w:color w:val="auto"/>
                <w:w w:val="92"/>
              </w:rPr>
              <w:t>incorporation or organization)</w:t>
            </w:r>
          </w:p>
        </w:tc>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4"/>
              </w:rPr>
              <w:t>Identification No.)</w:t>
            </w:r>
          </w:p>
        </w:tc>
      </w:tr>
      <w:tr>
        <w:trPr>
          <w:trHeight w:val="622"/>
        </w:trPr>
        <w:tc>
          <w:tcPr>
            <w:tcW w:w="3400" w:type="dxa"/>
            <w:vAlign w:val="bottom"/>
          </w:tcPr>
          <w:p>
            <w:pPr>
              <w:spacing w:after="0"/>
              <w:rPr>
                <w:sz w:val="24"/>
                <w:szCs w:val="24"/>
                <w:color w:val="auto"/>
              </w:rPr>
            </w:pPr>
          </w:p>
        </w:tc>
        <w:tc>
          <w:tcPr>
            <w:tcW w:w="3340" w:type="dxa"/>
            <w:vAlign w:val="bottom"/>
            <w:gridSpan w:val="3"/>
          </w:tcPr>
          <w:p>
            <w:pPr>
              <w:jc w:val="center"/>
              <w:ind w:left="1031"/>
              <w:spacing w:after="0"/>
              <w:rPr>
                <w:sz w:val="20"/>
                <w:szCs w:val="20"/>
                <w:color w:val="auto"/>
              </w:rPr>
            </w:pPr>
            <w:r>
              <w:rPr>
                <w:rFonts w:ascii="Arial" w:cs="Arial" w:eastAsia="Arial" w:hAnsi="Arial"/>
                <w:sz w:val="18"/>
                <w:szCs w:val="18"/>
                <w:b w:val="1"/>
                <w:bCs w:val="1"/>
                <w:color w:val="auto"/>
                <w:w w:val="93"/>
              </w:rPr>
              <w:t>899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80"/>
        </w:trPr>
        <w:tc>
          <w:tcPr>
            <w:tcW w:w="3400" w:type="dxa"/>
            <w:vAlign w:val="bottom"/>
          </w:tcPr>
          <w:p>
            <w:pPr>
              <w:spacing w:after="0"/>
              <w:rPr>
                <w:sz w:val="15"/>
                <w:szCs w:val="15"/>
                <w:color w:val="auto"/>
              </w:rPr>
            </w:pPr>
          </w:p>
        </w:tc>
        <w:tc>
          <w:tcPr>
            <w:tcW w:w="3340" w:type="dxa"/>
            <w:vAlign w:val="bottom"/>
            <w:gridSpan w:val="3"/>
          </w:tcPr>
          <w:p>
            <w:pPr>
              <w:jc w:val="center"/>
              <w:ind w:left="1031"/>
              <w:spacing w:after="0" w:line="181" w:lineRule="exact"/>
              <w:rPr>
                <w:sz w:val="20"/>
                <w:szCs w:val="20"/>
                <w:color w:val="auto"/>
              </w:rPr>
            </w:pPr>
            <w:r>
              <w:rPr>
                <w:rFonts w:ascii="Arial" w:cs="Arial" w:eastAsia="Arial" w:hAnsi="Arial"/>
                <w:sz w:val="18"/>
                <w:szCs w:val="18"/>
                <w:b w:val="1"/>
                <w:bCs w:val="1"/>
                <w:color w:val="auto"/>
                <w:w w:val="91"/>
              </w:rPr>
              <w:t>Sunnyvale, California 94086</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210"/>
        </w:trPr>
        <w:tc>
          <w:tcPr>
            <w:tcW w:w="3400" w:type="dxa"/>
            <w:vAlign w:val="bottom"/>
          </w:tcPr>
          <w:p>
            <w:pPr>
              <w:spacing w:after="0"/>
              <w:rPr>
                <w:sz w:val="18"/>
                <w:szCs w:val="18"/>
                <w:color w:val="auto"/>
              </w:rPr>
            </w:pPr>
          </w:p>
        </w:tc>
        <w:tc>
          <w:tcPr>
            <w:tcW w:w="7340" w:type="dxa"/>
            <w:vAlign w:val="bottom"/>
            <w:gridSpan w:val="6"/>
          </w:tcPr>
          <w:p>
            <w:pPr>
              <w:jc w:val="center"/>
              <w:ind w:right="2817"/>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r>
      <w:tr>
        <w:trPr>
          <w:trHeight w:val="424"/>
        </w:trPr>
        <w:tc>
          <w:tcPr>
            <w:tcW w:w="3400" w:type="dxa"/>
            <w:vAlign w:val="bottom"/>
          </w:tcPr>
          <w:p>
            <w:pPr>
              <w:spacing w:after="0"/>
              <w:rPr>
                <w:sz w:val="24"/>
                <w:szCs w:val="24"/>
                <w:color w:val="auto"/>
              </w:rPr>
            </w:pPr>
          </w:p>
        </w:tc>
        <w:tc>
          <w:tcPr>
            <w:tcW w:w="3300" w:type="dxa"/>
            <w:vAlign w:val="bottom"/>
            <w:gridSpan w:val="2"/>
          </w:tcPr>
          <w:p>
            <w:pPr>
              <w:jc w:val="center"/>
              <w:ind w:left="1051"/>
              <w:spacing w:after="0"/>
              <w:rPr>
                <w:sz w:val="20"/>
                <w:szCs w:val="20"/>
                <w:color w:val="auto"/>
              </w:rPr>
            </w:pPr>
            <w:r>
              <w:rPr>
                <w:rFonts w:ascii="Arial" w:cs="Arial" w:eastAsia="Arial" w:hAnsi="Arial"/>
                <w:sz w:val="18"/>
                <w:szCs w:val="18"/>
                <w:b w:val="1"/>
                <w:bCs w:val="1"/>
                <w:color w:val="auto"/>
                <w:w w:val="90"/>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0"/>
        </w:trPr>
        <w:tc>
          <w:tcPr>
            <w:tcW w:w="3400" w:type="dxa"/>
            <w:vAlign w:val="bottom"/>
          </w:tcPr>
          <w:p>
            <w:pPr>
              <w:spacing w:after="0"/>
              <w:rPr>
                <w:sz w:val="18"/>
                <w:szCs w:val="18"/>
                <w:color w:val="auto"/>
              </w:rPr>
            </w:pPr>
          </w:p>
        </w:tc>
        <w:tc>
          <w:tcPr>
            <w:tcW w:w="7340" w:type="dxa"/>
            <w:vAlign w:val="bottom"/>
            <w:gridSpan w:val="6"/>
          </w:tcPr>
          <w:p>
            <w:pPr>
              <w:jc w:val="center"/>
              <w:ind w:right="2797"/>
              <w:spacing w:after="0"/>
              <w:rPr>
                <w:sz w:val="20"/>
                <w:szCs w:val="20"/>
                <w:color w:val="auto"/>
              </w:rPr>
            </w:pPr>
            <w:r>
              <w:rPr>
                <w:rFonts w:ascii="Arial" w:cs="Arial" w:eastAsia="Arial" w:hAnsi="Arial"/>
                <w:sz w:val="16"/>
                <w:szCs w:val="16"/>
                <w:b w:val="1"/>
                <w:bCs w:val="1"/>
                <w:color w:val="auto"/>
                <w:w w:val="90"/>
              </w:rPr>
              <w:t>(Registrant’s telephone number, including area code)</w:t>
            </w:r>
          </w:p>
        </w:tc>
      </w:tr>
      <w:tr>
        <w:trPr>
          <w:trHeight w:val="317"/>
        </w:trPr>
        <w:tc>
          <w:tcPr>
            <w:tcW w:w="674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Exchange Act:</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4"/>
        </w:trPr>
        <w:tc>
          <w:tcPr>
            <w:tcW w:w="3400" w:type="dxa"/>
            <w:vAlign w:val="bottom"/>
          </w:tcPr>
          <w:p>
            <w:pPr>
              <w:jc w:val="center"/>
              <w:ind w:left="175"/>
              <w:spacing w:after="0"/>
              <w:rPr>
                <w:sz w:val="20"/>
                <w:szCs w:val="20"/>
                <w:color w:val="auto"/>
              </w:rPr>
            </w:pPr>
            <w:r>
              <w:rPr>
                <w:rFonts w:ascii="Arial" w:cs="Arial" w:eastAsia="Arial" w:hAnsi="Arial"/>
                <w:sz w:val="18"/>
                <w:szCs w:val="18"/>
                <w:b w:val="1"/>
                <w:bCs w:val="1"/>
                <w:color w:val="auto"/>
                <w:w w:val="90"/>
              </w:rPr>
              <w:t>Common Stock, $0.001 Par Value</w:t>
            </w:r>
          </w:p>
        </w:tc>
        <w:tc>
          <w:tcPr>
            <w:tcW w:w="3340" w:type="dxa"/>
            <w:vAlign w:val="bottom"/>
            <w:gridSpan w:val="3"/>
          </w:tcPr>
          <w:p>
            <w:pPr>
              <w:jc w:val="center"/>
              <w:ind w:left="951"/>
              <w:spacing w:after="0"/>
              <w:rPr>
                <w:sz w:val="20"/>
                <w:szCs w:val="20"/>
                <w:color w:val="auto"/>
              </w:rPr>
            </w:pPr>
            <w:r>
              <w:rPr>
                <w:rFonts w:ascii="Arial" w:cs="Arial" w:eastAsia="Arial" w:hAnsi="Arial"/>
                <w:sz w:val="16"/>
                <w:szCs w:val="16"/>
                <w:b w:val="1"/>
                <w:bCs w:val="1"/>
                <w:color w:val="auto"/>
              </w:rPr>
              <w:t>FTNT</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jc w:val="center"/>
              <w:ind w:left="417"/>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0"/>
        </w:trPr>
        <w:tc>
          <w:tcPr>
            <w:tcW w:w="3400" w:type="dxa"/>
            <w:vAlign w:val="bottom"/>
          </w:tcPr>
          <w:p>
            <w:pPr>
              <w:jc w:val="center"/>
              <w:ind w:left="175"/>
              <w:spacing w:after="0"/>
              <w:rPr>
                <w:sz w:val="20"/>
                <w:szCs w:val="20"/>
                <w:color w:val="auto"/>
              </w:rPr>
            </w:pPr>
            <w:r>
              <w:rPr>
                <w:rFonts w:ascii="Arial" w:cs="Arial" w:eastAsia="Arial" w:hAnsi="Arial"/>
                <w:sz w:val="16"/>
                <w:szCs w:val="16"/>
                <w:b w:val="1"/>
                <w:bCs w:val="1"/>
                <w:color w:val="auto"/>
                <w:w w:val="90"/>
              </w:rPr>
              <w:t>(Title of each class)</w:t>
            </w:r>
          </w:p>
        </w:tc>
        <w:tc>
          <w:tcPr>
            <w:tcW w:w="3340" w:type="dxa"/>
            <w:vAlign w:val="bottom"/>
            <w:gridSpan w:val="3"/>
          </w:tcPr>
          <w:p>
            <w:pPr>
              <w:jc w:val="center"/>
              <w:ind w:left="951"/>
              <w:spacing w:after="0"/>
              <w:rPr>
                <w:sz w:val="20"/>
                <w:szCs w:val="20"/>
                <w:color w:val="auto"/>
              </w:rPr>
            </w:pPr>
            <w:r>
              <w:rPr>
                <w:rFonts w:ascii="Arial" w:cs="Arial" w:eastAsia="Arial" w:hAnsi="Arial"/>
                <w:sz w:val="16"/>
                <w:szCs w:val="16"/>
                <w:b w:val="1"/>
                <w:bCs w:val="1"/>
                <w:color w:val="auto"/>
                <w:w w:val="92"/>
              </w:rPr>
              <w:t>(Trading Symbol)</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60" w:type="dxa"/>
            <w:vAlign w:val="bottom"/>
          </w:tcPr>
          <w:p>
            <w:pPr>
              <w:jc w:val="center"/>
              <w:ind w:left="417"/>
              <w:spacing w:after="0"/>
              <w:rPr>
                <w:sz w:val="20"/>
                <w:szCs w:val="20"/>
                <w:color w:val="auto"/>
              </w:rPr>
            </w:pPr>
            <w:r>
              <w:rPr>
                <w:rFonts w:ascii="Arial" w:cs="Arial" w:eastAsia="Arial" w:hAnsi="Arial"/>
                <w:sz w:val="16"/>
                <w:szCs w:val="16"/>
                <w:b w:val="1"/>
                <w:bCs w:val="1"/>
                <w:color w:val="auto"/>
                <w:w w:val="89"/>
              </w:rPr>
              <w:t>(Name of exchange on which registered)</w:t>
            </w:r>
          </w:p>
        </w:tc>
      </w:tr>
    </w:tbl>
    <w:p>
      <w:pPr>
        <w:spacing w:after="0" w:line="329" w:lineRule="exact"/>
        <w:rPr>
          <w:sz w:val="24"/>
          <w:szCs w:val="24"/>
          <w:color w:val="auto"/>
        </w:rPr>
      </w:pPr>
    </w:p>
    <w:p>
      <w:pPr>
        <w:ind w:right="220"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-159385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96" w:lineRule="exact"/>
        <w:rPr>
          <w:sz w:val="24"/>
          <w:szCs w:val="24"/>
          <w:color w:val="auto"/>
        </w:rPr>
      </w:pPr>
    </w:p>
    <w:p>
      <w:pPr>
        <w:ind w:right="40" w:firstLine="283"/>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614045</wp:posOffset>
            </wp:positionH>
            <wp:positionV relativeFrom="paragraph">
              <wp:posOffset>-159385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96" w:lineRule="exact"/>
        <w:rPr>
          <w:sz w:val="24"/>
          <w:szCs w:val="24"/>
          <w:color w:val="auto"/>
        </w:rPr>
      </w:pPr>
    </w:p>
    <w:p>
      <w:pPr>
        <w:ind w:firstLine="28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38"/>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-503555</wp:posOffset>
            </wp:positionV>
            <wp:extent cx="104140"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140" cy="105410"/>
                    </a:xfrm>
                    <a:prstGeom prst="rect">
                      <a:avLst/>
                    </a:prstGeom>
                    <a:noFill/>
                  </pic:spPr>
                </pic:pic>
              </a:graphicData>
            </a:graphic>
          </wp:anchor>
        </w:drawing>
        <w:drawing>
          <wp:anchor simplePos="0" relativeHeight="251657728" behindDoc="1" locked="0" layoutInCell="0" allowOverlap="1">
            <wp:simplePos x="0" y="0"/>
            <wp:positionH relativeFrom="column">
              <wp:posOffset>6775450</wp:posOffset>
            </wp:positionH>
            <wp:positionV relativeFrom="paragraph">
              <wp:posOffset>-503555</wp:posOffset>
            </wp:positionV>
            <wp:extent cx="104140" cy="105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4140" cy="10541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-160655</wp:posOffset>
            </wp:positionV>
            <wp:extent cx="104140" cy="105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140" cy="105410"/>
                    </a:xfrm>
                    <a:prstGeom prst="rect">
                      <a:avLst/>
                    </a:prstGeom>
                    <a:noFill/>
                  </pic:spPr>
                </pic:pic>
              </a:graphicData>
            </a:graphic>
          </wp:anchor>
        </w:drawing>
        <w:drawing>
          <wp:anchor simplePos="0" relativeHeight="251657728" behindDoc="1" locked="0" layoutInCell="0" allowOverlap="1">
            <wp:simplePos x="0" y="0"/>
            <wp:positionH relativeFrom="column">
              <wp:posOffset>6775450</wp:posOffset>
            </wp:positionH>
            <wp:positionV relativeFrom="paragraph">
              <wp:posOffset>-332105</wp:posOffset>
            </wp:positionV>
            <wp:extent cx="104140" cy="105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4140" cy="105410"/>
                    </a:xfrm>
                    <a:prstGeom prst="rect">
                      <a:avLst/>
                    </a:prstGeom>
                    <a:noFill/>
                  </pic:spPr>
                </pic:pic>
              </a:graphicData>
            </a:graphic>
          </wp:anchor>
        </w:drawing>
        <w:drawing>
          <wp:anchor simplePos="0" relativeHeight="251657728" behindDoc="1" locked="0" layoutInCell="0" allowOverlap="1">
            <wp:simplePos x="0" y="0"/>
            <wp:positionH relativeFrom="column">
              <wp:posOffset>6775450</wp:posOffset>
            </wp:positionH>
            <wp:positionV relativeFrom="paragraph">
              <wp:posOffset>-160655</wp:posOffset>
            </wp:positionV>
            <wp:extent cx="104140" cy="105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07" w:lineRule="exact"/>
        <w:rPr>
          <w:sz w:val="20"/>
          <w:szCs w:val="20"/>
          <w:color w:val="auto"/>
        </w:rPr>
      </w:pPr>
    </w:p>
    <w:p>
      <w:pPr>
        <w:ind w:firstLine="283"/>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81" w:lineRule="exact"/>
        <w:rPr>
          <w:sz w:val="20"/>
          <w:szCs w:val="20"/>
          <w:color w:val="auto"/>
        </w:rPr>
      </w:pPr>
    </w:p>
    <w:p>
      <w:pPr>
        <w:ind w:left="300" w:right="1860"/>
        <w:spacing w:after="0" w:line="3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 xml:space="preserve"> As of October 30, 2020, there were 162,332,075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-379095</wp:posOffset>
            </wp:positionV>
            <wp:extent cx="104140" cy="105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9640" w:type="dxa"/>
            <w:vAlign w:val="bottom"/>
            <w:gridSpan w:val="6"/>
          </w:tcPr>
          <w:p>
            <w:pPr>
              <w:ind w:left="3220"/>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660" w:type="dxa"/>
            <w:vAlign w:val="bottom"/>
          </w:tcPr>
          <w:p>
            <w:pPr>
              <w:spacing w:after="0"/>
              <w:rPr>
                <w:sz w:val="24"/>
                <w:szCs w:val="24"/>
                <w:color w:val="auto"/>
              </w:rPr>
            </w:pPr>
          </w:p>
        </w:tc>
      </w:tr>
      <w:tr>
        <w:trPr>
          <w:trHeight w:val="49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6"/>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 (unaudited)</w:t>
              </w:r>
            </w:hyperlink>
          </w:p>
        </w:tc>
        <w:tc>
          <w:tcPr>
            <w:tcW w:w="6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r>
      <w:tr>
        <w:trPr>
          <w:trHeight w:val="229"/>
        </w:trPr>
        <w:tc>
          <w:tcPr>
            <w:tcW w:w="940" w:type="dxa"/>
            <w:vAlign w:val="bottom"/>
          </w:tcPr>
          <w:p>
            <w:pPr>
              <w:spacing w:after="0"/>
              <w:rPr>
                <w:sz w:val="19"/>
                <w:szCs w:val="19"/>
                <w:color w:val="auto"/>
              </w:rPr>
            </w:pPr>
          </w:p>
        </w:tc>
        <w:tc>
          <w:tcPr>
            <w:tcW w:w="9640" w:type="dxa"/>
            <w:vAlign w:val="bottom"/>
            <w:gridSpan w:val="6"/>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as of September 30, 2020 and December 31, 2019</w:t>
              </w:r>
            </w:hyperlink>
          </w:p>
        </w:tc>
        <w:tc>
          <w:tcPr>
            <w:tcW w:w="6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r>
      <w:tr>
        <w:trPr>
          <w:trHeight w:val="190"/>
        </w:trPr>
        <w:tc>
          <w:tcPr>
            <w:tcW w:w="940" w:type="dxa"/>
            <w:vAlign w:val="bottom"/>
          </w:tcPr>
          <w:p>
            <w:pPr>
              <w:spacing w:after="0"/>
              <w:rPr>
                <w:sz w:val="16"/>
                <w:szCs w:val="16"/>
                <w:color w:val="auto"/>
              </w:rPr>
            </w:pPr>
          </w:p>
        </w:tc>
        <w:tc>
          <w:tcPr>
            <w:tcW w:w="9640" w:type="dxa"/>
            <w:vAlign w:val="bottom"/>
            <w:gridSpan w:val="6"/>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Income for the Three and Nine Months Ended </w:t>
              </w:r>
              <w:r>
                <w:rPr>
                  <w:rFonts w:ascii="Arial" w:cs="Arial" w:eastAsia="Arial" w:hAnsi="Arial"/>
                  <w:sz w:val="18"/>
                  <w:szCs w:val="18"/>
                  <w:u w:val="single" w:color="auto"/>
                  <w:color w:val="0000FF"/>
                </w:rPr>
                <w:t>September 30, 2020 and 2019</w:t>
              </w:r>
            </w:hyperlink>
          </w:p>
        </w:tc>
        <w:tc>
          <w:tcPr>
            <w:tcW w:w="660" w:type="dxa"/>
            <w:vAlign w:val="bottom"/>
          </w:tcPr>
          <w:p>
            <w:pPr>
              <w:jc w:val="right"/>
              <w:spacing w:after="0" w:line="190"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r>
      <w:tr>
        <w:trPr>
          <w:trHeight w:val="20"/>
        </w:trPr>
        <w:tc>
          <w:tcPr>
            <w:tcW w:w="940" w:type="dxa"/>
            <w:vAlign w:val="bottom"/>
          </w:tcPr>
          <w:p>
            <w:pPr>
              <w:spacing w:after="0" w:line="20" w:lineRule="exact"/>
              <w:rPr>
                <w:sz w:val="1"/>
                <w:szCs w:val="1"/>
                <w:color w:val="auto"/>
              </w:rPr>
            </w:pPr>
          </w:p>
        </w:tc>
        <w:tc>
          <w:tcPr>
            <w:tcW w:w="57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6"/>
          </w:tcPr>
          <w:p>
            <w:pPr>
              <w:spacing w:after="0"/>
              <w:rPr>
                <w:rFonts w:ascii="Arial" w:cs="Arial" w:eastAsia="Arial" w:hAnsi="Arial"/>
                <w:sz w:val="18"/>
                <w:szCs w:val="18"/>
                <w:color w:val="0000FF"/>
                <w:w w:val="90"/>
              </w:rPr>
            </w:pPr>
            <w:hyperlink w:anchor="page5">
              <w:r>
                <w:rPr>
                  <w:rFonts w:ascii="Arial" w:cs="Arial" w:eastAsia="Arial" w:hAnsi="Arial"/>
                  <w:sz w:val="18"/>
                  <w:szCs w:val="18"/>
                  <w:u w:val="single" w:color="auto"/>
                  <w:color w:val="0000FF"/>
                  <w:w w:val="90"/>
                </w:rPr>
                <w:t>Condensed Consolidated Statements of Comprehensive Income for the Three and</w:t>
              </w:r>
              <w:r>
                <w:rPr>
                  <w:rFonts w:ascii="Arial" w:cs="Arial" w:eastAsia="Arial" w:hAnsi="Arial"/>
                  <w:sz w:val="18"/>
                  <w:szCs w:val="18"/>
                  <w:color w:val="0000FF"/>
                  <w:w w:val="90"/>
                </w:rPr>
                <w:t xml:space="preserve"> Nine Months Ended </w:t>
              </w:r>
              <w:r>
                <w:rPr>
                  <w:rFonts w:ascii="Arial" w:cs="Arial" w:eastAsia="Arial" w:hAnsi="Arial"/>
                  <w:sz w:val="18"/>
                  <w:szCs w:val="18"/>
                  <w:u w:val="single" w:color="auto"/>
                  <w:color w:val="0000FF"/>
                  <w:w w:val="90"/>
                </w:rPr>
                <w:t>September 30, 2020 and 2019</w:t>
              </w:r>
            </w:hyperlink>
          </w:p>
        </w:tc>
        <w:tc>
          <w:tcPr>
            <w:tcW w:w="6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r>
      <w:tr>
        <w:trPr>
          <w:trHeight w:val="20"/>
        </w:trPr>
        <w:tc>
          <w:tcPr>
            <w:tcW w:w="9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6"/>
          </w:tcPr>
          <w:p>
            <w:pPr>
              <w:spacing w:after="0"/>
              <w:rPr>
                <w:rFonts w:ascii="Arial" w:cs="Arial" w:eastAsia="Arial" w:hAnsi="Arial"/>
                <w:sz w:val="18"/>
                <w:szCs w:val="18"/>
                <w:color w:val="0000FF"/>
                <w:w w:val="92"/>
              </w:rPr>
            </w:pPr>
            <w:hyperlink w:anchor="page6">
              <w:r>
                <w:rPr>
                  <w:rFonts w:ascii="Arial" w:cs="Arial" w:eastAsia="Arial" w:hAnsi="Arial"/>
                  <w:sz w:val="18"/>
                  <w:szCs w:val="18"/>
                  <w:u w:val="single" w:color="auto"/>
                  <w:color w:val="0000FF"/>
                  <w:w w:val="92"/>
                </w:rPr>
                <w:t>Condensed Consolidated Statements of Stockholders’ Equity for the Three and</w:t>
              </w:r>
              <w:r>
                <w:rPr>
                  <w:rFonts w:ascii="Arial" w:cs="Arial" w:eastAsia="Arial" w:hAnsi="Arial"/>
                  <w:sz w:val="18"/>
                  <w:szCs w:val="18"/>
                  <w:color w:val="0000FF"/>
                  <w:w w:val="92"/>
                </w:rPr>
                <w:t xml:space="preserve"> Nine Months Ended </w:t>
              </w:r>
              <w:r>
                <w:rPr>
                  <w:rFonts w:ascii="Arial" w:cs="Arial" w:eastAsia="Arial" w:hAnsi="Arial"/>
                  <w:sz w:val="18"/>
                  <w:szCs w:val="18"/>
                  <w:u w:val="single" w:color="auto"/>
                  <w:color w:val="0000FF"/>
                  <w:w w:val="92"/>
                </w:rPr>
                <w:t>September 30, 2020 and 2019</w:t>
              </w:r>
            </w:hyperlink>
          </w:p>
        </w:tc>
        <w:tc>
          <w:tcPr>
            <w:tcW w:w="66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r>
      <w:tr>
        <w:trPr>
          <w:trHeight w:val="20"/>
        </w:trPr>
        <w:tc>
          <w:tcPr>
            <w:tcW w:w="940" w:type="dxa"/>
            <w:vAlign w:val="bottom"/>
          </w:tcPr>
          <w:p>
            <w:pPr>
              <w:spacing w:after="0" w:line="20" w:lineRule="exact"/>
              <w:rPr>
                <w:sz w:val="1"/>
                <w:szCs w:val="1"/>
                <w:color w:val="auto"/>
              </w:rPr>
            </w:pPr>
          </w:p>
        </w:tc>
        <w:tc>
          <w:tcPr>
            <w:tcW w:w="5760" w:type="dxa"/>
            <w:vAlign w:val="bottom"/>
            <w:tcBorders>
              <w:right w:val="single" w:sz="8" w:color="0000FF"/>
            </w:tcBorders>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 xml:space="preserve">Condensed Consolidated Statements of Cash Flows for the Nine Months Ended </w:t>
              </w:r>
              <w:r>
                <w:rPr>
                  <w:rFonts w:ascii="Arial" w:cs="Arial" w:eastAsia="Arial" w:hAnsi="Arial"/>
                  <w:sz w:val="18"/>
                  <w:szCs w:val="18"/>
                  <w:u w:val="single" w:color="auto"/>
                  <w:color w:val="0000FF"/>
                </w:rPr>
                <w:t>September 30, 2020 and 2019</w:t>
              </w:r>
            </w:hyperlink>
          </w:p>
        </w:tc>
        <w:tc>
          <w:tcPr>
            <w:tcW w:w="6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tc>
      </w:tr>
      <w:tr>
        <w:trPr>
          <w:trHeight w:val="249"/>
        </w:trPr>
        <w:tc>
          <w:tcPr>
            <w:tcW w:w="940" w:type="dxa"/>
            <w:vAlign w:val="bottom"/>
          </w:tcPr>
          <w:p>
            <w:pPr>
              <w:spacing w:after="0"/>
              <w:rPr>
                <w:sz w:val="21"/>
                <w:szCs w:val="21"/>
                <w:color w:val="auto"/>
              </w:rPr>
            </w:pPr>
          </w:p>
        </w:tc>
        <w:tc>
          <w:tcPr>
            <w:tcW w:w="5760" w:type="dxa"/>
            <w:vAlign w:val="bottom"/>
            <w:tcBorders>
              <w:top w:val="single" w:sz="8" w:color="0000FF"/>
            </w:tcBorders>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w:t>
              </w:r>
            </w:hyperlink>
          </w:p>
        </w:tc>
        <w:tc>
          <w:tcPr>
            <w:tcW w:w="3880" w:type="dxa"/>
            <w:vAlign w:val="bottom"/>
            <w:gridSpan w:val="5"/>
          </w:tcPr>
          <w:p>
            <w:pPr>
              <w:spacing w:after="0"/>
              <w:rPr>
                <w:sz w:val="21"/>
                <w:szCs w:val="21"/>
                <w:color w:val="auto"/>
              </w:rPr>
            </w:pPr>
          </w:p>
        </w:tc>
        <w:tc>
          <w:tcPr>
            <w:tcW w:w="66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r>
      <w:tr>
        <w:trPr>
          <w:trHeight w:val="230"/>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9640" w:type="dxa"/>
            <w:vAlign w:val="bottom"/>
            <w:gridSpan w:val="6"/>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27</w:t>
              </w:r>
            </w:hyperlink>
          </w:p>
        </w:tc>
      </w:tr>
      <w:tr>
        <w:trPr>
          <w:trHeight w:val="229"/>
        </w:trPr>
        <w:tc>
          <w:tcPr>
            <w:tcW w:w="940" w:type="dxa"/>
            <w:vAlign w:val="bottom"/>
          </w:tcPr>
          <w:p>
            <w:pPr>
              <w:ind w:left="20"/>
              <w:spacing w:after="0"/>
              <w:rPr>
                <w:sz w:val="20"/>
                <w:szCs w:val="20"/>
                <w:color w:val="auto"/>
              </w:rPr>
            </w:pPr>
            <w:r>
              <w:rPr>
                <w:rFonts w:ascii="Arial" w:cs="Arial" w:eastAsia="Arial" w:hAnsi="Arial"/>
                <w:sz w:val="18"/>
                <w:szCs w:val="18"/>
                <w:color w:val="auto"/>
              </w:rPr>
              <w:t>Item 3.</w:t>
            </w:r>
          </w:p>
        </w:tc>
        <w:tc>
          <w:tcPr>
            <w:tcW w:w="9640" w:type="dxa"/>
            <w:vAlign w:val="bottom"/>
            <w:gridSpan w:val="6"/>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Quantitative and Qualitative Disclosures about Market Risk</w:t>
              </w:r>
            </w:hyperlink>
          </w:p>
        </w:tc>
        <w:tc>
          <w:tcPr>
            <w:tcW w:w="66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43</w:t>
              </w:r>
            </w:hyperlink>
          </w:p>
        </w:tc>
      </w:tr>
      <w:tr>
        <w:trPr>
          <w:trHeight w:val="230"/>
        </w:trPr>
        <w:tc>
          <w:tcPr>
            <w:tcW w:w="940" w:type="dxa"/>
            <w:vAlign w:val="bottom"/>
          </w:tcPr>
          <w:p>
            <w:pPr>
              <w:ind w:left="20"/>
              <w:spacing w:after="0"/>
              <w:rPr>
                <w:sz w:val="20"/>
                <w:szCs w:val="20"/>
                <w:color w:val="auto"/>
              </w:rPr>
            </w:pPr>
            <w:r>
              <w:rPr>
                <w:rFonts w:ascii="Arial" w:cs="Arial" w:eastAsia="Arial" w:hAnsi="Arial"/>
                <w:sz w:val="18"/>
                <w:szCs w:val="18"/>
                <w:color w:val="auto"/>
              </w:rPr>
              <w:t>Item 4.</w:t>
            </w:r>
          </w:p>
        </w:tc>
        <w:tc>
          <w:tcPr>
            <w:tcW w:w="9640" w:type="dxa"/>
            <w:vAlign w:val="bottom"/>
            <w:gridSpan w:val="6"/>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Controls and Procedures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43</w:t>
              </w:r>
            </w:hyperlink>
          </w:p>
        </w:tc>
      </w:tr>
      <w:tr>
        <w:trPr>
          <w:trHeight w:val="500"/>
        </w:trPr>
        <w:tc>
          <w:tcPr>
            <w:tcW w:w="940" w:type="dxa"/>
            <w:vAlign w:val="bottom"/>
          </w:tcPr>
          <w:p>
            <w:pPr>
              <w:spacing w:after="0"/>
              <w:rPr>
                <w:sz w:val="24"/>
                <w:szCs w:val="24"/>
                <w:color w:val="auto"/>
              </w:rPr>
            </w:pPr>
          </w:p>
        </w:tc>
        <w:tc>
          <w:tcPr>
            <w:tcW w:w="9640" w:type="dxa"/>
            <w:vAlign w:val="bottom"/>
            <w:gridSpan w:val="6"/>
          </w:tcPr>
          <w:p>
            <w:pPr>
              <w:ind w:left="3380"/>
              <w:spacing w:after="0"/>
              <w:rPr>
                <w:sz w:val="20"/>
                <w:szCs w:val="20"/>
                <w:color w:val="auto"/>
              </w:rPr>
            </w:pPr>
            <w:r>
              <w:rPr>
                <w:rFonts w:ascii="Arial" w:cs="Arial" w:eastAsia="Arial" w:hAnsi="Arial"/>
                <w:sz w:val="18"/>
                <w:szCs w:val="18"/>
                <w:b w:val="1"/>
                <w:bCs w:val="1"/>
                <w:color w:val="auto"/>
              </w:rPr>
              <w:t>PART II—OTHER INFORMATION</w:t>
            </w:r>
          </w:p>
        </w:tc>
        <w:tc>
          <w:tcPr>
            <w:tcW w:w="660" w:type="dxa"/>
            <w:vAlign w:val="bottom"/>
          </w:tcPr>
          <w:p>
            <w:pPr>
              <w:spacing w:after="0"/>
              <w:rPr>
                <w:sz w:val="24"/>
                <w:szCs w:val="24"/>
                <w:color w:val="auto"/>
              </w:rPr>
            </w:pPr>
          </w:p>
        </w:tc>
      </w:tr>
      <w:tr>
        <w:trPr>
          <w:trHeight w:val="49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6"/>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Legal Proceedings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44</w:t>
              </w:r>
            </w:hyperlink>
          </w:p>
        </w:tc>
      </w:tr>
      <w:tr>
        <w:trPr>
          <w:trHeight w:val="230"/>
        </w:trPr>
        <w:tc>
          <w:tcPr>
            <w:tcW w:w="940" w:type="dxa"/>
            <w:vAlign w:val="bottom"/>
          </w:tcPr>
          <w:p>
            <w:pPr>
              <w:ind w:left="20"/>
              <w:spacing w:after="0"/>
              <w:rPr>
                <w:sz w:val="20"/>
                <w:szCs w:val="20"/>
                <w:color w:val="auto"/>
              </w:rPr>
            </w:pPr>
            <w:r>
              <w:rPr>
                <w:rFonts w:ascii="Arial" w:cs="Arial" w:eastAsia="Arial" w:hAnsi="Arial"/>
                <w:sz w:val="18"/>
                <w:szCs w:val="18"/>
                <w:color w:val="auto"/>
              </w:rPr>
              <w:t>Item 1A.</w:t>
            </w:r>
          </w:p>
        </w:tc>
        <w:tc>
          <w:tcPr>
            <w:tcW w:w="9640" w:type="dxa"/>
            <w:vAlign w:val="bottom"/>
            <w:gridSpan w:val="6"/>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Risk Factors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44</w:t>
              </w:r>
            </w:hyperlink>
          </w:p>
        </w:tc>
      </w:tr>
      <w:tr>
        <w:trPr>
          <w:trHeight w:val="230"/>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9640" w:type="dxa"/>
            <w:vAlign w:val="bottom"/>
            <w:gridSpan w:val="6"/>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Unregistered Sales of Equity Securities and Use of Proceeds</w:t>
              </w:r>
            </w:hyperlink>
          </w:p>
        </w:tc>
        <w:tc>
          <w:tcPr>
            <w:tcW w:w="66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74</w:t>
              </w:r>
            </w:hyperlink>
          </w:p>
        </w:tc>
      </w:tr>
      <w:tr>
        <w:trPr>
          <w:trHeight w:val="230"/>
        </w:trPr>
        <w:tc>
          <w:tcPr>
            <w:tcW w:w="940" w:type="dxa"/>
            <w:vAlign w:val="bottom"/>
          </w:tcPr>
          <w:p>
            <w:pPr>
              <w:ind w:left="20"/>
              <w:spacing w:after="0"/>
              <w:rPr>
                <w:sz w:val="20"/>
                <w:szCs w:val="20"/>
                <w:color w:val="auto"/>
              </w:rPr>
            </w:pPr>
            <w:r>
              <w:rPr>
                <w:rFonts w:ascii="Arial" w:cs="Arial" w:eastAsia="Arial" w:hAnsi="Arial"/>
                <w:sz w:val="18"/>
                <w:szCs w:val="18"/>
                <w:color w:val="auto"/>
              </w:rPr>
              <w:t>Item 5.</w:t>
            </w:r>
          </w:p>
        </w:tc>
        <w:tc>
          <w:tcPr>
            <w:tcW w:w="9640" w:type="dxa"/>
            <w:vAlign w:val="bottom"/>
            <w:gridSpan w:val="6"/>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Other Information</w:t>
              </w:r>
            </w:hyperlink>
          </w:p>
        </w:tc>
        <w:tc>
          <w:tcPr>
            <w:tcW w:w="66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74</w:t>
              </w:r>
            </w:hyperlink>
          </w:p>
        </w:tc>
      </w:tr>
      <w:tr>
        <w:trPr>
          <w:trHeight w:val="229"/>
        </w:trPr>
        <w:tc>
          <w:tcPr>
            <w:tcW w:w="940" w:type="dxa"/>
            <w:vAlign w:val="bottom"/>
          </w:tcPr>
          <w:p>
            <w:pPr>
              <w:ind w:left="20"/>
              <w:spacing w:after="0"/>
              <w:rPr>
                <w:sz w:val="20"/>
                <w:szCs w:val="20"/>
                <w:color w:val="auto"/>
              </w:rPr>
            </w:pPr>
            <w:r>
              <w:rPr>
                <w:rFonts w:ascii="Arial" w:cs="Arial" w:eastAsia="Arial" w:hAnsi="Arial"/>
                <w:sz w:val="18"/>
                <w:szCs w:val="18"/>
                <w:color w:val="auto"/>
              </w:rPr>
              <w:t>Item 6.</w:t>
            </w:r>
          </w:p>
        </w:tc>
        <w:tc>
          <w:tcPr>
            <w:tcW w:w="9640" w:type="dxa"/>
            <w:vAlign w:val="bottom"/>
            <w:gridSpan w:val="6"/>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Exhibits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82</w:t>
              </w:r>
            </w:hyperlink>
          </w:p>
        </w:tc>
      </w:tr>
      <w:tr>
        <w:trPr>
          <w:trHeight w:val="230"/>
        </w:trPr>
        <w:tc>
          <w:tcPr>
            <w:tcW w:w="940" w:type="dxa"/>
            <w:vAlign w:val="bottom"/>
          </w:tcPr>
          <w:p>
            <w:pPr>
              <w:spacing w:after="0"/>
              <w:rPr>
                <w:sz w:val="19"/>
                <w:szCs w:val="19"/>
                <w:color w:val="auto"/>
              </w:rPr>
            </w:pPr>
          </w:p>
        </w:tc>
        <w:tc>
          <w:tcPr>
            <w:tcW w:w="9640" w:type="dxa"/>
            <w:vAlign w:val="bottom"/>
            <w:gridSpan w:val="6"/>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Exhibit Index</w:t>
              </w:r>
            </w:hyperlink>
          </w:p>
        </w:tc>
        <w:tc>
          <w:tcPr>
            <w:tcW w:w="66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82</w:t>
              </w:r>
            </w:hyperlink>
          </w:p>
        </w:tc>
      </w:tr>
      <w:tr>
        <w:trPr>
          <w:trHeight w:val="230"/>
        </w:trPr>
        <w:tc>
          <w:tcPr>
            <w:tcW w:w="940" w:type="dxa"/>
            <w:vAlign w:val="bottom"/>
          </w:tcPr>
          <w:p>
            <w:pPr>
              <w:spacing w:after="0"/>
              <w:rPr>
                <w:sz w:val="20"/>
                <w:szCs w:val="20"/>
                <w:color w:val="auto"/>
              </w:rPr>
            </w:pPr>
          </w:p>
        </w:tc>
        <w:tc>
          <w:tcPr>
            <w:tcW w:w="9640" w:type="dxa"/>
            <w:vAlign w:val="bottom"/>
            <w:gridSpan w:val="6"/>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Signatures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83</w:t>
              </w:r>
            </w:hyperlink>
          </w:p>
        </w:tc>
      </w:tr>
      <w:tr>
        <w:trPr>
          <w:trHeight w:val="1694"/>
        </w:trPr>
        <w:tc>
          <w:tcPr>
            <w:tcW w:w="94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8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80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2,769.0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PROPERTY AND EQUIPMENT—NET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COSTS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OTHER INTANGIBLE ASSETS—NET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3,879.2</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0"/>
        </w:trPr>
        <w:tc>
          <w:tcPr>
            <w:tcW w:w="8060" w:type="dxa"/>
            <w:vAlign w:val="bottom"/>
          </w:tcPr>
          <w:p>
            <w:pPr>
              <w:ind w:left="46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payroll and compensation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1,455.8</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60" w:type="dxa"/>
            <w:vAlign w:val="bottom"/>
          </w:tcPr>
          <w:p>
            <w:pPr>
              <w:ind w:left="480"/>
              <w:spacing w:after="0" w:line="176" w:lineRule="exact"/>
              <w:rPr>
                <w:sz w:val="20"/>
                <w:szCs w:val="20"/>
                <w:color w:val="auto"/>
              </w:rPr>
            </w:pPr>
            <w:r>
              <w:rPr>
                <w:rFonts w:ascii="Arial" w:cs="Arial" w:eastAsia="Arial" w:hAnsi="Arial"/>
                <w:sz w:val="18"/>
                <w:szCs w:val="18"/>
                <w:color w:val="auto"/>
                <w:w w:val="88"/>
              </w:rPr>
              <w:t>Common stock, $0.001 par value—300 shares authorized; 162.3 and 171.7 shares issued and outstanding</w:t>
            </w: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at September 30, 2020 and December 31, 2019, respectively</w:t>
            </w: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0" w:type="dxa"/>
            <w:vAlign w:val="bottom"/>
          </w:tcPr>
          <w:p>
            <w:pPr>
              <w:spacing w:after="0"/>
              <w:rPr>
                <w:sz w:val="1"/>
                <w:szCs w:val="1"/>
                <w:color w:val="auto"/>
              </w:rPr>
            </w:pPr>
          </w:p>
        </w:tc>
      </w:tr>
      <w:tr>
        <w:trPr>
          <w:trHeight w:val="229"/>
        </w:trPr>
        <w:tc>
          <w:tcPr>
            <w:tcW w:w="8060" w:type="dxa"/>
            <w:vAlign w:val="bottom"/>
          </w:tcPr>
          <w:p>
            <w:pPr>
              <w:ind w:left="46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92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51"/>
              <w:spacing w:after="0" w:line="158" w:lineRule="exact"/>
              <w:rPr>
                <w:sz w:val="20"/>
                <w:szCs w:val="20"/>
                <w:color w:val="auto"/>
              </w:rPr>
            </w:pPr>
            <w:r>
              <w:rPr>
                <w:rFonts w:ascii="Arial" w:cs="Arial" w:eastAsia="Arial" w:hAnsi="Arial"/>
                <w:sz w:val="16"/>
                <w:szCs w:val="16"/>
                <w:b w:val="1"/>
                <w:bCs w:val="1"/>
                <w:color w:val="auto"/>
                <w:w w:val="96"/>
              </w:rPr>
              <w:t>September 30,</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1"/>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46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995.2</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1,544.9</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6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Total cost of revenue</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46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Total gross profit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1,179.5</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r>
        <w:trPr>
          <w:trHeight w:val="230"/>
        </w:trPr>
        <w:tc>
          <w:tcPr>
            <w:tcW w:w="494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intellectual property matter</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950.6</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INTEREST INCOME—NET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(Note 10):</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ind w:left="46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5"/>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20" w:type="dxa"/>
            <w:vAlign w:val="bottom"/>
            <w:gridSpan w:val="4"/>
          </w:tcPr>
          <w:p>
            <w:pPr>
              <w:jc w:val="right"/>
              <w:ind w:right="71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5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w w:val="93"/>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133"/>
              <w:spacing w:after="0" w:line="158" w:lineRule="exact"/>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unrealized gains (losses) on investments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6"/>
        </w:trPr>
        <w:tc>
          <w:tcPr>
            <w:tcW w:w="5160" w:type="dxa"/>
            <w:vAlign w:val="bottom"/>
          </w:tcPr>
          <w:p>
            <w:pPr>
              <w:ind w:left="340"/>
              <w:spacing w:after="0" w:line="176" w:lineRule="exact"/>
              <w:rPr>
                <w:sz w:val="20"/>
                <w:szCs w:val="20"/>
                <w:color w:val="auto"/>
              </w:rPr>
            </w:pPr>
            <w:r>
              <w:rPr>
                <w:rFonts w:ascii="Arial" w:cs="Arial" w:eastAsia="Arial" w:hAnsi="Arial"/>
                <w:sz w:val="18"/>
                <w:szCs w:val="18"/>
                <w:color w:val="auto"/>
                <w:w w:val="92"/>
              </w:rPr>
              <w:t>Less: tax provision (benefit) related to change in unrealized gains</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(losses) on investments</w:t>
            </w: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11"/>
          </w:tcPr>
          <w:p>
            <w:pPr>
              <w:jc w:val="center"/>
              <w:ind w:right="200"/>
              <w:spacing w:after="0"/>
              <w:rPr>
                <w:sz w:val="20"/>
                <w:szCs w:val="20"/>
                <w:color w:val="auto"/>
              </w:rPr>
            </w:pPr>
            <w:r>
              <w:rPr>
                <w:rFonts w:ascii="Arial" w:cs="Arial" w:eastAsia="Arial" w:hAnsi="Arial"/>
                <w:sz w:val="16"/>
                <w:szCs w:val="16"/>
                <w:b w:val="1"/>
                <w:bCs w:val="1"/>
                <w:color w:val="auto"/>
                <w:w w:val="92"/>
              </w:rPr>
              <w:t>Three Months Ended September 30, 2020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Pr>
          <w:p>
            <w:pPr>
              <w:spacing w:after="0"/>
              <w:rPr>
                <w:sz w:val="17"/>
                <w:szCs w:val="17"/>
                <w:color w:val="auto"/>
              </w:rPr>
            </w:pPr>
          </w:p>
        </w:tc>
        <w:tc>
          <w:tcPr>
            <w:tcW w:w="2100" w:type="dxa"/>
            <w:vAlign w:val="bottom"/>
            <w:gridSpan w:val="5"/>
          </w:tcPr>
          <w:p>
            <w:pPr>
              <w:ind w:left="48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Other</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100" w:type="dxa"/>
            <w:vAlign w:val="bottom"/>
            <w:gridSpan w:val="3"/>
            <w:vMerge w:val="continue"/>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Capital</w:t>
            </w:r>
          </w:p>
        </w:tc>
        <w:tc>
          <w:tcPr>
            <w:tcW w:w="2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Income</w:t>
            </w:r>
          </w:p>
        </w:tc>
        <w:tc>
          <w:tcPr>
            <w:tcW w:w="2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176"/>
        </w:trPr>
        <w:tc>
          <w:tcPr>
            <w:tcW w:w="462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Net unrealized loss on investments - net of tax</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BALANCE—September 30,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11"/>
          </w:tcPr>
          <w:p>
            <w:pPr>
              <w:jc w:val="center"/>
              <w:ind w:right="200"/>
              <w:spacing w:after="0"/>
              <w:rPr>
                <w:sz w:val="20"/>
                <w:szCs w:val="20"/>
                <w:color w:val="auto"/>
              </w:rPr>
            </w:pPr>
            <w:r>
              <w:rPr>
                <w:rFonts w:ascii="Arial" w:cs="Arial" w:eastAsia="Arial" w:hAnsi="Arial"/>
                <w:sz w:val="16"/>
                <w:szCs w:val="16"/>
                <w:b w:val="1"/>
                <w:bCs w:val="1"/>
                <w:color w:val="auto"/>
                <w:w w:val="92"/>
              </w:rPr>
              <w:t>Three Months Ended September 30, 2019</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Pr>
          <w:p>
            <w:pPr>
              <w:spacing w:after="0"/>
              <w:rPr>
                <w:sz w:val="17"/>
                <w:szCs w:val="17"/>
                <w:color w:val="auto"/>
              </w:rPr>
            </w:pPr>
          </w:p>
        </w:tc>
        <w:tc>
          <w:tcPr>
            <w:tcW w:w="2100" w:type="dxa"/>
            <w:vAlign w:val="bottom"/>
            <w:gridSpan w:val="5"/>
          </w:tcPr>
          <w:p>
            <w:pPr>
              <w:ind w:left="48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Retained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Earnings</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1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0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Capital</w:t>
            </w:r>
          </w:p>
        </w:tc>
        <w:tc>
          <w:tcPr>
            <w:tcW w:w="2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Income</w:t>
            </w: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Deficit)</w:t>
            </w:r>
          </w:p>
        </w:tc>
        <w:tc>
          <w:tcPr>
            <w:tcW w:w="18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BALANCE—June 30,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0" w:type="dxa"/>
            <w:vAlign w:val="bottom"/>
          </w:tcPr>
          <w:p>
            <w:pPr>
              <w:spacing w:after="0"/>
              <w:rPr>
                <w:sz w:val="1"/>
                <w:szCs w:val="1"/>
                <w:color w:val="auto"/>
              </w:rPr>
            </w:pPr>
          </w:p>
        </w:tc>
      </w:tr>
      <w:tr>
        <w:trPr>
          <w:trHeight w:val="176"/>
        </w:trPr>
        <w:tc>
          <w:tcPr>
            <w:tcW w:w="462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2019</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11"/>
          </w:tcPr>
          <w:p>
            <w:pPr>
              <w:ind w:left="640"/>
              <w:spacing w:after="0"/>
              <w:rPr>
                <w:sz w:val="20"/>
                <w:szCs w:val="20"/>
                <w:color w:val="auto"/>
              </w:rPr>
            </w:pPr>
            <w:r>
              <w:rPr>
                <w:rFonts w:ascii="Arial" w:cs="Arial" w:eastAsia="Arial" w:hAnsi="Arial"/>
                <w:sz w:val="16"/>
                <w:szCs w:val="16"/>
                <w:b w:val="1"/>
                <w:bCs w:val="1"/>
                <w:color w:val="auto"/>
              </w:rPr>
              <w:t>Nine Months Ended September 30, 2020</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Retained</w:t>
            </w:r>
          </w:p>
        </w:tc>
        <w:tc>
          <w:tcPr>
            <w:tcW w:w="200" w:type="dxa"/>
            <w:vAlign w:val="bottom"/>
          </w:tcPr>
          <w:p>
            <w:pPr>
              <w:spacing w:after="0"/>
              <w:rPr>
                <w:sz w:val="16"/>
                <w:szCs w:val="16"/>
                <w:color w:val="auto"/>
              </w:rPr>
            </w:pPr>
          </w:p>
        </w:tc>
        <w:tc>
          <w:tcPr>
            <w:tcW w:w="820" w:type="dxa"/>
            <w:vAlign w:val="bottom"/>
            <w:vMerge w:val="restart"/>
          </w:tcPr>
          <w:p>
            <w:pPr>
              <w:jc w:val="center"/>
              <w:ind w:right="9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2080" w:type="dxa"/>
            <w:vAlign w:val="bottom"/>
            <w:gridSpan w:val="4"/>
            <w:vMerge w:val="restart"/>
          </w:tcPr>
          <w:p>
            <w:pPr>
              <w:jc w:val="right"/>
              <w:ind w:right="412"/>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Earnings</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208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8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w w:val="98"/>
              </w:rPr>
              <w:t>(Accumulated</w:t>
            </w:r>
          </w:p>
        </w:tc>
        <w:tc>
          <w:tcPr>
            <w:tcW w:w="102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6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Deficit)</w:t>
            </w:r>
          </w:p>
        </w:tc>
        <w:tc>
          <w:tcPr>
            <w:tcW w:w="200" w:type="dxa"/>
            <w:vAlign w:val="bottom"/>
          </w:tcPr>
          <w:p>
            <w:pPr>
              <w:spacing w:after="0"/>
              <w:rPr>
                <w:sz w:val="18"/>
                <w:szCs w:val="18"/>
                <w:color w:val="auto"/>
              </w:rPr>
            </w:pPr>
          </w:p>
        </w:tc>
        <w:tc>
          <w:tcPr>
            <w:tcW w:w="820" w:type="dxa"/>
            <w:vAlign w:val="bottom"/>
          </w:tcPr>
          <w:p>
            <w:pPr>
              <w:jc w:val="center"/>
              <w:ind w:right="112"/>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2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1,342.4</w:t>
            </w:r>
          </w:p>
        </w:tc>
        <w:tc>
          <w:tcPr>
            <w:tcW w:w="0" w:type="dxa"/>
            <w:vAlign w:val="bottom"/>
          </w:tcPr>
          <w:p>
            <w:pPr>
              <w:spacing w:after="0"/>
              <w:rPr>
                <w:sz w:val="1"/>
                <w:szCs w:val="1"/>
                <w:color w:val="auto"/>
              </w:rPr>
            </w:pPr>
          </w:p>
        </w:tc>
      </w:tr>
      <w:tr>
        <w:trPr>
          <w:trHeight w:val="176"/>
        </w:trPr>
        <w:tc>
          <w:tcPr>
            <w:tcW w:w="468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2020</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6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1"/>
          </w:tcPr>
          <w:p>
            <w:pPr>
              <w:ind w:left="640"/>
              <w:spacing w:after="0"/>
              <w:rPr>
                <w:sz w:val="20"/>
                <w:szCs w:val="20"/>
                <w:color w:val="auto"/>
              </w:rPr>
            </w:pPr>
            <w:r>
              <w:rPr>
                <w:rFonts w:ascii="Arial" w:cs="Arial" w:eastAsia="Arial" w:hAnsi="Arial"/>
                <w:sz w:val="16"/>
                <w:szCs w:val="16"/>
                <w:b w:val="1"/>
                <w:bCs w:val="1"/>
                <w:color w:val="auto"/>
              </w:rPr>
              <w:t>Nine Months Ended September 30, 2019</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Retained</w:t>
            </w:r>
          </w:p>
        </w:tc>
        <w:tc>
          <w:tcPr>
            <w:tcW w:w="200" w:type="dxa"/>
            <w:vAlign w:val="bottom"/>
          </w:tcPr>
          <w:p>
            <w:pPr>
              <w:spacing w:after="0"/>
              <w:rPr>
                <w:sz w:val="16"/>
                <w:szCs w:val="16"/>
                <w:color w:val="auto"/>
              </w:rPr>
            </w:pPr>
          </w:p>
        </w:tc>
        <w:tc>
          <w:tcPr>
            <w:tcW w:w="820" w:type="dxa"/>
            <w:vAlign w:val="bottom"/>
            <w:vMerge w:val="restart"/>
          </w:tcPr>
          <w:p>
            <w:pPr>
              <w:jc w:val="center"/>
              <w:ind w:right="9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2080" w:type="dxa"/>
            <w:vAlign w:val="bottom"/>
            <w:gridSpan w:val="4"/>
            <w:vMerge w:val="restart"/>
          </w:tcPr>
          <w:p>
            <w:pPr>
              <w:jc w:val="right"/>
              <w:ind w:right="412"/>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Earnings</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208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08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w w:val="98"/>
              </w:rPr>
              <w:t>(Accumulated</w:t>
            </w:r>
          </w:p>
        </w:tc>
        <w:tc>
          <w:tcPr>
            <w:tcW w:w="102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6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Deficit)</w:t>
            </w:r>
          </w:p>
        </w:tc>
        <w:tc>
          <w:tcPr>
            <w:tcW w:w="200" w:type="dxa"/>
            <w:vAlign w:val="bottom"/>
          </w:tcPr>
          <w:p>
            <w:pPr>
              <w:spacing w:after="0"/>
              <w:rPr>
                <w:sz w:val="18"/>
                <w:szCs w:val="18"/>
                <w:color w:val="auto"/>
              </w:rPr>
            </w:pPr>
          </w:p>
        </w:tc>
        <w:tc>
          <w:tcPr>
            <w:tcW w:w="820" w:type="dxa"/>
            <w:vAlign w:val="bottom"/>
          </w:tcPr>
          <w:p>
            <w:pPr>
              <w:jc w:val="center"/>
              <w:ind w:right="112"/>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2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2018</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0" w:type="dxa"/>
            <w:vAlign w:val="bottom"/>
          </w:tcPr>
          <w:p>
            <w:pPr>
              <w:spacing w:after="0"/>
              <w:rPr>
                <w:sz w:val="1"/>
                <w:szCs w:val="1"/>
                <w:color w:val="auto"/>
              </w:rPr>
            </w:pPr>
          </w:p>
        </w:tc>
      </w:tr>
      <w:tr>
        <w:trPr>
          <w:trHeight w:val="176"/>
        </w:trPr>
        <w:tc>
          <w:tcPr>
            <w:tcW w:w="468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176"/>
        </w:trPr>
        <w:tc>
          <w:tcPr>
            <w:tcW w:w="4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Cumulative-effect adjustment from adoption of ASU 2018-</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02</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BALANCE—September 30,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8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3"/>
                <w:szCs w:val="13"/>
                <w:color w:val="auto"/>
              </w:rPr>
            </w:pPr>
          </w:p>
        </w:tc>
        <w:tc>
          <w:tcPr>
            <w:tcW w:w="1240" w:type="dxa"/>
            <w:vAlign w:val="bottom"/>
          </w:tcPr>
          <w:p>
            <w:pPr>
              <w:jc w:val="right"/>
              <w:ind w:right="128"/>
              <w:spacing w:after="0" w:line="158" w:lineRule="exact"/>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46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341.8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213.5</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86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130.4</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Amortization of deferred contract costs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86"/>
        </w:trPr>
        <w:tc>
          <w:tcPr>
            <w:tcW w:w="8340" w:type="dxa"/>
            <w:vAlign w:val="bottom"/>
          </w:tcPr>
          <w:p>
            <w:pPr>
              <w:ind w:left="86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Amortization of investment premiums (discounts)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6"/>
        </w:trPr>
        <w:tc>
          <w:tcPr>
            <w:tcW w:w="8340" w:type="dxa"/>
            <w:vAlign w:val="bottom"/>
          </w:tcPr>
          <w:p>
            <w:pPr>
              <w:ind w:left="86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1420"/>
              <w:spacing w:after="0"/>
              <w:rPr>
                <w:sz w:val="20"/>
                <w:szCs w:val="20"/>
                <w:color w:val="auto"/>
              </w:rPr>
            </w:pPr>
            <w:r>
              <w:rPr>
                <w:rFonts w:ascii="Arial" w:cs="Arial" w:eastAsia="Arial" w:hAnsi="Arial"/>
                <w:sz w:val="14"/>
                <w:szCs w:val="14"/>
                <w:color w:val="auto"/>
              </w:rPr>
              <w:t>Accounts receivable—net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Inventory</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86"/>
        </w:trPr>
        <w:tc>
          <w:tcPr>
            <w:tcW w:w="8340" w:type="dxa"/>
            <w:vAlign w:val="bottom"/>
          </w:tcPr>
          <w:p>
            <w:pPr>
              <w:ind w:left="142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Deferred contract costs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86"/>
        </w:trPr>
        <w:tc>
          <w:tcPr>
            <w:tcW w:w="8340" w:type="dxa"/>
            <w:vAlign w:val="bottom"/>
          </w:tcPr>
          <w:p>
            <w:pPr>
              <w:ind w:left="1420"/>
              <w:spacing w:after="0"/>
              <w:rPr>
                <w:sz w:val="20"/>
                <w:szCs w:val="20"/>
                <w:color w:val="auto"/>
              </w:rPr>
            </w:pPr>
            <w:r>
              <w:rPr>
                <w:rFonts w:ascii="Arial" w:cs="Arial" w:eastAsia="Arial" w:hAnsi="Arial"/>
                <w:sz w:val="14"/>
                <w:szCs w:val="14"/>
                <w:color w:val="auto"/>
              </w:rPr>
              <w:t>Deferred tax assets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6"/>
        </w:trPr>
        <w:tc>
          <w:tcPr>
            <w:tcW w:w="8340" w:type="dxa"/>
            <w:vAlign w:val="bottom"/>
          </w:tcPr>
          <w:p>
            <w:pPr>
              <w:ind w:left="142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Accrued liabilities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6"/>
        </w:trPr>
        <w:tc>
          <w:tcPr>
            <w:tcW w:w="8340" w:type="dxa"/>
            <w:vAlign w:val="bottom"/>
          </w:tcPr>
          <w:p>
            <w:pPr>
              <w:ind w:left="1420"/>
              <w:spacing w:after="0"/>
              <w:rPr>
                <w:sz w:val="20"/>
                <w:szCs w:val="20"/>
                <w:color w:val="auto"/>
              </w:rPr>
            </w:pPr>
            <w:r>
              <w:rPr>
                <w:rFonts w:ascii="Arial" w:cs="Arial" w:eastAsia="Arial" w:hAnsi="Arial"/>
                <w:sz w:val="14"/>
                <w:szCs w:val="14"/>
                <w:color w:val="auto"/>
              </w:rPr>
              <w:t>Accrued payroll and compensation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Other liabilities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8340" w:type="dxa"/>
            <w:vAlign w:val="bottom"/>
            <w:tcBorders>
              <w:bottom w:val="single" w:sz="8" w:color="CCEEFF"/>
            </w:tcBorders>
          </w:tcPr>
          <w:p>
            <w:pPr>
              <w:ind w:left="1420"/>
              <w:spacing w:after="0"/>
              <w:rPr>
                <w:sz w:val="20"/>
                <w:szCs w:val="20"/>
                <w:color w:val="auto"/>
              </w:rPr>
            </w:pPr>
            <w:r>
              <w:rPr>
                <w:rFonts w:ascii="Arial" w:cs="Arial" w:eastAsia="Arial" w:hAnsi="Arial"/>
                <w:sz w:val="14"/>
                <w:szCs w:val="14"/>
                <w:color w:val="auto"/>
              </w:rPr>
              <w:t>Deferred revenue</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255.7</w:t>
            </w: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ind w:left="18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617.6</w:t>
            </w:r>
          </w:p>
        </w:tc>
        <w:tc>
          <w:tcPr>
            <w:tcW w:w="0" w:type="dxa"/>
            <w:vAlign w:val="bottom"/>
          </w:tcPr>
          <w:p>
            <w:pPr>
              <w:spacing w:after="0"/>
              <w:rPr>
                <w:sz w:val="1"/>
                <w:szCs w:val="1"/>
                <w:color w:val="auto"/>
              </w:rPr>
            </w:pPr>
          </w:p>
        </w:tc>
      </w:tr>
      <w:tr>
        <w:trPr>
          <w:trHeight w:val="166"/>
        </w:trPr>
        <w:tc>
          <w:tcPr>
            <w:tcW w:w="83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Purchases of investments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(1,072.4)</w:t>
            </w:r>
          </w:p>
        </w:tc>
        <w:tc>
          <w:tcPr>
            <w:tcW w:w="0" w:type="dxa"/>
            <w:vAlign w:val="bottom"/>
          </w:tcPr>
          <w:p>
            <w:pPr>
              <w:spacing w:after="0"/>
              <w:rPr>
                <w:sz w:val="1"/>
                <w:szCs w:val="1"/>
                <w:color w:val="auto"/>
              </w:rPr>
            </w:pPr>
          </w:p>
        </w:tc>
      </w:tr>
      <w:tr>
        <w:trPr>
          <w:trHeight w:val="186"/>
        </w:trPr>
        <w:tc>
          <w:tcPr>
            <w:tcW w:w="8340" w:type="dxa"/>
            <w:vAlign w:val="bottom"/>
          </w:tcPr>
          <w:p>
            <w:pPr>
              <w:ind w:left="460"/>
              <w:spacing w:after="0"/>
              <w:rPr>
                <w:sz w:val="20"/>
                <w:szCs w:val="20"/>
                <w:color w:val="auto"/>
              </w:rPr>
            </w:pPr>
            <w:r>
              <w:rPr>
                <w:rFonts w:ascii="Arial" w:cs="Arial" w:eastAsia="Arial" w:hAnsi="Arial"/>
                <w:sz w:val="14"/>
                <w:szCs w:val="14"/>
                <w:color w:val="auto"/>
              </w:rPr>
              <w:t>Sales of investments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Maturities of investments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695.0</w:t>
            </w:r>
          </w:p>
        </w:tc>
        <w:tc>
          <w:tcPr>
            <w:tcW w:w="0" w:type="dxa"/>
            <w:vAlign w:val="bottom"/>
          </w:tcPr>
          <w:p>
            <w:pPr>
              <w:spacing w:after="0"/>
              <w:rPr>
                <w:sz w:val="1"/>
                <w:szCs w:val="1"/>
                <w:color w:val="auto"/>
              </w:rPr>
            </w:pPr>
          </w:p>
        </w:tc>
      </w:tr>
      <w:tr>
        <w:trPr>
          <w:trHeight w:val="186"/>
        </w:trPr>
        <w:tc>
          <w:tcPr>
            <w:tcW w:w="8340" w:type="dxa"/>
            <w:vAlign w:val="bottom"/>
          </w:tcPr>
          <w:p>
            <w:pPr>
              <w:ind w:left="46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Payments made in connection with business combination, net of cash acquired</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3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ind w:left="184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(402.7)</w:t>
            </w:r>
          </w:p>
        </w:tc>
        <w:tc>
          <w:tcPr>
            <w:tcW w:w="0" w:type="dxa"/>
            <w:vAlign w:val="bottom"/>
          </w:tcPr>
          <w:p>
            <w:pPr>
              <w:spacing w:after="0"/>
              <w:rPr>
                <w:sz w:val="1"/>
                <w:szCs w:val="1"/>
                <w:color w:val="auto"/>
              </w:rPr>
            </w:pPr>
          </w:p>
        </w:tc>
      </w:tr>
      <w:tr>
        <w:trPr>
          <w:trHeight w:val="166"/>
        </w:trPr>
        <w:tc>
          <w:tcPr>
            <w:tcW w:w="83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Repurchase and retirement of common stock</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86"/>
        </w:trPr>
        <w:tc>
          <w:tcPr>
            <w:tcW w:w="8340" w:type="dxa"/>
            <w:vAlign w:val="bottom"/>
          </w:tcPr>
          <w:p>
            <w:pPr>
              <w:ind w:left="460"/>
              <w:spacing w:after="0"/>
              <w:rPr>
                <w:sz w:val="20"/>
                <w:szCs w:val="20"/>
                <w:color w:val="auto"/>
              </w:rPr>
            </w:pPr>
            <w:r>
              <w:rPr>
                <w:rFonts w:ascii="Arial" w:cs="Arial" w:eastAsia="Arial" w:hAnsi="Arial"/>
                <w:sz w:val="14"/>
                <w:szCs w:val="14"/>
                <w:color w:val="auto"/>
              </w:rPr>
              <w:t>Proceeds from issuance of common stock</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Taxes paid related to net share settlement of equity awards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86"/>
        </w:trPr>
        <w:tc>
          <w:tcPr>
            <w:tcW w:w="8340" w:type="dxa"/>
            <w:vAlign w:val="bottom"/>
          </w:tcPr>
          <w:p>
            <w:pPr>
              <w:ind w:left="460"/>
              <w:spacing w:after="0"/>
              <w:rPr>
                <w:sz w:val="20"/>
                <w:szCs w:val="20"/>
                <w:color w:val="auto"/>
              </w:rPr>
            </w:pPr>
            <w:r>
              <w:rPr>
                <w:rFonts w:ascii="Arial" w:cs="Arial" w:eastAsia="Arial" w:hAnsi="Arial"/>
                <w:sz w:val="14"/>
                <w:szCs w:val="14"/>
                <w:color w:val="auto"/>
              </w:rPr>
              <w:t>Payments of debt assumed in connection with business combination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340" w:type="dxa"/>
            <w:vAlign w:val="bottom"/>
            <w:tcBorders>
              <w:bottom w:val="single" w:sz="8" w:color="CCEEFF"/>
            </w:tcBorders>
          </w:tcPr>
          <w:p>
            <w:pPr>
              <w:ind w:left="1840"/>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(151.8)</w:t>
            </w: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8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EQUIVALENTS—Beginning of period</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1,112.4</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ind w:left="460"/>
              <w:spacing w:after="0"/>
              <w:rPr>
                <w:sz w:val="20"/>
                <w:szCs w:val="20"/>
                <w:color w:val="auto"/>
              </w:rPr>
            </w:pPr>
            <w:r>
              <w:rPr>
                <w:rFonts w:ascii="Arial" w:cs="Arial" w:eastAsia="Arial" w:hAnsi="Arial"/>
                <w:sz w:val="14"/>
                <w:szCs w:val="14"/>
                <w:color w:val="auto"/>
              </w:rPr>
              <w:t>Cash paid to settle liability incurred for repurchase of common stock</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NON-CASH INVESTING AND FINANCING ACTIVITIES:</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40" w:type="dxa"/>
            <w:vAlign w:val="bottom"/>
          </w:tcPr>
          <w:p>
            <w:pPr>
              <w:ind w:left="46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Liability for purchase of property and equipment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ind w:left="460"/>
              <w:spacing w:after="0"/>
              <w:rPr>
                <w:sz w:val="20"/>
                <w:szCs w:val="20"/>
                <w:color w:val="auto"/>
              </w:rPr>
            </w:pPr>
            <w:r>
              <w:rPr>
                <w:rFonts w:ascii="Arial" w:cs="Arial" w:eastAsia="Arial" w:hAnsi="Arial"/>
                <w:sz w:val="14"/>
                <w:szCs w:val="14"/>
                <w:color w:val="auto"/>
              </w:rPr>
              <w:t>Liability incurred for repurchase of common stock</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unaudited condensed consolidated financial statements of Fortinet, Inc.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2019, contained in our Annual Report on Form 10-K filed with the SEC on February 26, 2020. In the opinion of management, all adjustments, which includes normal recurring adjustments, considered necessary for a fair presentation have been included. All intercompany balances, transactions and cash flows have been eliminated. The results of operations for the three and nine months ended September 30, 2020 are not necessarily indicative of the results for the full year or for any future periods. The condensed consolidated balance sheet as of December 31, 2019 is derived from the audited consolidated financial statements for the year ended December 31, 2019. For 2020, the amounts previously reported as Income taxes payable are included in Accrued liabilities. Prior periods have been reclassified to conform with current period presentation.</w:t>
      </w:r>
    </w:p>
    <w:p>
      <w:pPr>
        <w:spacing w:after="0" w:line="213"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material changes to our significant accounting policies as of and for the three and nine months ended September 30, 2020.</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2016-13—Financial Instruments—Credit Losses (Topic 326): Measurement of Credit Losses on Financial Instruments (“Topic 326”), which provides guidance on how an entity should measure credit losses on financial instruments. The standard replaces the existing incurred loss model with an expected credit loss model for financial assets measured at amortized cost, including trade receivables, and requires that credit losses on available-for-sale debt securities be presented as an allowance rather than as a write-down. The new approach to estimating credit losses (referred to as the current expected credit losses model) generally accelerates recognition of credit losses. We adopted Topic 326 on January 1, 2020 using the modified retrospective method. The adoption of this standard did not have a material impact on our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w:t>
      </w:r>
    </w:p>
    <w:p>
      <w:pPr>
        <w:spacing w:after="0" w:line="252"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In August 2018, the FASB issued ASU 2018-15—Intangibles—Goodwill and Other—Internal-Use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Accounting Standards Codification (“ASC”) Topic 350, Intangibles—Goodwill and Other, to determine which implementation costs to capitalize as assets or expense as incurred. We adopted ASU 2018-15 on January 1, 2020. The adoption of this standard did not have a material impact on our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August 2018, the FASB issued ASU 2018-13—Fair Value Measurement (Topic 820): Disclosure Framework—Changes to the Disclosure Requirements for Fair Value Measurement, which eliminates, adds and modifies certain disclosure requirements for fair value measurements in ASC 820, Fair Value Measurement, as part of its disclosure framework project. We adopted ASU 2018-13 on January 1, 2020. The adoption of this standard did not have a material impact on our disclosures.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In December 2019, the FASB issued ASU 2019-12—Income Taxes (Topic 740): Simplifying the Accounting for Income Taxes. The amendments in ASU 2019-12 simplify the accounting for income taxes by removing certain exceptions to the general principles in Topic 740. The amendments also improve consistent application and simplification of GAAP for other areas of Topic 740 by clarifying and amending existing guidance. ASU 2019-12 is effective for us beginning on January 1, 2021. We are currently evaluating the impact of ASU 2019-12 on our condensed consolidated financial statements.</w:t>
      </w:r>
    </w:p>
    <w:p>
      <w:pPr>
        <w:spacing w:after="0" w:line="178"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IMMATERIAL CORRECTION OF PRIOR PERIOD FINANCIAL STATEMENTS</w:t>
      </w:r>
    </w:p>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Subsequent to the issuance of our condensed consolidated financial statements for the period ended June 30, 2020, we identified an immaterial error related to the commencement of revenue recognition for certain FortiCare standalone service contracts. Rather than commencing recognition upon end user registration, we should have begun to recognize revenue over the service period when control had passed to the distributor which we have determined is our customer. We assessed the effect of this correction, individually and in the aggregate, on prior periods’ financial statements in accordance with the SEC’s Staff Accounting Bulletins No. 99 and 108 and, based on an analysis of quantitative and qualitative factors, determined that the correction was not individually material to any of our prior interim or annual consolidated financial statements.</w:t>
      </w:r>
    </w:p>
    <w:p>
      <w:pPr>
        <w:spacing w:after="0" w:line="2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financial information contained in the accompanying notes to these condensed consolidated financial statements has been revised to reflect the correction of this error.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corrections to our condensed consolidated balance sheet as of December 31, 2019 were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 2019</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20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Corrections</w:t>
            </w:r>
          </w:p>
        </w:tc>
        <w:tc>
          <w:tcPr>
            <w:tcW w:w="280" w:type="dxa"/>
            <w:vAlign w:val="bottom"/>
          </w:tcPr>
          <w:p>
            <w:pPr>
              <w:spacing w:after="0"/>
              <w:rPr>
                <w:sz w:val="18"/>
                <w:szCs w:val="18"/>
                <w:color w:val="auto"/>
              </w:rPr>
            </w:pPr>
          </w:p>
        </w:tc>
        <w:tc>
          <w:tcPr>
            <w:tcW w:w="1580" w:type="dxa"/>
            <w:vAlign w:val="bottom"/>
          </w:tcPr>
          <w:p>
            <w:pPr>
              <w:jc w:val="right"/>
              <w:ind w:right="39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226.3</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3,879.2</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1,173.6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1,155.8</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1,455.8</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953.3</w:t>
            </w:r>
          </w:p>
        </w:tc>
      </w:tr>
      <w:tr>
        <w:trPr>
          <w:trHeight w:val="229"/>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2,536.8</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r>
      <w:tr>
        <w:trPr>
          <w:trHeight w:val="230"/>
        </w:trPr>
        <w:tc>
          <w:tcPr>
            <w:tcW w:w="546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1,321.9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1,342.4</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corrections to our condensed consolidated statements of income for the three and nine months ended September 30, 2019 were as follows (in millions, except per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6"/>
          </w:tcPr>
          <w:p>
            <w:pPr>
              <w:jc w:val="center"/>
              <w:ind w:left="1232"/>
              <w:spacing w:after="0"/>
              <w:rPr>
                <w:sz w:val="20"/>
                <w:szCs w:val="20"/>
                <w:color w:val="auto"/>
              </w:rPr>
            </w:pPr>
            <w:r>
              <w:rPr>
                <w:rFonts w:ascii="Arial" w:cs="Arial" w:eastAsia="Arial" w:hAnsi="Arial"/>
                <w:sz w:val="16"/>
                <w:szCs w:val="16"/>
                <w:b w:val="1"/>
                <w:bCs w:val="1"/>
                <w:color w:val="auto"/>
                <w:w w:val="91"/>
              </w:rPr>
              <w:t>Three Months Ended September 30, 2019</w:t>
            </w:r>
          </w:p>
        </w:tc>
        <w:tc>
          <w:tcPr>
            <w:tcW w:w="142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2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440" w:type="dxa"/>
            <w:vAlign w:val="bottom"/>
          </w:tcPr>
          <w:p>
            <w:pPr>
              <w:spacing w:after="0"/>
              <w:rPr>
                <w:sz w:val="18"/>
                <w:szCs w:val="18"/>
                <w:color w:val="auto"/>
              </w:rPr>
            </w:pPr>
          </w:p>
        </w:tc>
        <w:tc>
          <w:tcPr>
            <w:tcW w:w="1420" w:type="dxa"/>
            <w:vAlign w:val="bottom"/>
          </w:tcPr>
          <w:p>
            <w:pPr>
              <w:jc w:val="right"/>
              <w:ind w:right="391"/>
              <w:spacing w:after="0"/>
              <w:rPr>
                <w:sz w:val="20"/>
                <w:szCs w:val="20"/>
                <w:color w:val="auto"/>
              </w:rPr>
            </w:pPr>
            <w:r>
              <w:rPr>
                <w:rFonts w:ascii="Arial" w:cs="Arial" w:eastAsia="Arial" w:hAnsi="Arial"/>
                <w:sz w:val="16"/>
                <w:szCs w:val="16"/>
                <w:b w:val="1"/>
                <w:bCs w:val="1"/>
                <w:color w:val="auto"/>
                <w:w w:val="91"/>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351.0</w:t>
            </w:r>
          </w:p>
        </w:tc>
      </w:tr>
      <w:tr>
        <w:trPr>
          <w:trHeight w:val="229"/>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r>
      <w:tr>
        <w:trPr>
          <w:trHeight w:val="229"/>
        </w:trPr>
        <w:tc>
          <w:tcPr>
            <w:tcW w:w="5460" w:type="dxa"/>
            <w:vAlign w:val="bottom"/>
          </w:tcPr>
          <w:p>
            <w:pPr>
              <w:ind w:left="86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424.0</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(Note 10):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29"/>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321"/>
        </w:trPr>
        <w:tc>
          <w:tcPr>
            <w:tcW w:w="5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6"/>
          </w:tcPr>
          <w:p>
            <w:pPr>
              <w:jc w:val="center"/>
              <w:ind w:left="1232"/>
              <w:spacing w:after="0"/>
              <w:rPr>
                <w:sz w:val="20"/>
                <w:szCs w:val="20"/>
                <w:color w:val="auto"/>
              </w:rPr>
            </w:pPr>
            <w:r>
              <w:rPr>
                <w:rFonts w:ascii="Arial" w:cs="Arial" w:eastAsia="Arial" w:hAnsi="Arial"/>
                <w:sz w:val="16"/>
                <w:szCs w:val="16"/>
                <w:b w:val="1"/>
                <w:bCs w:val="1"/>
                <w:color w:val="auto"/>
                <w:w w:val="91"/>
              </w:rPr>
              <w:t>Nine Months Ended September 30, 2019</w:t>
            </w:r>
          </w:p>
        </w:tc>
        <w:tc>
          <w:tcPr>
            <w:tcW w:w="1420" w:type="dxa"/>
            <w:vAlign w:val="bottom"/>
            <w:tcBorders>
              <w:bottom w:val="single" w:sz="8" w:color="auto"/>
            </w:tcBorders>
          </w:tcPr>
          <w:p>
            <w:pPr>
              <w:spacing w:after="0"/>
              <w:rPr>
                <w:sz w:val="24"/>
                <w:szCs w:val="24"/>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2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440" w:type="dxa"/>
            <w:vAlign w:val="bottom"/>
          </w:tcPr>
          <w:p>
            <w:pPr>
              <w:spacing w:after="0"/>
              <w:rPr>
                <w:sz w:val="18"/>
                <w:szCs w:val="18"/>
                <w:color w:val="auto"/>
              </w:rPr>
            </w:pPr>
          </w:p>
        </w:tc>
        <w:tc>
          <w:tcPr>
            <w:tcW w:w="1420" w:type="dxa"/>
            <w:vAlign w:val="bottom"/>
          </w:tcPr>
          <w:p>
            <w:pPr>
              <w:jc w:val="right"/>
              <w:ind w:right="391"/>
              <w:spacing w:after="0"/>
              <w:rPr>
                <w:sz w:val="20"/>
                <w:szCs w:val="20"/>
                <w:color w:val="auto"/>
              </w:rPr>
            </w:pPr>
            <w:r>
              <w:rPr>
                <w:rFonts w:ascii="Arial" w:cs="Arial" w:eastAsia="Arial" w:hAnsi="Arial"/>
                <w:sz w:val="16"/>
                <w:szCs w:val="16"/>
                <w:b w:val="1"/>
                <w:bCs w:val="1"/>
                <w:color w:val="auto"/>
                <w:w w:val="91"/>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995.2</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1,544.9</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r>
      <w:tr>
        <w:trPr>
          <w:trHeight w:val="230"/>
        </w:trPr>
        <w:tc>
          <w:tcPr>
            <w:tcW w:w="5460" w:type="dxa"/>
            <w:vAlign w:val="bottom"/>
          </w:tcPr>
          <w:p>
            <w:pPr>
              <w:ind w:left="86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1,176.4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1,179.5</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254.6</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213.5</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(Note 10):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corrections to our condensed consolidated statements of cash flows for the nine months ended September 30, 2019 were as follows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6"/>
          </w:tcPr>
          <w:p>
            <w:pPr>
              <w:jc w:val="center"/>
              <w:ind w:left="1233"/>
              <w:spacing w:after="0"/>
              <w:rPr>
                <w:sz w:val="20"/>
                <w:szCs w:val="20"/>
                <w:color w:val="auto"/>
              </w:rPr>
            </w:pPr>
            <w:r>
              <w:rPr>
                <w:rFonts w:ascii="Arial" w:cs="Arial" w:eastAsia="Arial" w:hAnsi="Arial"/>
                <w:sz w:val="16"/>
                <w:szCs w:val="16"/>
                <w:b w:val="1"/>
                <w:bCs w:val="1"/>
                <w:color w:val="auto"/>
                <w:w w:val="91"/>
              </w:rPr>
              <w:t>Nine Months Ended September 30, 2019</w:t>
            </w:r>
          </w:p>
        </w:tc>
        <w:tc>
          <w:tcPr>
            <w:tcW w:w="1440" w:type="dxa"/>
            <w:vAlign w:val="bottom"/>
            <w:tcBorders>
              <w:bottom w:val="single" w:sz="8" w:color="auto"/>
            </w:tcBorders>
          </w:tcPr>
          <w:p>
            <w:pPr>
              <w:spacing w:after="0"/>
              <w:rPr>
                <w:sz w:val="18"/>
                <w:szCs w:val="18"/>
                <w:color w:val="auto"/>
              </w:rPr>
            </w:pPr>
          </w:p>
        </w:tc>
      </w:tr>
      <w:tr>
        <w:trPr>
          <w:trHeight w:val="210"/>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0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Corrections</w:t>
            </w:r>
          </w:p>
        </w:tc>
        <w:tc>
          <w:tcPr>
            <w:tcW w:w="400" w:type="dxa"/>
            <w:vAlign w:val="bottom"/>
          </w:tcPr>
          <w:p>
            <w:pPr>
              <w:spacing w:after="0"/>
              <w:rPr>
                <w:sz w:val="18"/>
                <w:szCs w:val="18"/>
                <w:color w:val="auto"/>
              </w:rPr>
            </w:pPr>
          </w:p>
        </w:tc>
        <w:tc>
          <w:tcPr>
            <w:tcW w:w="1440" w:type="dxa"/>
            <w:vAlign w:val="bottom"/>
          </w:tcPr>
          <w:p>
            <w:pPr>
              <w:jc w:val="right"/>
              <w:ind w:right="372"/>
              <w:spacing w:after="0"/>
              <w:rPr>
                <w:sz w:val="20"/>
                <w:szCs w:val="20"/>
                <w:color w:val="auto"/>
              </w:rPr>
            </w:pPr>
            <w:r>
              <w:rPr>
                <w:rFonts w:ascii="Arial" w:cs="Arial" w:eastAsia="Arial" w:hAnsi="Arial"/>
                <w:sz w:val="16"/>
                <w:szCs w:val="16"/>
                <w:b w:val="1"/>
                <w:bCs w:val="1"/>
                <w:color w:val="auto"/>
                <w:w w:val="95"/>
              </w:rPr>
              <w:t>As Corrected</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548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213.5</w:t>
            </w:r>
          </w:p>
        </w:tc>
      </w:tr>
      <w:tr>
        <w:trPr>
          <w:trHeight w:val="229"/>
        </w:trPr>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480" w:type="dxa"/>
            <w:vAlign w:val="bottom"/>
          </w:tcPr>
          <w:p>
            <w:pPr>
              <w:ind w:left="1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54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r>
      <w:tr>
        <w:trPr>
          <w:trHeight w:val="230"/>
        </w:trPr>
        <w:tc>
          <w:tcPr>
            <w:tcW w:w="5480" w:type="dxa"/>
            <w:vAlign w:val="bottom"/>
          </w:tcPr>
          <w:p>
            <w:pPr>
              <w:ind w:left="18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617.6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617.6</w:t>
            </w:r>
          </w:p>
        </w:tc>
      </w:tr>
    </w:tbl>
    <w:p>
      <w:pPr>
        <w:spacing w:after="0" w:line="30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results for the nine months ended September 30, 2020 include corrections to increase revenue, gross profit and operating income by $0.8 million and $2.1 million for the three months ended March 31, 2020 and June 30, 2020, respectively, and to increase net income by $0.6 million and $1.7 million for the three months ended March 31, 2020 and June 30, 2020, respectively. The correction did not change diluted net income per share for the three months ended March 31, 2020 but did increase diluted net income per share by $0.01 for the three months ended June 30, 2020. For all periods in which we corrected net income, we made corresponding corrections to net income and comprehensive income in our condensed consolidated statements of comprehensive income and to net income, retained earnings (accumulated deficit) and total stockholders’ equity in our condensed consolidated statements of stockholders’ equity.</w:t>
      </w:r>
    </w:p>
    <w:p>
      <w:pPr>
        <w:spacing w:after="0" w:line="21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sell cybersecurity solutions to a variety of organizations, such as enterprises, communication service providers, government organizations and small businesses. Our revenue consists of product and service revenue. Product revenue is generated by our FortiGate network security appliances, our Fortinet Security Fabric platform products and other products. Service revenue relates to sales of our security subscription services, which mainly consist of our FortiGuard security solutions, as well as our FortiCare technical support services and other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920" w:type="dxa"/>
            <w:vAlign w:val="bottom"/>
            <w:gridSpan w:val="4"/>
          </w:tcPr>
          <w:p>
            <w:pPr>
              <w:jc w:val="right"/>
              <w:ind w:right="773"/>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8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173"/>
              <w:spacing w:after="0" w:line="158" w:lineRule="exact"/>
              <w:rPr>
                <w:sz w:val="20"/>
                <w:szCs w:val="20"/>
                <w:color w:val="auto"/>
              </w:rPr>
            </w:pPr>
            <w:r>
              <w:rPr>
                <w:rFonts w:ascii="Arial" w:cs="Arial" w:eastAsia="Arial" w:hAnsi="Arial"/>
                <w:sz w:val="16"/>
                <w:szCs w:val="16"/>
                <w:b w:val="1"/>
                <w:bCs w:val="1"/>
                <w:color w:val="auto"/>
                <w:w w:val="96"/>
              </w:rPr>
              <w:t>September 30,</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3"/>
              <w:spacing w:after="0" w:line="158" w:lineRule="exact"/>
              <w:rPr>
                <w:sz w:val="20"/>
                <w:szCs w:val="20"/>
                <w:color w:val="auto"/>
              </w:rPr>
            </w:pPr>
            <w:r>
              <w:rPr>
                <w:rFonts w:ascii="Arial" w:cs="Arial" w:eastAsia="Arial" w:hAnsi="Arial"/>
                <w:sz w:val="16"/>
                <w:szCs w:val="16"/>
                <w:b w:val="1"/>
                <w:bCs w:val="1"/>
                <w:color w:val="auto"/>
                <w:w w:val="95"/>
              </w:rPr>
              <w:t>September 30,</w:t>
            </w:r>
          </w:p>
        </w:tc>
      </w:tr>
      <w:tr>
        <w:trPr>
          <w:trHeight w:val="213"/>
        </w:trPr>
        <w:tc>
          <w:tcPr>
            <w:tcW w:w="4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subscription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r>
      <w:tr>
        <w:trPr>
          <w:trHeight w:val="230"/>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Technical support and other</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449.7</w:t>
            </w:r>
          </w:p>
        </w:tc>
      </w:tr>
      <w:tr>
        <w:trPr>
          <w:trHeight w:val="223"/>
        </w:trPr>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service revenue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995.2</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1,544.9</w:t>
            </w:r>
          </w:p>
        </w:tc>
      </w:tr>
      <w:tr>
        <w:trPr>
          <w:trHeight w:val="21"/>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three months ended September 30, 2020 and September 30, 2019, we recognized $263.1 million and $211.8 million in service revenue that was included in the deferred revenue balance as of December 31, 2019 and December 31, 2018, respectively. During the nine months ended September 30, 2020 and September 30, 2019, we recognized $921.7 million and $754.5 million in service revenue that was included in the deferred revenue balance as of December 31, 2019 and December 31, 2018, respectively.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5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September 30, 2020, the aggregate amount of the transaction price allocated to remaining performance obligations was $2.39 billion, which was substantially comprised of deferred security subscription and technical support services revenue. We expect to recognize approximately $1.30 billion as revenue over the next 12 months and the remainder thereafter.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Trade accounts receivable are recorded at the invoiced amount. On January 1, 2020, we adopted Topic 326, which provides guidance on how to measure credit losses on financial instruments, including accounts receivable. Prior to our adoption of Topic 326, our accounts receivable balance was reduced by an allowance for doubtful accounts that we determined based on our assessment of the collectability of customer accounts. Under Topic 326, our accounts receivable balance is reduced by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w:t>
      </w:r>
    </w:p>
    <w:p>
      <w:pPr>
        <w:spacing w:after="0" w:line="192"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COVID-19 pandemic and the recent economic downturn prompted us to perform additional credit reviews of our existing customers, including obtaining recent credit reports and reviewing their latest available statements of financial position. In addition, we have seen an increase in requests for extended payment terms. After performing our additional reviews, we increased the allowance for credit losses for certain accounts receivable.</w:t>
      </w:r>
    </w:p>
    <w:p>
      <w:pPr>
        <w:spacing w:after="0" w:line="176"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allowance for credit losses was $2.2 million as of September 30, 2020, and the allowance for doubtful accounts was $1.2 million as of December 31, 2019. Provisions, write-offs and recoveries were not material during the nine months ended September 30,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Sales commissions earned by our sales force are considered incremental and recoverable costs of obtaining a contract with a customer. The amortization of deferred contract costs is included in sales and marketing expense in our condensed consolidated statements of income. Amortization of deferred contract costs during the three months ended September 30, 2020 and September 30, 2019 were $35.3 million and $27.5 million, respectively. Amortization of deferred contract costs during the nine months ended September 30, 2020 and September 30, 2019 were $99.8 million and $78.5 million, respectively.</w:t>
      </w:r>
    </w:p>
    <w:p>
      <w:pPr>
        <w:spacing w:after="0" w:line="21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investments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September 30, 2020</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59"/>
        </w:trPr>
        <w:tc>
          <w:tcPr>
            <w:tcW w:w="4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3"/>
                <w:szCs w:val="13"/>
                <w:color w:val="auto"/>
              </w:rPr>
            </w:pPr>
          </w:p>
        </w:tc>
        <w:tc>
          <w:tcPr>
            <w:tcW w:w="1160" w:type="dxa"/>
            <w:vAlign w:val="bottom"/>
          </w:tcPr>
          <w:p>
            <w:pPr>
              <w:jc w:val="center"/>
              <w:ind w:right="253"/>
              <w:spacing w:after="0" w:line="158" w:lineRule="exact"/>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3"/>
                <w:szCs w:val="13"/>
                <w:color w:val="auto"/>
              </w:rPr>
            </w:pPr>
          </w:p>
        </w:tc>
      </w:tr>
      <w:tr>
        <w:trPr>
          <w:trHeight w:val="213"/>
        </w:trPr>
        <w:tc>
          <w:tcPr>
            <w:tcW w:w="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0" w:type="dxa"/>
            <w:vAlign w:val="bottom"/>
          </w:tcPr>
          <w:p>
            <w:pPr>
              <w:spacing w:after="0"/>
              <w:rPr>
                <w:sz w:val="19"/>
                <w:szCs w:val="19"/>
                <w:color w:val="auto"/>
              </w:rPr>
            </w:pPr>
          </w:p>
        </w:tc>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49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5"/>
        </w:trPr>
        <w:tc>
          <w:tcPr>
            <w:tcW w:w="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67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December 31, 2019</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8"/>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3"/>
                <w:szCs w:val="13"/>
                <w:color w:val="auto"/>
              </w:rPr>
            </w:pPr>
          </w:p>
        </w:tc>
        <w:tc>
          <w:tcPr>
            <w:tcW w:w="1160" w:type="dxa"/>
            <w:vAlign w:val="bottom"/>
          </w:tcPr>
          <w:p>
            <w:pPr>
              <w:jc w:val="right"/>
              <w:ind w:right="513"/>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8"/>
                <w:szCs w:val="18"/>
                <w:color w:val="auto"/>
              </w:rPr>
            </w:pPr>
          </w:p>
        </w:tc>
        <w:tc>
          <w:tcPr>
            <w:tcW w:w="1160" w:type="dxa"/>
            <w:vAlign w:val="bottom"/>
          </w:tcPr>
          <w:p>
            <w:pPr>
              <w:jc w:val="right"/>
              <w:ind w:right="453"/>
              <w:spacing w:after="0"/>
              <w:rPr>
                <w:sz w:val="20"/>
                <w:szCs w:val="20"/>
                <w:color w:val="auto"/>
              </w:rPr>
            </w:pPr>
            <w:r>
              <w:rPr>
                <w:rFonts w:ascii="Arial" w:cs="Arial" w:eastAsia="Arial" w:hAnsi="Arial"/>
                <w:sz w:val="16"/>
                <w:szCs w:val="16"/>
                <w:b w:val="1"/>
                <w:bCs w:val="1"/>
                <w:color w:val="auto"/>
              </w:rPr>
              <w:t>Value</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195.2</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r>
      <w:tr>
        <w:trPr>
          <w:trHeight w:val="229"/>
        </w:trPr>
        <w:tc>
          <w:tcPr>
            <w:tcW w:w="4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48"/>
        </w:trPr>
        <w:tc>
          <w:tcPr>
            <w:tcW w:w="49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700" w:hanging="154"/>
        <w:spacing w:after="0"/>
        <w:tabs>
          <w:tab w:leader="none" w:pos="70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majority of our certificates of deposit and term deposits are foreign deposits.</w:t>
      </w:r>
    </w:p>
    <w:p>
      <w:pPr>
        <w:spacing w:after="0" w:line="200" w:lineRule="exact"/>
        <w:rPr>
          <w:sz w:val="20"/>
          <w:szCs w:val="20"/>
          <w:color w:val="auto"/>
        </w:rPr>
      </w:pPr>
    </w:p>
    <w:p>
      <w:pPr>
        <w:spacing w:after="0" w:line="21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millions):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September 30, 2020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r>
      <w:tr>
        <w:trPr>
          <w:trHeight w:val="158"/>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Arial" w:cs="Arial" w:eastAsia="Arial" w:hAnsi="Arial"/>
                <w:sz w:val="18"/>
                <w:szCs w:val="18"/>
                <w:color w:val="auto"/>
                <w:w w:val="91"/>
              </w:rPr>
              <w:t>(0.1)</w:t>
            </w:r>
          </w:p>
        </w:tc>
      </w:tr>
      <w:tr>
        <w:trPr>
          <w:trHeight w:val="248"/>
        </w:trPr>
        <w:tc>
          <w:tcPr>
            <w:tcW w:w="40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1"/>
              </w:rPr>
              <w:t>(0.1)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81"/>
        </w:trPr>
        <w:tc>
          <w:tcPr>
            <w:tcW w:w="4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0"/>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r>
      <w:tr>
        <w:trPr>
          <w:trHeight w:val="158"/>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1"/>
              </w:rPr>
              <w:t>(0.1)</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48"/>
        </w:trPr>
        <w:tc>
          <w:tcPr>
            <w:tcW w:w="40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1"/>
              </w:rPr>
              <w:t>(0.1)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millions):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2019</w:t>
            </w:r>
          </w:p>
        </w:tc>
      </w:tr>
      <w:tr>
        <w:trPr>
          <w:trHeight w:val="22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w:t>
            </w:r>
          </w:p>
        </w:tc>
      </w:tr>
      <w:tr>
        <w:trPr>
          <w:trHeight w:val="230"/>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within one to three years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r>
      <w:tr>
        <w:trPr>
          <w:trHeight w:val="248"/>
        </w:trPr>
        <w:tc>
          <w:tcPr>
            <w:tcW w:w="7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Available-for-sale securities are reported at fair value, with unrealized gains and losses and the related tax impact included as a separate component of stockholders’ equity and in comprehensive income. Accrued interest of $3.2 million as of September 30, 2020 is excluded from both the fair value and the amortized cost of our available-for-sale securities and is recorded in Prepaid expenses and other current assets in our condensed consolidated balance sheet. We have elected to not record an allowance for credit losses for accrued interest for available-for-sale securities and will reverse the accrued interest against interest income in the period in which we determine the accrued interest to be uncollectible.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Prior to 2020, we followed the guidance in ASC 320 Investments—Debt and Equity Securities in determining whether unrealized losses were other than temporary. We adopted Topic 326 on January 1, 2020, and now consider whether unrealized losses have resulted from a credit loss or other factors. The unrealized losses on our available-for-sale securities as of September 30, 2020 and as of December 31, 2019 were caused by fluctuations in market value and interest rates as a result of the economic environment. We concluded that an allowance for credit losses was unnecessary as of September 30, 2020 and that the impairments as of December 31, 2019 were not other than temporary because (i) the decline in market value was attributable to changes in market conditions and not credit quality, and (ii) we concluded that neither do we intend to sell nor is it more likely than not that we will be required to sell these investments prior to recovery of their amortized cost basis.</w:t>
      </w:r>
    </w:p>
    <w:p>
      <w:pPr>
        <w:spacing w:after="0" w:line="20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Realized gains and losses on available-for-sale securities were insignificant in the periods presented and are included in Other income (expense)— net in our consolidated statements of income. We use the specific identification method to determine the cost basis of investments sold.</w:t>
      </w:r>
    </w:p>
    <w:p>
      <w:pPr>
        <w:spacing w:after="0" w:line="17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97" w:lineRule="exact"/>
        <w:rPr>
          <w:sz w:val="20"/>
          <w:szCs w:val="20"/>
          <w:color w:val="auto"/>
        </w:rPr>
      </w:pPr>
    </w:p>
    <w:p>
      <w:pPr>
        <w:ind w:left="1300" w:right="3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measure the fair value of money market funds and certain U.S. government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52"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the fair value of our financial assets measured at fair value on a recurring basis as of September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 millions):</w:t>
      </w:r>
    </w:p>
    <w:p>
      <w:pPr>
        <w:spacing w:after="0" w:line="319"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0"/>
                <w:szCs w:val="10"/>
                <w:color w:val="auto"/>
              </w:rPr>
            </w:pPr>
          </w:p>
        </w:tc>
        <w:tc>
          <w:tcPr>
            <w:tcW w:w="920" w:type="dxa"/>
            <w:vAlign w:val="bottom"/>
            <w:vMerge w:val="restart"/>
          </w:tcPr>
          <w:p>
            <w:pPr>
              <w:jc w:val="center"/>
              <w:ind w:right="62"/>
              <w:spacing w:after="0"/>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Prices in</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center"/>
              <w:ind w:right="76"/>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Active</w:t>
            </w:r>
          </w:p>
        </w:tc>
        <w:tc>
          <w:tcPr>
            <w:tcW w:w="12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76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920" w:type="dxa"/>
            <w:vAlign w:val="bottom"/>
          </w:tcPr>
          <w:p>
            <w:pPr>
              <w:jc w:val="center"/>
              <w:ind w:right="82"/>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0"/>
                <w:szCs w:val="10"/>
                <w:color w:val="auto"/>
              </w:rPr>
            </w:pPr>
          </w:p>
        </w:tc>
        <w:tc>
          <w:tcPr>
            <w:tcW w:w="92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76"/>
              <w:spacing w:after="0" w:line="122"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0"/>
                <w:szCs w:val="10"/>
                <w:color w:val="auto"/>
              </w:rPr>
            </w:pPr>
          </w:p>
        </w:tc>
        <w:tc>
          <w:tcPr>
            <w:tcW w:w="760" w:type="dxa"/>
            <w:vAlign w:val="bottom"/>
          </w:tcPr>
          <w:p>
            <w:pPr>
              <w:jc w:val="center"/>
              <w:ind w:right="56"/>
              <w:spacing w:after="0" w:line="122"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0"/>
                <w:szCs w:val="10"/>
                <w:color w:val="auto"/>
              </w:rPr>
            </w:pPr>
          </w:p>
        </w:tc>
        <w:tc>
          <w:tcPr>
            <w:tcW w:w="92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0"/>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6"/>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4"/>
              </w:rPr>
              <w:t>Assets</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4"/>
                <w:szCs w:val="14"/>
                <w:color w:val="auto"/>
              </w:rPr>
            </w:pPr>
          </w:p>
        </w:tc>
        <w:tc>
          <w:tcPr>
            <w:tcW w:w="760" w:type="dxa"/>
            <w:vAlign w:val="bottom"/>
          </w:tcPr>
          <w:p>
            <w:pPr>
              <w:jc w:val="center"/>
              <w:ind w:right="56"/>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4"/>
              </w:rPr>
              <w:t>Assets</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63"/>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5"/>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63"/>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4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505.9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Certificates of deposit and</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term deposits</w:t>
            </w: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330.4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210.2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4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nine months ended September 30, 2020 and year ended December 31, 2019.</w:t>
      </w:r>
    </w:p>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INVENTORY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58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4"/>
              <w:spacing w:after="0"/>
              <w:rPr>
                <w:sz w:val="20"/>
                <w:szCs w:val="20"/>
                <w:color w:val="auto"/>
              </w:rPr>
            </w:pPr>
            <w:r>
              <w:rPr>
                <w:rFonts w:ascii="Arial" w:cs="Arial" w:eastAsia="Arial" w:hAnsi="Arial"/>
                <w:sz w:val="16"/>
                <w:szCs w:val="16"/>
                <w:b w:val="1"/>
                <w:bCs w:val="1"/>
                <w:color w:val="auto"/>
              </w:rPr>
              <w:t>2019</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r>
      <w:tr>
        <w:trPr>
          <w:trHeight w:val="248"/>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PROPERTY AND EQUIPMENT—Net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2019</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Building and building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147.4</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Evaluation units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3"/>
        </w:trPr>
        <w:tc>
          <w:tcPr>
            <w:tcW w:w="7360" w:type="dxa"/>
            <w:vAlign w:val="bottom"/>
          </w:tcPr>
          <w:p>
            <w:pPr>
              <w:ind w:left="440"/>
              <w:spacing w:after="0"/>
              <w:rPr>
                <w:sz w:val="20"/>
                <w:szCs w:val="20"/>
                <w:color w:val="auto"/>
              </w:rPr>
            </w:pPr>
            <w:r>
              <w:rPr>
                <w:rFonts w:ascii="Arial" w:cs="Arial" w:eastAsia="Arial" w:hAnsi="Arial"/>
                <w:sz w:val="18"/>
                <w:szCs w:val="18"/>
                <w:color w:val="auto"/>
              </w:rPr>
              <w:t>Total property and equipment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481.3</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Construction-in-progress consists primarily of costs incurred in connection with the construction of a second building at our headquarters campus.</w:t>
      </w:r>
    </w:p>
    <w:p>
      <w:pPr>
        <w:spacing w:after="0" w:line="275" w:lineRule="exact"/>
        <w:rPr>
          <w:sz w:val="20"/>
          <w:szCs w:val="20"/>
          <w:color w:val="auto"/>
        </w:rPr>
      </w:pPr>
    </w:p>
    <w:p>
      <w:pPr>
        <w:ind w:right="540" w:firstLine="648"/>
        <w:spacing w:after="0" w:line="263" w:lineRule="auto"/>
        <w:rPr>
          <w:sz w:val="20"/>
          <w:szCs w:val="20"/>
          <w:color w:val="auto"/>
        </w:rPr>
      </w:pPr>
      <w:r>
        <w:rPr>
          <w:rFonts w:ascii="Arial" w:cs="Arial" w:eastAsia="Arial" w:hAnsi="Arial"/>
          <w:sz w:val="18"/>
          <w:szCs w:val="18"/>
          <w:color w:val="auto"/>
        </w:rPr>
        <w:t>Depreciation expense was $13.9 million and $12.8 million during the three months ended September 30, 2020 and September 30, 2019, respectively. Depreciation expense was $41.6 million and $37.8 million during the nine months ended September 30, 2020 and September 30, 2019, respectively.</w:t>
      </w:r>
    </w:p>
    <w:p>
      <w:pPr>
        <w:spacing w:after="0" w:line="20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5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investments in the equity securities of privately held companies without readily determinable fair values totaled $1.0 million and $5.3 million as of September 30, 2020 and December 31, 2019, respectively. These investments are accounted for at cost, adjusted for changes in observable prices minus impairment. We own less than 20% of the voting securities in each of these investments and do not have the ability to exercise significant influence over operating and financial policies of the respective entities. These investments are recorded as Other assets in our condensed consolidated balance sheets and would be measured at fair value if indicators of an increase in value or impairment existed. In the first quarter of 2020 and in the third quarter of 2019, we recognized non-cash impairment charges of $4.3 million and $3.8 million in Other expense—net in our condensed consolidated statements of income, respectively. Cumulative impairment adjustments to all equity securities without readily determinable fair values totaled $8.1 million since their respective acquisitions through September 30, 2020. As of September 30, 2020, no other events have occurred that would affect the carrying value of these investments.</w:t>
      </w:r>
    </w:p>
    <w:p>
      <w:pPr>
        <w:spacing w:after="0" w:line="21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OPAQ Networks, Inc.</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July 20, 2020, we acquired all outstanding shares of OPAQ Networks, Inc. (“OPAQ”), a privately held Secure Access Service Edge (“SASE”) cloud provider.</w:t>
      </w:r>
    </w:p>
    <w:p>
      <w:pPr>
        <w:spacing w:after="0" w:line="197"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Under the acquisition method of accounting in accordance with ASC 805, the total preliminary purchase price was allocated to OPAQ’s identifiable tangible and intangible assets acquired and liabilities assumed based on their estimated fair values using management’s best estimates and assumptions to assign fair value as of the acquisition date. The preliminary purchase price for OPAQ was $8.0 million in cash, of which $1.0 million was allocated to goodwill, $4.7 million was allocated to identifiable intangible assets, the majority of which was developed technology, and $2.3 million was allocated to other net assets acquired, which predominantly included cash, deferred tax assets, operating lease right-of-use assets and lease liabilities, accounts payable, accrued liabilities and assumed debt. The preliminary purchase price included a $1.3 million indemnity fund held in escrow for 12 months after the transaction closing date. Goodwill recorded in connection with this acquisition represents the value we expect to be created through expansion into markets within our existing business, and potential cost savings and synergies, and goodwill is non-deductible for tax purposes.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estimates and assumptions are subject to change within the measurement period, which is up to 12 months after the acquisition date. The allocation of the purchase price for this acquisition has been prepared on a preliminary basis and changes to the allocation of certain assets and liabilities may occur as additional information becomes available. The primary areas of the purchase price that are not yet finalized are related to income taxes and the valuation of acquired assets and assumed liabilities.</w:t>
      </w:r>
    </w:p>
    <w:p>
      <w:pPr>
        <w:spacing w:after="0" w:line="214"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The operating results of the acquired company are included in our condensed consolidated statement of income from the date of acquisition. Acquisition-related costs for this acquisition were not material. Pro forma information has not been presented as the impact of this acquisition was not material to our condensed consolidated financial statements.</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tab/>
        <w:t>GOODWILL AND OTHER INTANGIBLE ASSETS—Net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carrying amount of goodwill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6"/>
                <w:szCs w:val="16"/>
                <w:b w:val="1"/>
                <w:bCs w:val="1"/>
                <w:color w:val="auto"/>
              </w:rPr>
              <w:t>Amount</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Balance—December 2019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 due to business combination</w:t>
            </w:r>
          </w:p>
        </w:tc>
        <w:tc>
          <w:tcPr>
            <w:tcW w:w="4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Balance—September 2020</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r>
      <w:tr>
        <w:trPr>
          <w:trHeight w:val="21"/>
        </w:trPr>
        <w:tc>
          <w:tcPr>
            <w:tcW w:w="9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to goodwill during the nine months ended September 30, 2020 or during prior periods.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other intangible assets—net as of September 30, 2020 and December 31, 2019 (in millions, except years):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w w:val="89"/>
              </w:rPr>
              <w:t>September 30, 2020</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jc w:val="right"/>
              <w:ind w:right="3350"/>
              <w:spacing w:after="0"/>
              <w:rPr>
                <w:sz w:val="20"/>
                <w:szCs w:val="20"/>
                <w:color w:val="auto"/>
              </w:rPr>
            </w:pPr>
            <w:r>
              <w:rPr>
                <w:rFonts w:ascii="Arial" w:cs="Arial" w:eastAsia="Arial" w:hAnsi="Arial"/>
                <w:sz w:val="18"/>
                <w:szCs w:val="18"/>
                <w:color w:val="auto"/>
                <w:w w:val="89"/>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jc w:val="right"/>
              <w:ind w:right="3130"/>
              <w:spacing w:after="0"/>
              <w:rPr>
                <w:sz w:val="20"/>
                <w:szCs w:val="20"/>
                <w:color w:val="auto"/>
              </w:rPr>
            </w:pPr>
            <w:r>
              <w:rPr>
                <w:rFonts w:ascii="Arial" w:cs="Arial" w:eastAsia="Arial" w:hAnsi="Arial"/>
                <w:sz w:val="18"/>
                <w:szCs w:val="18"/>
                <w:color w:val="auto"/>
                <w:w w:val="99"/>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jc w:val="right"/>
              <w:ind w:right="327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jc w:val="right"/>
              <w:ind w:right="3330"/>
              <w:spacing w:after="0"/>
              <w:rPr>
                <w:sz w:val="20"/>
                <w:szCs w:val="20"/>
                <w:color w:val="auto"/>
              </w:rPr>
            </w:pPr>
            <w:r>
              <w:rPr>
                <w:rFonts w:ascii="Arial" w:cs="Arial" w:eastAsia="Arial" w:hAnsi="Arial"/>
                <w:sz w:val="18"/>
                <w:szCs w:val="18"/>
                <w:color w:val="auto"/>
              </w:rPr>
              <w:t>Customer relationships</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jc w:val="right"/>
              <w:ind w:right="271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5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w w:val="90"/>
              </w:rPr>
              <w:t>December 31, 2019</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jc w:val="right"/>
              <w:ind w:right="3350"/>
              <w:spacing w:after="0"/>
              <w:rPr>
                <w:sz w:val="20"/>
                <w:szCs w:val="20"/>
                <w:color w:val="auto"/>
              </w:rPr>
            </w:pPr>
            <w:r>
              <w:rPr>
                <w:rFonts w:ascii="Arial" w:cs="Arial" w:eastAsia="Arial" w:hAnsi="Arial"/>
                <w:sz w:val="18"/>
                <w:szCs w:val="18"/>
                <w:color w:val="auto"/>
                <w:w w:val="89"/>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jc w:val="right"/>
              <w:ind w:right="3130"/>
              <w:spacing w:after="0"/>
              <w:rPr>
                <w:sz w:val="20"/>
                <w:szCs w:val="20"/>
                <w:color w:val="auto"/>
              </w:rPr>
            </w:pPr>
            <w:r>
              <w:rPr>
                <w:rFonts w:ascii="Arial" w:cs="Arial" w:eastAsia="Arial" w:hAnsi="Arial"/>
                <w:sz w:val="18"/>
                <w:szCs w:val="18"/>
                <w:color w:val="auto"/>
                <w:w w:val="99"/>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jc w:val="right"/>
              <w:ind w:right="327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jc w:val="right"/>
              <w:ind w:right="3330"/>
              <w:spacing w:after="0"/>
              <w:rPr>
                <w:sz w:val="20"/>
                <w:szCs w:val="20"/>
                <w:color w:val="auto"/>
              </w:rPr>
            </w:pPr>
            <w:r>
              <w:rPr>
                <w:rFonts w:ascii="Arial" w:cs="Arial" w:eastAsia="Arial" w:hAnsi="Arial"/>
                <w:sz w:val="18"/>
                <w:szCs w:val="18"/>
                <w:color w:val="auto"/>
              </w:rPr>
              <w:t>Customer relationships</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jc w:val="right"/>
              <w:ind w:right="271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was $2.8 million and $2.2 million during the three months ended September 30, 2020 and September 30,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$10.5 million and $8.1 million during the nine months ended September 30, 2020 and September 30, 2019,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Amount</w:t>
            </w: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9000" w:type="dxa"/>
            <w:vAlign w:val="bottom"/>
          </w:tcPr>
          <w:p>
            <w:pPr>
              <w:ind w:left="320"/>
              <w:spacing w:after="0"/>
              <w:rPr>
                <w:sz w:val="20"/>
                <w:szCs w:val="20"/>
                <w:color w:val="auto"/>
              </w:rPr>
            </w:pPr>
            <w:r>
              <w:rPr>
                <w:rFonts w:ascii="Arial" w:cs="Arial" w:eastAsia="Arial" w:hAnsi="Arial"/>
                <w:sz w:val="18"/>
                <w:szCs w:val="18"/>
                <w:color w:val="auto"/>
              </w:rPr>
              <w:t>2020 (the remainder of 2020)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9000" w:type="dxa"/>
            <w:vAlign w:val="bottom"/>
          </w:tcPr>
          <w:p>
            <w:pPr>
              <w:ind w:left="3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9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9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2024</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and stock options. Dilutive shares of common stock are determined by applying the treasury stock method.</w:t>
      </w:r>
    </w:p>
    <w:p>
      <w:pPr>
        <w:spacing w:after="0" w:line="21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76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5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2"/>
              <w:spacing w:after="0" w:line="158" w:lineRule="exact"/>
              <w:rPr>
                <w:sz w:val="20"/>
                <w:szCs w:val="20"/>
                <w:color w:val="auto"/>
              </w:rPr>
            </w:pPr>
            <w:r>
              <w:rPr>
                <w:rFonts w:ascii="Arial" w:cs="Arial" w:eastAsia="Arial" w:hAnsi="Arial"/>
                <w:sz w:val="16"/>
                <w:szCs w:val="16"/>
                <w:b w:val="1"/>
                <w:bCs w:val="1"/>
                <w:color w:val="auto"/>
                <w:w w:val="93"/>
              </w:rPr>
              <w:t>September 30,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2"/>
              <w:spacing w:after="0" w:line="158" w:lineRule="exact"/>
              <w:rPr>
                <w:sz w:val="20"/>
                <w:szCs w:val="20"/>
                <w:color w:val="auto"/>
              </w:rPr>
            </w:pPr>
            <w:r>
              <w:rPr>
                <w:rFonts w:ascii="Arial" w:cs="Arial" w:eastAsia="Arial" w:hAnsi="Arial"/>
                <w:sz w:val="16"/>
                <w:szCs w:val="16"/>
                <w:b w:val="1"/>
                <w:bCs w:val="1"/>
                <w:color w:val="auto"/>
                <w:w w:val="93"/>
              </w:rPr>
              <w:t>September 30,</w:t>
            </w:r>
          </w:p>
        </w:tc>
      </w:tr>
      <w:tr>
        <w:trPr>
          <w:trHeight w:val="213"/>
        </w:trPr>
        <w:tc>
          <w:tcPr>
            <w:tcW w:w="5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r>
      <w:tr>
        <w:trPr>
          <w:trHeight w:val="212"/>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320" w:type="dxa"/>
            <w:vAlign w:val="bottom"/>
          </w:tcPr>
          <w:p>
            <w:pPr>
              <w:ind w:left="460"/>
              <w:spacing w:after="0"/>
              <w:rPr>
                <w:sz w:val="20"/>
                <w:szCs w:val="20"/>
                <w:color w:val="auto"/>
              </w:rPr>
            </w:pPr>
            <w:r>
              <w:rPr>
                <w:rFonts w:ascii="Arial" w:cs="Arial" w:eastAsia="Arial" w:hAnsi="Arial"/>
                <w:sz w:val="18"/>
                <w:szCs w:val="18"/>
                <w:color w:val="auto"/>
              </w:rPr>
              <w:t>Weighted-average common stock outstanding-basic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shares: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5320" w:type="dxa"/>
            <w:vAlign w:val="bottom"/>
          </w:tcPr>
          <w:p>
            <w:pPr>
              <w:ind w:left="460"/>
              <w:spacing w:after="0"/>
              <w:rPr>
                <w:sz w:val="20"/>
                <w:szCs w:val="20"/>
                <w:color w:val="auto"/>
              </w:rPr>
            </w:pPr>
            <w:r>
              <w:rPr>
                <w:rFonts w:ascii="Arial" w:cs="Arial" w:eastAsia="Arial" w:hAnsi="Arial"/>
                <w:sz w:val="18"/>
                <w:szCs w:val="18"/>
                <w:color w:val="auto"/>
              </w:rPr>
              <w:t>Weighted-average common stock outstanding-basic</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170.9</w:t>
            </w:r>
          </w:p>
        </w:tc>
      </w:tr>
      <w:tr>
        <w:trPr>
          <w:trHeight w:val="230"/>
        </w:trPr>
        <w:tc>
          <w:tcPr>
            <w:tcW w:w="5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Effect of potentially dilutive securities: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320" w:type="dxa"/>
            <w:vAlign w:val="bottom"/>
          </w:tcPr>
          <w:p>
            <w:pPr>
              <w:ind w:left="860"/>
              <w:spacing w:after="0"/>
              <w:rPr>
                <w:sz w:val="20"/>
                <w:szCs w:val="20"/>
                <w:color w:val="auto"/>
              </w:rPr>
            </w:pPr>
            <w:r>
              <w:rPr>
                <w:rFonts w:ascii="Arial" w:cs="Arial" w:eastAsia="Arial" w:hAnsi="Arial"/>
                <w:sz w:val="18"/>
                <w:szCs w:val="18"/>
                <w:color w:val="auto"/>
              </w:rPr>
              <w:t>RSUs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options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w w:val="91"/>
              </w:rPr>
              <w:t>Weighted-average shares used to compute diluted net income per share</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5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5320" w:type="dxa"/>
            <w:vAlign w:val="bottom"/>
          </w:tcPr>
          <w:p>
            <w:pPr>
              <w:ind w:left="4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8"/>
        </w:trPr>
        <w:tc>
          <w:tcPr>
            <w:tcW w:w="5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00" w:type="dxa"/>
            <w:vAlign w:val="bottom"/>
          </w:tcPr>
          <w:p>
            <w:pPr>
              <w:spacing w:after="0"/>
              <w:rPr>
                <w:sz w:val="18"/>
                <w:szCs w:val="18"/>
                <w:color w:val="auto"/>
              </w:rPr>
            </w:pPr>
          </w:p>
        </w:tc>
        <w:tc>
          <w:tcPr>
            <w:tcW w:w="3020" w:type="dxa"/>
            <w:vAlign w:val="bottom"/>
            <w:gridSpan w:val="4"/>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2920" w:type="dxa"/>
            <w:vAlign w:val="bottom"/>
            <w:gridSpan w:val="3"/>
          </w:tcPr>
          <w:p>
            <w:pPr>
              <w:jc w:val="right"/>
              <w:ind w:right="674"/>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5300" w:type="dxa"/>
            <w:vAlign w:val="bottom"/>
          </w:tcPr>
          <w:p>
            <w:pPr>
              <w:spacing w:after="0"/>
              <w:rPr>
                <w:sz w:val="13"/>
                <w:szCs w:val="13"/>
                <w:color w:val="auto"/>
              </w:rPr>
            </w:pPr>
          </w:p>
        </w:tc>
        <w:tc>
          <w:tcPr>
            <w:tcW w:w="1520" w:type="dxa"/>
            <w:vAlign w:val="bottom"/>
            <w:tcBorders>
              <w:top w:val="single" w:sz="8" w:color="auto"/>
            </w:tcBorders>
            <w:gridSpan w:val="2"/>
          </w:tcPr>
          <w:p>
            <w:pPr>
              <w:ind w:left="200"/>
              <w:spacing w:after="0" w:line="158" w:lineRule="exact"/>
              <w:rPr>
                <w:sz w:val="20"/>
                <w:szCs w:val="20"/>
                <w:color w:val="auto"/>
              </w:rPr>
            </w:pPr>
            <w:r>
              <w:rPr>
                <w:rFonts w:ascii="Arial" w:cs="Arial" w:eastAsia="Arial" w:hAnsi="Arial"/>
                <w:sz w:val="16"/>
                <w:szCs w:val="16"/>
                <w:b w:val="1"/>
                <w:bCs w:val="1"/>
                <w:color w:val="auto"/>
              </w:rPr>
              <w:t>September 30,</w:t>
            </w:r>
          </w:p>
        </w:tc>
        <w:tc>
          <w:tcPr>
            <w:tcW w:w="1400" w:type="dxa"/>
            <w:vAlign w:val="bottom"/>
            <w:tcBorders>
              <w:top w:val="single" w:sz="8" w:color="auto"/>
            </w:tcBorders>
          </w:tcPr>
          <w:p>
            <w:pPr>
              <w:jc w:val="right"/>
              <w:ind w:right="134"/>
              <w:spacing w:after="0" w:line="158"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c>
          <w:tcPr>
            <w:tcW w:w="1520" w:type="dxa"/>
            <w:vAlign w:val="bottom"/>
            <w:tcBorders>
              <w:top w:val="single" w:sz="8" w:color="auto"/>
            </w:tcBorders>
            <w:gridSpan w:val="2"/>
          </w:tcPr>
          <w:p>
            <w:pPr>
              <w:ind w:left="220"/>
              <w:spacing w:after="0" w:line="158" w:lineRule="exact"/>
              <w:rPr>
                <w:sz w:val="20"/>
                <w:szCs w:val="20"/>
                <w:color w:val="auto"/>
              </w:rPr>
            </w:pPr>
            <w:r>
              <w:rPr>
                <w:rFonts w:ascii="Arial" w:cs="Arial" w:eastAsia="Arial" w:hAnsi="Arial"/>
                <w:sz w:val="16"/>
                <w:szCs w:val="16"/>
                <w:b w:val="1"/>
                <w:bCs w:val="1"/>
                <w:color w:val="auto"/>
              </w:rPr>
              <w:t>September 30,</w:t>
            </w:r>
          </w:p>
        </w:tc>
        <w:tc>
          <w:tcPr>
            <w:tcW w:w="1400" w:type="dxa"/>
            <w:vAlign w:val="bottom"/>
            <w:tcBorders>
              <w:top w:val="single" w:sz="8" w:color="auto"/>
            </w:tcBorders>
          </w:tcPr>
          <w:p>
            <w:pPr>
              <w:jc w:val="right"/>
              <w:ind w:right="114"/>
              <w:spacing w:after="0" w:line="158" w:lineRule="exact"/>
              <w:rPr>
                <w:sz w:val="20"/>
                <w:szCs w:val="20"/>
                <w:color w:val="auto"/>
              </w:rPr>
            </w:pPr>
            <w:r>
              <w:rPr>
                <w:rFonts w:ascii="Arial" w:cs="Arial" w:eastAsia="Arial" w:hAnsi="Arial"/>
                <w:sz w:val="16"/>
                <w:szCs w:val="16"/>
                <w:b w:val="1"/>
                <w:bCs w:val="1"/>
                <w:color w:val="auto"/>
              </w:rPr>
              <w:t>September 30,</w:t>
            </w:r>
          </w:p>
        </w:tc>
      </w:tr>
      <w:tr>
        <w:trPr>
          <w:trHeight w:val="213"/>
        </w:trPr>
        <w:tc>
          <w:tcPr>
            <w:tcW w:w="53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2019</w:t>
            </w:r>
          </w:p>
        </w:tc>
      </w:tr>
      <w:tr>
        <w:trPr>
          <w:trHeight w:val="22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operating leases for offices, research and development facilities and data centers. Our leases have remaining terms that range from less than one year to approximately seven years, some of which include one or more options to renew, with renewal terms of up to six years. Unless and until we are reasonably certain we will exercise these renewal options, we do not include renewal options in our lease terms for calculating our lease liability, as the renewal options allow us to maintain operational flexibility.</w:t>
      </w:r>
    </w:p>
    <w:p>
      <w:pPr>
        <w:spacing w:after="0" w:line="214"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During the year ended December 31, 2019, we entered into a finance lease with $3.6 million lease liabilities arising from obtaining right-of-use assets with a lease term of approximately two years. Our remaining finance leases were not material to our condensed consolidated financial statements. The related assumptions and further disclosures for finance leases are not material.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620" w:type="dxa"/>
            <w:vAlign w:val="bottom"/>
            <w:gridSpan w:val="4"/>
          </w:tcPr>
          <w:p>
            <w:pPr>
              <w:jc w:val="right"/>
              <w:ind w:right="613"/>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5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73"/>
              <w:spacing w:after="0" w:line="158" w:lineRule="exact"/>
              <w:rPr>
                <w:sz w:val="20"/>
                <w:szCs w:val="20"/>
                <w:color w:val="auto"/>
              </w:rPr>
            </w:pPr>
            <w:r>
              <w:rPr>
                <w:rFonts w:ascii="Arial" w:cs="Arial" w:eastAsia="Arial" w:hAnsi="Arial"/>
                <w:sz w:val="16"/>
                <w:szCs w:val="16"/>
                <w:b w:val="1"/>
                <w:bCs w:val="1"/>
                <w:color w:val="auto"/>
                <w:w w:val="93"/>
              </w:rPr>
              <w:t>September 30,</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93"/>
              <w:spacing w:after="0" w:line="158" w:lineRule="exact"/>
              <w:rPr>
                <w:sz w:val="20"/>
                <w:szCs w:val="20"/>
                <w:color w:val="auto"/>
              </w:rPr>
            </w:pPr>
            <w:r>
              <w:rPr>
                <w:rFonts w:ascii="Arial" w:cs="Arial" w:eastAsia="Arial" w:hAnsi="Arial"/>
                <w:sz w:val="16"/>
                <w:szCs w:val="16"/>
                <w:b w:val="1"/>
                <w:bCs w:val="1"/>
                <w:color w:val="auto"/>
                <w:w w:val="91"/>
              </w:rPr>
              <w:t>September 30,</w:t>
            </w:r>
          </w:p>
        </w:tc>
      </w:tr>
      <w:tr>
        <w:trPr>
          <w:trHeight w:val="213"/>
        </w:trPr>
        <w:tc>
          <w:tcPr>
            <w:tcW w:w="5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expense</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5600" w:type="dxa"/>
            <w:vAlign w:val="bottom"/>
          </w:tcPr>
          <w:p>
            <w:pPr>
              <w:ind w:left="340"/>
              <w:spacing w:after="0"/>
              <w:rPr>
                <w:sz w:val="20"/>
                <w:szCs w:val="20"/>
                <w:color w:val="auto"/>
              </w:rPr>
            </w:pPr>
            <w:r>
              <w:rPr>
                <w:rFonts w:ascii="Arial" w:cs="Arial" w:eastAsia="Arial" w:hAnsi="Arial"/>
                <w:sz w:val="18"/>
                <w:szCs w:val="18"/>
                <w:color w:val="auto"/>
              </w:rPr>
              <w:t>Total lease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280" w:firstLine="494"/>
        <w:spacing w:after="0" w:line="320" w:lineRule="auto"/>
        <w:tabs>
          <w:tab w:leader="none" w:pos="635"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Variable lease expense for the nine months ended September 30, 2020 and September 30, 2019 predominantly included common area maintenance charges and parking expense.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balance sheet information related to our operating leases was as follows (in millions, except lease term and discount rate):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Classification</w:t>
            </w:r>
          </w:p>
        </w:tc>
        <w:tc>
          <w:tcPr>
            <w:tcW w:w="1800" w:type="dxa"/>
            <w:vAlign w:val="bottom"/>
          </w:tcPr>
          <w:p>
            <w:pPr>
              <w:jc w:val="right"/>
              <w:ind w:right="14"/>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0" w:type="dxa"/>
            <w:vAlign w:val="bottom"/>
          </w:tcPr>
          <w:p>
            <w:pPr>
              <w:jc w:val="right"/>
              <w:ind w:right="65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97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ROU assets - non-current</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0" w:type="dxa"/>
            <w:vAlign w:val="bottom"/>
            <w:tcBorders>
              <w:bottom w:val="single" w:sz="8" w:color="auto"/>
            </w:tcBorders>
            <w:shd w:val="clear" w:color="auto" w:fill="CCEEFF"/>
          </w:tcPr>
          <w:p>
            <w:pPr>
              <w:jc w:val="right"/>
              <w:ind w:right="161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current</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0" w:type="dxa"/>
            <w:vAlign w:val="bottom"/>
            <w:shd w:val="clear" w:color="auto" w:fill="CCEEFF"/>
          </w:tcPr>
          <w:p>
            <w:pPr>
              <w:jc w:val="right"/>
              <w:ind w:right="161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lease liabilities</w:t>
            </w:r>
          </w:p>
        </w:tc>
        <w:tc>
          <w:tcPr>
            <w:tcW w:w="20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161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 -</w:t>
            </w:r>
          </w:p>
        </w:tc>
        <w:tc>
          <w:tcPr>
            <w:tcW w:w="3820" w:type="dxa"/>
            <w:vAlign w:val="bottom"/>
            <w:vMerge w:val="restart"/>
            <w:shd w:val="clear" w:color="auto" w:fill="CCEEFF"/>
          </w:tcPr>
          <w:p>
            <w:pPr>
              <w:jc w:val="right"/>
              <w:ind w:right="970"/>
              <w:spacing w:after="0"/>
              <w:rPr>
                <w:sz w:val="20"/>
                <w:szCs w:val="20"/>
                <w:color w:val="auto"/>
              </w:rPr>
            </w:pPr>
            <w:r>
              <w:rPr>
                <w:rFonts w:ascii="Arial" w:cs="Arial" w:eastAsia="Arial" w:hAnsi="Arial"/>
                <w:sz w:val="18"/>
                <w:szCs w:val="18"/>
                <w:color w:val="auto"/>
              </w:rPr>
              <w:t>3.6</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82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3820" w:type="dxa"/>
            <w:vAlign w:val="bottom"/>
          </w:tcPr>
          <w:p>
            <w:pPr>
              <w:jc w:val="right"/>
              <w:ind w:right="970"/>
              <w:spacing w:after="0"/>
              <w:rPr>
                <w:sz w:val="20"/>
                <w:szCs w:val="20"/>
                <w:color w:val="auto"/>
              </w:rPr>
            </w:pPr>
            <w:r>
              <w:rPr>
                <w:rFonts w:ascii="Arial" w:cs="Arial" w:eastAsia="Arial" w:hAnsi="Arial"/>
                <w:sz w:val="18"/>
                <w:szCs w:val="18"/>
                <w:color w:val="auto"/>
              </w:rPr>
              <w:t>3.2 %</w:t>
            </w:r>
          </w:p>
        </w:tc>
        <w:tc>
          <w:tcPr>
            <w:tcW w:w="150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1900" w:type="dxa"/>
            <w:vAlign w:val="bottom"/>
            <w:tcBorders>
              <w:bottom w:val="single" w:sz="8" w:color="auto"/>
            </w:tcBorders>
          </w:tcPr>
          <w:p>
            <w:pPr>
              <w:jc w:val="center"/>
              <w:ind w:left="357"/>
              <w:spacing w:after="0"/>
              <w:rPr>
                <w:sz w:val="20"/>
                <w:szCs w:val="20"/>
                <w:color w:val="auto"/>
              </w:rPr>
            </w:pPr>
            <w:r>
              <w:rPr>
                <w:rFonts w:ascii="Arial" w:cs="Arial" w:eastAsia="Arial" w:hAnsi="Arial"/>
                <w:sz w:val="16"/>
                <w:szCs w:val="16"/>
                <w:b w:val="1"/>
                <w:bCs w:val="1"/>
                <w:color w:val="auto"/>
                <w:w w:val="92"/>
              </w:rPr>
              <w:t>Nine Months Ended</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r>
      <w:tr>
        <w:trPr>
          <w:trHeight w:val="158"/>
        </w:trPr>
        <w:tc>
          <w:tcPr>
            <w:tcW w:w="6440" w:type="dxa"/>
            <w:vAlign w:val="bottom"/>
          </w:tcPr>
          <w:p>
            <w:pPr>
              <w:spacing w:after="0"/>
              <w:rPr>
                <w:sz w:val="13"/>
                <w:szCs w:val="13"/>
                <w:color w:val="auto"/>
              </w:rPr>
            </w:pPr>
          </w:p>
        </w:tc>
        <w:tc>
          <w:tcPr>
            <w:tcW w:w="1900" w:type="dxa"/>
            <w:vAlign w:val="bottom"/>
          </w:tcPr>
          <w:p>
            <w:pPr>
              <w:jc w:val="center"/>
              <w:ind w:left="357"/>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89"/>
              </w:rPr>
              <w:t>September 30,</w:t>
            </w:r>
          </w:p>
        </w:tc>
      </w:tr>
      <w:tr>
        <w:trPr>
          <w:trHeight w:val="213"/>
        </w:trPr>
        <w:tc>
          <w:tcPr>
            <w:tcW w:w="644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ind w:left="357"/>
              <w:spacing w:after="0"/>
              <w:rPr>
                <w:sz w:val="20"/>
                <w:szCs w:val="20"/>
                <w:color w:val="auto"/>
              </w:rPr>
            </w:pPr>
            <w:r>
              <w:rPr>
                <w:rFonts w:ascii="Arial" w:cs="Arial" w:eastAsia="Arial" w:hAnsi="Arial"/>
                <w:sz w:val="16"/>
                <w:szCs w:val="16"/>
                <w:b w:val="1"/>
                <w:bCs w:val="1"/>
                <w:color w:val="auto"/>
                <w:w w:val="95"/>
              </w:rPr>
              <w:t>2020</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Borders>
              <w:bottom w:val="single" w:sz="8" w:color="auto"/>
            </w:tcBorders>
          </w:tcPr>
          <w:p>
            <w:pPr>
              <w:spacing w:after="0"/>
              <w:rPr>
                <w:sz w:val="18"/>
                <w:szCs w:val="18"/>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Operating cash flows used for operating leases</w:t>
            </w:r>
          </w:p>
        </w:tc>
        <w:tc>
          <w:tcPr>
            <w:tcW w:w="1900" w:type="dxa"/>
            <w:vAlign w:val="bottom"/>
            <w:tcBorders>
              <w:bottom w:val="single" w:sz="8" w:color="auto"/>
            </w:tcBorders>
          </w:tcPr>
          <w:p>
            <w:pPr>
              <w:jc w:val="right"/>
              <w:ind w:right="171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bottom w:val="single" w:sz="8" w:color="auto"/>
            </w:tcBorders>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34"/>
        </w:trPr>
        <w:tc>
          <w:tcPr>
            <w:tcW w:w="8340" w:type="dxa"/>
            <w:vAlign w:val="bottom"/>
            <w:gridSpan w:val="2"/>
          </w:tcPr>
          <w:p>
            <w:pPr>
              <w:ind w:left="660"/>
              <w:spacing w:after="0"/>
              <w:rPr>
                <w:sz w:val="20"/>
                <w:szCs w:val="20"/>
                <w:color w:val="auto"/>
              </w:rPr>
            </w:pPr>
            <w:r>
              <w:rPr>
                <w:rFonts w:ascii="Arial" w:cs="Arial" w:eastAsia="Arial" w:hAnsi="Arial"/>
                <w:sz w:val="18"/>
                <w:szCs w:val="18"/>
                <w:color w:val="auto"/>
              </w:rPr>
              <w:t>Maturities of operating lease liabilities as of September 30, 2020 were as follows (in millions):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2"/>
          </w:tcPr>
          <w:p>
            <w:pPr>
              <w:ind w:left="560"/>
              <w:spacing w:after="0"/>
              <w:rPr>
                <w:sz w:val="20"/>
                <w:szCs w:val="20"/>
                <w:color w:val="auto"/>
              </w:rPr>
            </w:pPr>
            <w:r>
              <w:rPr>
                <w:rFonts w:ascii="Arial" w:cs="Arial" w:eastAsia="Arial" w:hAnsi="Arial"/>
                <w:sz w:val="18"/>
                <w:szCs w:val="18"/>
                <w:b w:val="1"/>
                <w:bCs w:val="1"/>
                <w:color w:val="auto"/>
              </w:rPr>
              <w:t>Amount</w:t>
            </w: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(the remainder of 2020)</w:t>
            </w:r>
          </w:p>
        </w:tc>
        <w:tc>
          <w:tcPr>
            <w:tcW w:w="19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2021</w:t>
            </w:r>
          </w:p>
        </w:tc>
        <w:tc>
          <w:tcPr>
            <w:tcW w:w="1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2023</w:t>
            </w:r>
          </w:p>
        </w:tc>
        <w:tc>
          <w:tcPr>
            <w:tcW w:w="1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9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19"/>
                <w:szCs w:val="19"/>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9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21"/>
                <w:szCs w:val="2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September 30, 2020, we had additional minimum lease payments of $3.8 million relating to operating leases that had been signed but had not yet commenced and therefore were excluded from the table above. These leases will commence during 2020 and will have lease terms of approximately three to five years.</w:t>
      </w:r>
    </w:p>
    <w:p>
      <w:pPr>
        <w:spacing w:after="0" w:line="20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MUTUAL COVENANT-NOT-TO-SUE AND RELEASE AGREEMENT</w:t>
      </w:r>
    </w:p>
    <w:p>
      <w:pPr>
        <w:spacing w:after="0" w:line="25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January 2020, we entered into an agreement with a competitor in the network security industry whereby, in February 2020, the competitor party paid us a lump sum of $50.0 million for a seven-year mutual covenant-not-to-sue for patent claims. Pursuant to this agreement, at the end of this first seven-year period, either party may extend the agreement for an additional seven-year mutual covenant-not-to-sue in return for this competitor paying us an additional $50.0 million. This agreement arose after expiration of previous agreements between the parties whereby the competitor had paid us sums for a limited term license to certain of our intellectual property (“IP”) and a limited term mutual covenant-not-to-sue.</w:t>
      </w:r>
    </w:p>
    <w:p>
      <w:pPr>
        <w:spacing w:after="0" w:line="203" w:lineRule="exact"/>
        <w:rPr>
          <w:sz w:val="20"/>
          <w:szCs w:val="20"/>
          <w:color w:val="auto"/>
        </w:rPr>
      </w:pPr>
    </w:p>
    <w:p>
      <w:pPr>
        <w:ind w:right="80" w:firstLine="177"/>
        <w:spacing w:after="0" w:line="291" w:lineRule="auto"/>
        <w:rPr>
          <w:sz w:val="20"/>
          <w:szCs w:val="20"/>
          <w:color w:val="auto"/>
        </w:rPr>
      </w:pPr>
      <w:r>
        <w:rPr>
          <w:rFonts w:ascii="Arial" w:cs="Arial" w:eastAsia="Arial" w:hAnsi="Arial"/>
          <w:sz w:val="16"/>
          <w:szCs w:val="16"/>
          <w:color w:val="auto"/>
        </w:rPr>
        <w:t>We concluded that the agreement was a 14-year contract with a total transaction price of $100.0 million, and that it contained two material distinct performance obligations: (1) the right to use our existing patents, and (2) the right to use any patents that we develop over the term of the contract. We allocated $36.0 million to the functional patents, which was recognized upon commencement of the contract; the remaining $64.0 million, representing the right to utilize future patents, will be recognized over the contract term. We further concluded that our existing patents represent functional IP that should be recognized upon granting our competitor access. We also concluded that the right to receive additional functional IP that we will develop in the future represents a stand ready obligation. Therefore, the transaction price allocated to this obligation is recognized ratably over the 14-year contract term. We estimated the stand-alone selling price of each distinct performance obligation and allocated the $100.0 million transaction price.</w:t>
      </w:r>
    </w:p>
    <w:p>
      <w:pPr>
        <w:spacing w:after="0" w:line="193"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During the three and nine months ended September 30, 2020, we recorded $1.1 million and $39.0 million in Gain on IP matter in our condensed consolidated statements of income, respectively. We recorded $11.0 million in Accrued liabilities and Other liabilities in our condensed consolidated balance sheet as of September 30,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inventory purchase commitments as of September 30, 2020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2024</w:t>
            </w: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purchase commitments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284.7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207.6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77.1</w:t>
            </w:r>
          </w:p>
        </w:tc>
        <w:tc>
          <w:tcPr>
            <w:tcW w:w="8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w:t>
      </w:r>
      <w:r>
        <w:rPr>
          <w:rFonts w:ascii="Arial" w:cs="Arial" w:eastAsia="Arial" w:hAnsi="Arial"/>
          <w:sz w:val="17"/>
          <w:szCs w:val="17"/>
          <w:b w:val="1"/>
          <w:bCs w:val="1"/>
          <w:color w:val="auto"/>
        </w:rPr>
        <w:t xml:space="preserve"> </w:t>
      </w:r>
      <w:r>
        <w:rPr>
          <w:rFonts w:ascii="Arial" w:cs="Arial" w:eastAsia="Arial" w:hAnsi="Arial"/>
          <w:sz w:val="17"/>
          <w:szCs w:val="17"/>
          <w:color w:val="auto"/>
        </w:rPr>
        <w:t>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September 30, 2020, we had $284.7 million of open purchase orders with our independent contract manufacturers that may not be cancelable.</w:t>
      </w:r>
    </w:p>
    <w:p>
      <w:pPr>
        <w:spacing w:after="0" w:line="195"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orders and contractual obligations in the ordinary course of business for which we have not received goods or services. As of September 30, 2020, we had $23.1 million in other contractual commitments having a remaining term in excess of one year that may not be cancelable.</w:t>
      </w:r>
    </w:p>
    <w:p>
      <w:pPr>
        <w:spacing w:after="0" w:line="18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w:t>
      </w:r>
    </w:p>
    <w:p>
      <w:pPr>
        <w:spacing w:after="0" w:line="19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Indemnification and Other Matters</w:t>
      </w:r>
      <w:r>
        <w:rPr>
          <w:rFonts w:ascii="Arial" w:cs="Arial" w:eastAsia="Arial" w:hAnsi="Arial"/>
          <w:sz w:val="17"/>
          <w:szCs w:val="17"/>
          <w:color w:val="auto"/>
        </w:rPr>
        <w:t>—Under the indemnification provisions of our standard sales contracts, we agree to defend our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189" w:lineRule="exact"/>
        <w:rPr>
          <w:sz w:val="20"/>
          <w:szCs w:val="20"/>
          <w:color w:val="auto"/>
        </w:rPr>
      </w:pPr>
    </w:p>
    <w:p>
      <w:pPr>
        <w:ind w:right="180" w:firstLine="648"/>
        <w:spacing w:after="0" w:line="231" w:lineRule="auto"/>
        <w:rPr>
          <w:sz w:val="20"/>
          <w:szCs w:val="20"/>
          <w:color w:val="auto"/>
        </w:rPr>
      </w:pPr>
      <w:r>
        <w:rPr>
          <w:rFonts w:ascii="Arial" w:cs="Arial" w:eastAsia="Arial" w:hAnsi="Arial"/>
          <w:sz w:val="18"/>
          <w:szCs w:val="18"/>
          <w:color w:val="auto"/>
        </w:rPr>
        <w:t>Similar to other security companies and companies in other industries, we have in the past experienced, and we may in the future experience,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21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maintain the Amended and Restated Fortinet, Inc. 2009 Equity Incentive Plan (the “Amended Plan”) pursuant to which we have granted RSUs and stock options. As of September 30, 2020, there was a total of 12.1 million shares of common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stock available for grant under the Amended Plan. We also previously had an Employee Stock Purchase Plan (“ESPP”) for eligible employees, which was terminated in February 2019.</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Number of Shares</w:t>
            </w:r>
          </w:p>
        </w:tc>
        <w:tc>
          <w:tcPr>
            <w:tcW w:w="17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4"/>
              </w:rPr>
              <w:t>Grant Date Fair Value</w:t>
            </w:r>
          </w:p>
        </w:tc>
        <w:tc>
          <w:tcPr>
            <w:tcW w:w="0" w:type="dxa"/>
            <w:vAlign w:val="bottom"/>
          </w:tcPr>
          <w:p>
            <w:pPr>
              <w:spacing w:after="0"/>
              <w:rPr>
                <w:sz w:val="1"/>
                <w:szCs w:val="1"/>
                <w:color w:val="auto"/>
              </w:rPr>
            </w:pPr>
          </w:p>
        </w:tc>
      </w:tr>
      <w:tr>
        <w:trPr>
          <w:trHeight w:val="213"/>
        </w:trPr>
        <w:tc>
          <w:tcPr>
            <w:tcW w:w="758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per Share</w:t>
            </w:r>
          </w:p>
        </w:tc>
        <w:tc>
          <w:tcPr>
            <w:tcW w:w="0" w:type="dxa"/>
            <w:vAlign w:val="bottom"/>
          </w:tcPr>
          <w:p>
            <w:pPr>
              <w:spacing w:after="0"/>
              <w:rPr>
                <w:sz w:val="1"/>
                <w:szCs w:val="1"/>
                <w:color w:val="auto"/>
              </w:rPr>
            </w:pPr>
          </w:p>
        </w:tc>
      </w:tr>
      <w:tr>
        <w:trPr>
          <w:trHeight w:val="226"/>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760" w:type="dxa"/>
            <w:vAlign w:val="bottom"/>
            <w:tcBorders>
              <w:top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95"/>
              </w:rPr>
              <w:t>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29"/>
        </w:trPr>
        <w:tc>
          <w:tcPr>
            <w:tcW w:w="7580" w:type="dxa"/>
            <w:vAlign w:val="bottom"/>
          </w:tcPr>
          <w:p>
            <w:pPr>
              <w:ind w:left="440"/>
              <w:spacing w:after="0"/>
              <w:rPr>
                <w:sz w:val="20"/>
                <w:szCs w:val="20"/>
                <w:color w:val="auto"/>
              </w:rPr>
            </w:pPr>
            <w:r>
              <w:rPr>
                <w:rFonts w:ascii="Arial" w:cs="Arial" w:eastAsia="Arial" w:hAnsi="Arial"/>
                <w:sz w:val="18"/>
                <w:szCs w:val="18"/>
                <w:color w:val="auto"/>
              </w:rPr>
              <w:t>Granted</w:t>
            </w:r>
          </w:p>
        </w:tc>
        <w:tc>
          <w:tcPr>
            <w:tcW w:w="1760" w:type="dxa"/>
            <w:vAlign w:val="bottom"/>
          </w:tcPr>
          <w:p>
            <w:pPr>
              <w:jc w:val="center"/>
              <w:ind w:left="1313"/>
              <w:spacing w:after="0"/>
              <w:rPr>
                <w:sz w:val="20"/>
                <w:szCs w:val="20"/>
                <w:color w:val="auto"/>
              </w:rPr>
            </w:pPr>
            <w:r>
              <w:rPr>
                <w:rFonts w:ascii="Arial" w:cs="Arial" w:eastAsia="Arial" w:hAnsi="Arial"/>
                <w:sz w:val="18"/>
                <w:szCs w:val="18"/>
                <w:color w:val="auto"/>
                <w:w w:val="95"/>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121.30</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center"/>
              <w:ind w:left="1293"/>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center"/>
              <w:ind w:left="1293"/>
              <w:spacing w:after="0"/>
              <w:rPr>
                <w:sz w:val="20"/>
                <w:szCs w:val="20"/>
                <w:color w:val="auto"/>
              </w:rPr>
            </w:pPr>
            <w:r>
              <w:rPr>
                <w:rFonts w:ascii="Arial" w:cs="Arial" w:eastAsia="Arial" w:hAnsi="Arial"/>
                <w:sz w:val="18"/>
                <w:szCs w:val="18"/>
                <w:color w:val="auto"/>
                <w:w w:val="91"/>
              </w:rPr>
              <w:t>(2.3)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2020</w:t>
            </w:r>
          </w:p>
        </w:tc>
        <w:tc>
          <w:tcPr>
            <w:tcW w:w="1760" w:type="dxa"/>
            <w:vAlign w:val="bottom"/>
            <w:tcBorders>
              <w:bottom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95"/>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Stock compensation expense is recognized on a straight-line basis over the vesting period of each RSU. As of September 30, 2020, total compensation expense related to unvested RSUs granted to employees and non-employees under the 2009 Plan, but not yet recognized, was $399.1 million, with a weighted-average remaining vesting period of 2.7 years.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5"/>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9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175"/>
              <w:spacing w:after="0" w:line="158" w:lineRule="exact"/>
              <w:rPr>
                <w:sz w:val="20"/>
                <w:szCs w:val="20"/>
                <w:color w:val="auto"/>
              </w:rPr>
            </w:pPr>
            <w:r>
              <w:rPr>
                <w:rFonts w:ascii="Arial" w:cs="Arial" w:eastAsia="Arial" w:hAnsi="Arial"/>
                <w:sz w:val="16"/>
                <w:szCs w:val="16"/>
                <w:b w:val="1"/>
                <w:bCs w:val="1"/>
                <w:color w:val="auto"/>
                <w:w w:val="96"/>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5"/>
              <w:spacing w:after="0" w:line="158" w:lineRule="exact"/>
              <w:rPr>
                <w:sz w:val="20"/>
                <w:szCs w:val="20"/>
                <w:color w:val="auto"/>
              </w:rPr>
            </w:pPr>
            <w:r>
              <w:rPr>
                <w:rFonts w:ascii="Arial" w:cs="Arial" w:eastAsia="Arial" w:hAnsi="Arial"/>
                <w:sz w:val="16"/>
                <w:szCs w:val="16"/>
                <w:b w:val="1"/>
                <w:bCs w:val="1"/>
                <w:color w:val="auto"/>
                <w:w w:val="95"/>
              </w:rPr>
              <w:t>September 30,</w:t>
            </w:r>
          </w:p>
        </w:tc>
      </w:tr>
      <w:tr>
        <w:trPr>
          <w:trHeight w:val="213"/>
        </w:trPr>
        <w:tc>
          <w:tcPr>
            <w:tcW w:w="4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2019</w:t>
            </w: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76.1</w:t>
            </w:r>
          </w:p>
        </w:tc>
      </w:tr>
    </w:tbl>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3420" w:type="dxa"/>
            <w:vAlign w:val="bottom"/>
            <w:gridSpan w:val="4"/>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3240" w:type="dxa"/>
            <w:vAlign w:val="bottom"/>
            <w:gridSpan w:val="3"/>
          </w:tcPr>
          <w:p>
            <w:pPr>
              <w:jc w:val="right"/>
              <w:ind w:right="833"/>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4580" w:type="dxa"/>
            <w:vAlign w:val="bottom"/>
          </w:tcPr>
          <w:p>
            <w:pPr>
              <w:spacing w:after="0"/>
              <w:rPr>
                <w:sz w:val="13"/>
                <w:szCs w:val="13"/>
                <w:color w:val="auto"/>
              </w:rPr>
            </w:pPr>
          </w:p>
        </w:tc>
        <w:tc>
          <w:tcPr>
            <w:tcW w:w="1700" w:type="dxa"/>
            <w:vAlign w:val="bottom"/>
            <w:tcBorders>
              <w:top w:val="single" w:sz="8" w:color="auto"/>
            </w:tcBorders>
            <w:gridSpan w:val="2"/>
          </w:tcPr>
          <w:p>
            <w:pPr>
              <w:ind w:left="300"/>
              <w:spacing w:after="0" w:line="158" w:lineRule="exact"/>
              <w:rPr>
                <w:sz w:val="20"/>
                <w:szCs w:val="20"/>
                <w:color w:val="auto"/>
              </w:rPr>
            </w:pPr>
            <w:r>
              <w:rPr>
                <w:rFonts w:ascii="Arial" w:cs="Arial" w:eastAsia="Arial" w:hAnsi="Arial"/>
                <w:sz w:val="16"/>
                <w:szCs w:val="16"/>
                <w:b w:val="1"/>
                <w:bCs w:val="1"/>
                <w:color w:val="auto"/>
              </w:rPr>
              <w:t>September 30,</w:t>
            </w:r>
          </w:p>
        </w:tc>
        <w:tc>
          <w:tcPr>
            <w:tcW w:w="1620" w:type="dxa"/>
            <w:vAlign w:val="bottom"/>
            <w:tcBorders>
              <w:top w:val="single" w:sz="8" w:color="auto"/>
            </w:tcBorders>
          </w:tcPr>
          <w:p>
            <w:pPr>
              <w:jc w:val="right"/>
              <w:ind w:right="233"/>
              <w:spacing w:after="0" w:line="158"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c>
          <w:tcPr>
            <w:tcW w:w="1680" w:type="dxa"/>
            <w:vAlign w:val="bottom"/>
            <w:tcBorders>
              <w:top w:val="single" w:sz="8" w:color="auto"/>
            </w:tcBorders>
            <w:gridSpan w:val="2"/>
          </w:tcPr>
          <w:p>
            <w:pPr>
              <w:ind w:left="280"/>
              <w:spacing w:after="0" w:line="158" w:lineRule="exact"/>
              <w:rPr>
                <w:sz w:val="20"/>
                <w:szCs w:val="20"/>
                <w:color w:val="auto"/>
              </w:rPr>
            </w:pPr>
            <w:r>
              <w:rPr>
                <w:rFonts w:ascii="Arial" w:cs="Arial" w:eastAsia="Arial" w:hAnsi="Arial"/>
                <w:sz w:val="16"/>
                <w:szCs w:val="16"/>
                <w:b w:val="1"/>
                <w:bCs w:val="1"/>
                <w:color w:val="auto"/>
              </w:rPr>
              <w:t>September 30,</w:t>
            </w:r>
          </w:p>
        </w:tc>
        <w:tc>
          <w:tcPr>
            <w:tcW w:w="1560" w:type="dxa"/>
            <w:vAlign w:val="bottom"/>
            <w:tcBorders>
              <w:top w:val="single" w:sz="8" w:color="auto"/>
            </w:tcBorders>
          </w:tcPr>
          <w:p>
            <w:pPr>
              <w:jc w:val="right"/>
              <w:ind w:right="193"/>
              <w:spacing w:after="0" w:line="158" w:lineRule="exact"/>
              <w:rPr>
                <w:sz w:val="20"/>
                <w:szCs w:val="20"/>
                <w:color w:val="auto"/>
              </w:rPr>
            </w:pPr>
            <w:r>
              <w:rPr>
                <w:rFonts w:ascii="Arial" w:cs="Arial" w:eastAsia="Arial" w:hAnsi="Arial"/>
                <w:sz w:val="16"/>
                <w:szCs w:val="16"/>
                <w:b w:val="1"/>
                <w:bCs w:val="1"/>
                <w:color w:val="auto"/>
              </w:rPr>
              <w:t>September 30,</w:t>
            </w:r>
          </w:p>
        </w:tc>
      </w:tr>
      <w:tr>
        <w:trPr>
          <w:trHeight w:val="213"/>
        </w:trPr>
        <w:tc>
          <w:tcPr>
            <w:tcW w:w="45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2019</w:t>
            </w:r>
          </w:p>
        </w:tc>
      </w:tr>
      <w:tr>
        <w:trPr>
          <w:trHeight w:val="22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600" w:type="dxa"/>
            <w:vAlign w:val="bottom"/>
          </w:tcPr>
          <w:p>
            <w:pPr>
              <w:jc w:val="right"/>
              <w:spacing w:after="0"/>
              <w:rPr>
                <w:sz w:val="20"/>
                <w:szCs w:val="20"/>
                <w:color w:val="auto"/>
              </w:rPr>
            </w:pPr>
            <w:r>
              <w:rPr>
                <w:rFonts w:ascii="Arial" w:cs="Arial" w:eastAsia="Arial" w:hAnsi="Arial"/>
                <w:sz w:val="18"/>
                <w:szCs w:val="18"/>
                <w:color w:val="auto"/>
              </w:rPr>
              <w:t>39.9 %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35.3 %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34.6 %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34.2 %</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Average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Exercise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1100" w:type="dxa"/>
            <w:vAlign w:val="bottom"/>
            <w:tcBorders>
              <w:top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color w:val="auto"/>
                <w:w w:val="95"/>
              </w:rPr>
              <w:t>2.7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440"/>
              <w:spacing w:after="0"/>
              <w:rPr>
                <w:sz w:val="20"/>
                <w:szCs w:val="20"/>
                <w:color w:val="auto"/>
              </w:rPr>
            </w:pPr>
            <w:r>
              <w:rPr>
                <w:rFonts w:ascii="Arial" w:cs="Arial" w:eastAsia="Arial" w:hAnsi="Arial"/>
                <w:sz w:val="18"/>
                <w:szCs w:val="18"/>
                <w:color w:val="auto"/>
              </w:rPr>
              <w:t>Granted</w:t>
            </w:r>
          </w:p>
        </w:tc>
        <w:tc>
          <w:tcPr>
            <w:tcW w:w="1100" w:type="dxa"/>
            <w:vAlign w:val="bottom"/>
          </w:tcPr>
          <w:p>
            <w:pPr>
              <w:jc w:val="center"/>
              <w:ind w:left="652"/>
              <w:spacing w:after="0"/>
              <w:rPr>
                <w:sz w:val="20"/>
                <w:szCs w:val="20"/>
                <w:color w:val="auto"/>
              </w:rPr>
            </w:pPr>
            <w:r>
              <w:rPr>
                <w:rFonts w:ascii="Arial" w:cs="Arial" w:eastAsia="Arial" w:hAnsi="Arial"/>
                <w:sz w:val="18"/>
                <w:szCs w:val="18"/>
                <w:color w:val="auto"/>
                <w:w w:val="95"/>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center"/>
              <w:ind w:left="632"/>
              <w:spacing w:after="0"/>
              <w:rPr>
                <w:sz w:val="20"/>
                <w:szCs w:val="20"/>
                <w:color w:val="auto"/>
              </w:rPr>
            </w:pPr>
            <w:r>
              <w:rPr>
                <w:rFonts w:ascii="Arial" w:cs="Arial" w:eastAsia="Arial" w:hAnsi="Arial"/>
                <w:sz w:val="18"/>
                <w:szCs w:val="18"/>
                <w:color w:val="auto"/>
                <w:w w:val="91"/>
              </w:rPr>
              <w:t>(0.4)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2020</w:t>
            </w:r>
          </w:p>
        </w:tc>
        <w:tc>
          <w:tcPr>
            <w:tcW w:w="1100" w:type="dxa"/>
            <w:vAlign w:val="bottom"/>
            <w:tcBorders>
              <w:bottom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color w:val="auto"/>
                <w:w w:val="95"/>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line="20" w:lineRule="exact"/>
              <w:rPr>
                <w:sz w:val="1"/>
                <w:szCs w:val="1"/>
                <w:color w:val="auto"/>
              </w:rPr>
            </w:pPr>
          </w:p>
        </w:tc>
      </w:tr>
      <w:tr>
        <w:trPr>
          <w:trHeight w:val="204"/>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vest—September 30, 2020</w:t>
            </w:r>
          </w:p>
        </w:tc>
        <w:tc>
          <w:tcPr>
            <w:tcW w:w="1100" w:type="dxa"/>
            <w:vAlign w:val="bottom"/>
            <w:tcBorders>
              <w:bottom w:val="single" w:sz="8" w:color="auto"/>
            </w:tcBorders>
          </w:tcPr>
          <w:p>
            <w:pPr>
              <w:jc w:val="center"/>
              <w:ind w:left="652"/>
              <w:spacing w:after="0" w:line="203" w:lineRule="exact"/>
              <w:rPr>
                <w:sz w:val="20"/>
                <w:szCs w:val="20"/>
                <w:color w:val="auto"/>
              </w:rPr>
            </w:pPr>
            <w:r>
              <w:rPr>
                <w:rFonts w:ascii="Arial" w:cs="Arial" w:eastAsia="Arial" w:hAnsi="Arial"/>
                <w:sz w:val="18"/>
                <w:szCs w:val="18"/>
                <w:color w:val="auto"/>
                <w:w w:val="95"/>
              </w:rPr>
              <w:t>2.8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66.72</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exercisable—September 30, 2020</w:t>
            </w:r>
          </w:p>
        </w:tc>
        <w:tc>
          <w:tcPr>
            <w:tcW w:w="1100" w:type="dxa"/>
            <w:vAlign w:val="bottom"/>
            <w:tcBorders>
              <w:bottom w:val="single" w:sz="8" w:color="auto"/>
            </w:tcBorders>
            <w:shd w:val="clear" w:color="auto" w:fill="CCEEFF"/>
          </w:tcPr>
          <w:p>
            <w:pPr>
              <w:jc w:val="center"/>
              <w:ind w:left="652"/>
              <w:spacing w:after="0"/>
              <w:rPr>
                <w:sz w:val="20"/>
                <w:szCs w:val="20"/>
                <w:color w:val="auto"/>
              </w:rPr>
            </w:pPr>
            <w:r>
              <w:rPr>
                <w:rFonts w:ascii="Arial" w:cs="Arial" w:eastAsia="Arial" w:hAnsi="Arial"/>
                <w:sz w:val="18"/>
                <w:szCs w:val="18"/>
                <w:color w:val="auto"/>
                <w:w w:val="95"/>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September 30, 2020 for all in-the-money stock options. Stock compensation expense is recognized on a straight-line basis over the vesting period of each stock option. As of September 30, 2020, total compensation expense related to unvested stock options granted to employees but not yet recognized was $35.1 million, with a weighted-average remaining vesting period of 2.8 years.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4"/>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49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174"/>
              <w:spacing w:after="0" w:line="158" w:lineRule="exact"/>
              <w:rPr>
                <w:sz w:val="20"/>
                <w:szCs w:val="20"/>
                <w:color w:val="auto"/>
              </w:rPr>
            </w:pPr>
            <w:r>
              <w:rPr>
                <w:rFonts w:ascii="Arial" w:cs="Arial" w:eastAsia="Arial" w:hAnsi="Arial"/>
                <w:sz w:val="16"/>
                <w:szCs w:val="16"/>
                <w:b w:val="1"/>
                <w:bCs w:val="1"/>
                <w:color w:val="auto"/>
                <w:w w:val="96"/>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4"/>
              <w:spacing w:after="0" w:line="158" w:lineRule="exact"/>
              <w:rPr>
                <w:sz w:val="20"/>
                <w:szCs w:val="20"/>
                <w:color w:val="auto"/>
              </w:rPr>
            </w:pPr>
            <w:r>
              <w:rPr>
                <w:rFonts w:ascii="Arial" w:cs="Arial" w:eastAsia="Arial" w:hAnsi="Arial"/>
                <w:sz w:val="16"/>
                <w:szCs w:val="16"/>
                <w:b w:val="1"/>
                <w:bCs w:val="1"/>
                <w:color w:val="auto"/>
                <w:w w:val="95"/>
              </w:rPr>
              <w:t>September 30,</w:t>
            </w:r>
          </w:p>
        </w:tc>
      </w:tr>
      <w:tr>
        <w:trPr>
          <w:trHeight w:val="213"/>
        </w:trPr>
        <w:tc>
          <w:tcPr>
            <w:tcW w:w="4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2019</w:t>
            </w: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r>
      <w:tr>
        <w:trPr>
          <w:trHeight w:val="270"/>
        </w:trPr>
        <w:tc>
          <w:tcPr>
            <w:tcW w:w="4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Intrinsic value of options exercised</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Fair value of options vested</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Stock-based compensation expense, including stock-based compensation expense related to awards classified as liabilities, is included in costs and expenses as follows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2"/>
              <w:spacing w:after="0"/>
              <w:rPr>
                <w:sz w:val="20"/>
                <w:szCs w:val="20"/>
                <w:color w:val="auto"/>
              </w:rPr>
            </w:pPr>
            <w:r>
              <w:rPr>
                <w:rFonts w:ascii="Arial" w:cs="Arial" w:eastAsia="Arial" w:hAnsi="Arial"/>
                <w:sz w:val="16"/>
                <w:szCs w:val="16"/>
                <w:b w:val="1"/>
                <w:bCs w:val="1"/>
                <w:color w:val="auto"/>
              </w:rPr>
              <w:t>Nine Months Ended</w:t>
            </w:r>
          </w:p>
        </w:tc>
      </w:tr>
      <w:tr>
        <w:trPr>
          <w:trHeight w:val="159"/>
        </w:trPr>
        <w:tc>
          <w:tcPr>
            <w:tcW w:w="4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172"/>
              <w:spacing w:after="0" w:line="158" w:lineRule="exact"/>
              <w:rPr>
                <w:sz w:val="20"/>
                <w:szCs w:val="20"/>
                <w:color w:val="auto"/>
              </w:rPr>
            </w:pPr>
            <w:r>
              <w:rPr>
                <w:rFonts w:ascii="Arial" w:cs="Arial" w:eastAsia="Arial" w:hAnsi="Arial"/>
                <w:sz w:val="16"/>
                <w:szCs w:val="16"/>
                <w:b w:val="1"/>
                <w:bCs w:val="1"/>
                <w:color w:val="auto"/>
                <w:w w:val="96"/>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2"/>
              <w:spacing w:after="0" w:line="158" w:lineRule="exact"/>
              <w:rPr>
                <w:sz w:val="20"/>
                <w:szCs w:val="20"/>
                <w:color w:val="auto"/>
              </w:rPr>
            </w:pPr>
            <w:r>
              <w:rPr>
                <w:rFonts w:ascii="Arial" w:cs="Arial" w:eastAsia="Arial" w:hAnsi="Arial"/>
                <w:sz w:val="16"/>
                <w:szCs w:val="16"/>
                <w:b w:val="1"/>
                <w:bCs w:val="1"/>
                <w:color w:val="auto"/>
                <w:w w:val="95"/>
              </w:rPr>
              <w:t>September 30,</w:t>
            </w:r>
          </w:p>
        </w:tc>
      </w:tr>
      <w:tr>
        <w:trPr>
          <w:trHeight w:val="213"/>
        </w:trPr>
        <w:tc>
          <w:tcPr>
            <w:tcW w:w="4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22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r>
      <w:tr>
        <w:trPr>
          <w:trHeight w:val="21"/>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including stock-based compensation expense related to awards classified as liabilities, by award type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3"/>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50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w w:val="93"/>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w w:val="95"/>
              </w:rPr>
              <w:t>September 30,</w:t>
            </w:r>
          </w:p>
        </w:tc>
      </w:tr>
      <w:tr>
        <w:trPr>
          <w:trHeight w:val="213"/>
        </w:trPr>
        <w:tc>
          <w:tcPr>
            <w:tcW w:w="5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r>
      <w:tr>
        <w:trPr>
          <w:trHeight w:val="22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r>
      <w:tr>
        <w:trPr>
          <w:trHeight w:val="21"/>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condensed consolidated statements of income is as follows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6"/>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50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96"/>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96"/>
              <w:spacing w:after="0" w:line="158" w:lineRule="exact"/>
              <w:rPr>
                <w:sz w:val="20"/>
                <w:szCs w:val="20"/>
                <w:color w:val="auto"/>
              </w:rPr>
            </w:pPr>
            <w:r>
              <w:rPr>
                <w:rFonts w:ascii="Arial" w:cs="Arial" w:eastAsia="Arial" w:hAnsi="Arial"/>
                <w:sz w:val="16"/>
                <w:szCs w:val="16"/>
                <w:b w:val="1"/>
                <w:bCs w:val="1"/>
                <w:color w:val="auto"/>
                <w:w w:val="91"/>
              </w:rPr>
              <w:t>September 30,</w:t>
            </w:r>
          </w:p>
        </w:tc>
      </w:tr>
      <w:tr>
        <w:trPr>
          <w:trHeight w:val="213"/>
        </w:trPr>
        <w:tc>
          <w:tcPr>
            <w:tcW w:w="5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2019</w:t>
            </w:r>
          </w:p>
        </w:tc>
      </w:tr>
      <w:tr>
        <w:trPr>
          <w:trHeight w:val="22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associated with stock-based compensation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July 2020, under the Share Repurchase Program originally approved by our board of directors in January 2016 (the “Repurchase Program”), our board of directors approved a $500.0 million increase and extended the term to February 28, 2022, bringing the aggregate amount authorized to be repurchased to $3.0 billion.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w:t>
      </w:r>
    </w:p>
    <w:p>
      <w:pPr>
        <w:spacing w:after="0" w:line="21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During the nine months ended September 30, 2020, we repurchased 11.4 million shares of common stock under the Repurchase Program in open market transactions at an average price $91.55 per share, for an aggregate purchase price $1.05 billion. As of September 30, 2020, $1.05 billion remained available for future share repurchases under the Repurchase Program.</w:t>
      </w:r>
    </w:p>
    <w:p>
      <w:pPr>
        <w:spacing w:after="0" w:line="20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effective tax rate was 4% for the three months ended September 30, 2020, compared to an effective tax rate of 24% for the same period last year. Our effective tax rate was 8% for the nine months ended September 30, 2020, compared to an effective tax rate of 16% for the same period last year. The effective tax rates for the periods presented are primarily comprised of U.S. federal and state taxes, withholding taxes, foreign taxes and excess tax benefits from stock-based compensation expense. The tax rates for the three months ended September 30, 2020 and September 30, 2019 were impacted by U.S. federal and state taxes, withholding taxes and foreign taxes that were $17.5 million and $32.7 million, respectively. The U.S. federal and state taxes included a tax benefit of $16.0 million from the foreign-derived intangible income deduction for the three months ended September 30, 2020. The tax rates for the three months ended September 30, 2020 and September 30, 2019 were impacted by excess tax benefits from stock-based compensation expense of $12.5 million and $6.9 million, respectively.</w:t>
      </w:r>
    </w:p>
    <w:p>
      <w:pPr>
        <w:spacing w:after="0" w:line="205"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The tax rates for the nine months ended September 30, 2020 and September 30, 2019 were impacted by U.S. federal and state taxes, withholding taxes and foreign taxes of $74.8 million and $75.4 million, respectively. The U.S. federal and state taxes included a tax benefit of $25.6 million from the foreign-derived intangible income deduction for the nine months ended September 30, 2020. The tax rates for the nine months ended September 30, 2020 and September 30, 2019 were impacted by excess tax benefits from stock-based compensation expense of $37.6 million and $34.6 million, respectively, and release of reserves of $9.0 million and $10.0 million, respectively, on uncertain tax positions and the interest due to the expiration of the statute of limitations. The provision for income taxes for the nine months ended September 30, 2019 was further impacted by an increase in tax expense of</w:t>
      </w:r>
    </w:p>
    <w:p>
      <w:pPr>
        <w:spacing w:after="0" w:line="4"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color w:val="auto"/>
        </w:rPr>
        <w:t xml:space="preserve">$10.3 million for an unrecognized tax benefit related to the opinion of the U.S. Court of Appeals for the Ninth Circuit (the “Ninth Circuit”) in </w:t>
      </w:r>
      <w:r>
        <w:rPr>
          <w:rFonts w:ascii="Arial" w:cs="Arial" w:eastAsia="Arial" w:hAnsi="Arial"/>
          <w:sz w:val="18"/>
          <w:szCs w:val="18"/>
          <w:i w:val="1"/>
          <w:iCs w:val="1"/>
          <w:color w:val="auto"/>
        </w:rPr>
        <w:t>Altera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 and Subsidiaries vs. Commissioner of Internal Revenue </w:t>
      </w:r>
      <w:r>
        <w:rPr>
          <w:rFonts w:ascii="Arial" w:cs="Arial" w:eastAsia="Arial" w:hAnsi="Arial"/>
          <w:sz w:val="18"/>
          <w:szCs w:val="18"/>
          <w:color w:val="auto"/>
        </w:rPr>
        <w:t>(“</w:t>
      </w:r>
      <w:r>
        <w:rPr>
          <w:rFonts w:ascii="Arial" w:cs="Arial" w:eastAsia="Arial" w:hAnsi="Arial"/>
          <w:sz w:val="18"/>
          <w:szCs w:val="18"/>
          <w:i w:val="1"/>
          <w:iCs w:val="1"/>
          <w:color w:val="auto"/>
        </w:rPr>
        <w:t>Altera</w:t>
      </w:r>
      <w:r>
        <w:rPr>
          <w:rFonts w:ascii="Arial" w:cs="Arial" w:eastAsia="Arial" w:hAnsi="Arial"/>
          <w:sz w:val="18"/>
          <w:szCs w:val="18"/>
          <w:color w:val="auto"/>
        </w:rPr>
        <w:t>”) described below, regarding stock-based compensation expense in cost</w:t>
      </w:r>
      <w:r>
        <w:rPr>
          <w:rFonts w:ascii="Arial" w:cs="Arial" w:eastAsia="Arial" w:hAnsi="Arial"/>
          <w:sz w:val="18"/>
          <w:szCs w:val="18"/>
          <w:i w:val="1"/>
          <w:iCs w:val="1"/>
          <w:color w:val="auto"/>
        </w:rPr>
        <w:t xml:space="preserve"> </w:t>
      </w:r>
      <w:r>
        <w:rPr>
          <w:rFonts w:ascii="Arial" w:cs="Arial" w:eastAsia="Arial" w:hAnsi="Arial"/>
          <w:sz w:val="18"/>
          <w:szCs w:val="18"/>
          <w:color w:val="auto"/>
        </w:rPr>
        <w:t>sharing arrangements.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September 30, 2020 and December 31, 2019, unrecognized tax benefits were $67.1 million and $67.5 million, respectively. If recognized, $61.7 million of the unrecognized tax benefits would favorably affect our effective tax rate. It is our policy to include accrued interest and penalties related to unrecognized tax benefits in income tax expense. As of September 30, 2020 and December 31, 2019, accrued interest and penalties were $13.1 million and $14.1 million, respectively. It is reasonably possible that our gross unrecognized tax benefits will decrease by up to $4.0 million in the next 12 months, due to the lapse of the statute of limitations. This decrease, if recognized, would positively impact our effective tax rate, and would be recognized as additional tax benefits.</w:t>
      </w:r>
    </w:p>
    <w:p>
      <w:pPr>
        <w:spacing w:after="0" w:line="21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U.S. state and foreign income tax examinations by tax authorities for tax years prior to 2010. We are no longer subject to examination by U.S federal income tax authorities for tax years prior to 2015. We currently have ongoing tax audits in the United Kingdom, Canada and several other foreign jurisdictions. The focus of these audits is the inter-company profit allocation.</w:t>
      </w:r>
    </w:p>
    <w:p>
      <w:pPr>
        <w:spacing w:after="0" w:line="21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On June 7, 2019, the Ninth Circuit overturned the U.S. Tax Court’s decision in </w:t>
      </w:r>
      <w:r>
        <w:rPr>
          <w:rFonts w:ascii="Arial" w:cs="Arial" w:eastAsia="Arial" w:hAnsi="Arial"/>
          <w:sz w:val="18"/>
          <w:szCs w:val="18"/>
          <w:i w:val="1"/>
          <w:iCs w:val="1"/>
          <w:color w:val="auto"/>
        </w:rPr>
        <w:t>Altera</w:t>
      </w:r>
      <w:r>
        <w:rPr>
          <w:rFonts w:ascii="Arial" w:cs="Arial" w:eastAsia="Arial" w:hAnsi="Arial"/>
          <w:sz w:val="18"/>
          <w:szCs w:val="18"/>
          <w:color w:val="auto"/>
        </w:rPr>
        <w:t xml:space="preserve"> and ruled in favor of the Commissioner, validating the regulations requiring that stock-based compensation be included in a cost sharing arrangement. On June 22, 2020, the Supreme Court of the United States (the “Supreme Court”) issued an order declining the petition for certiorari in </w:t>
      </w:r>
      <w:r>
        <w:rPr>
          <w:rFonts w:ascii="Arial" w:cs="Arial" w:eastAsia="Arial" w:hAnsi="Arial"/>
          <w:sz w:val="18"/>
          <w:szCs w:val="18"/>
          <w:i w:val="1"/>
          <w:iCs w:val="1"/>
          <w:color w:val="auto"/>
        </w:rPr>
        <w:t>Altera</w:t>
      </w:r>
      <w:r>
        <w:rPr>
          <w:rFonts w:ascii="Arial" w:cs="Arial" w:eastAsia="Arial" w:hAnsi="Arial"/>
          <w:sz w:val="18"/>
          <w:szCs w:val="18"/>
          <w:color w:val="auto"/>
        </w:rPr>
        <w:t>. As a result, the Ninth Circuit’s decision requiring that stock-based compensation be included in cost sharing arrangements is the controlling law at present. However, as we are no longer part of a cost sharing arrangement, this does not impact our future income tax provisions. The Ninth Circuit’s decision, together with Supreme Court’s order, did not have a material impact on our condensed consolidated financial statements.</w:t>
      </w:r>
    </w:p>
    <w:p>
      <w:pPr>
        <w:spacing w:after="0" w:line="219" w:lineRule="exact"/>
        <w:rPr>
          <w:sz w:val="20"/>
          <w:szCs w:val="20"/>
          <w:color w:val="auto"/>
        </w:rPr>
      </w:pPr>
    </w:p>
    <w:p>
      <w:pPr>
        <w:ind w:right="260" w:firstLine="180"/>
        <w:spacing w:after="0" w:line="293" w:lineRule="auto"/>
        <w:rPr>
          <w:sz w:val="20"/>
          <w:szCs w:val="20"/>
          <w:color w:val="auto"/>
        </w:rPr>
      </w:pPr>
      <w:r>
        <w:rPr>
          <w:rFonts w:ascii="Arial" w:cs="Arial" w:eastAsia="Arial" w:hAnsi="Arial"/>
          <w:sz w:val="16"/>
          <w:szCs w:val="16"/>
          <w:color w:val="auto"/>
        </w:rPr>
        <w:t>On March 27, 2020, the President signed into law the Coronavirus Aid, Relief, and Economic Security Act (the “CARES Act”).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refundable employee retention credits. We do not expect there to be a material tax impact on our condensed consolidated financial statements at this time and will continue to assess the implications of the CARES Act and its continuing developments and interpretations.</w:t>
      </w:r>
    </w:p>
    <w:p>
      <w:pPr>
        <w:spacing w:after="0" w:line="191"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On July 9, 2020, the United States Department of the Treasury (the “U.S. Treasury”) and the Internal Revenue Service (the “IRS”) released final Section 250 regulations, providing guidance on foreign-derived intangible income deduction and global intangible low-taxed income. Generally, the final regulations are applicable for taxable years beginning on or after January 1, 2021. However, taxpayers may apply the final regulations for taxable years beginning on or after January 1, 2018. We have elected to apply the final regulations to the year ending December 31, 2020 and included the tax impact from the final regulations on our foreign-derived intangible income deduction calculation.</w:t>
      </w:r>
    </w:p>
    <w:p>
      <w:pPr>
        <w:spacing w:after="0" w:line="203"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 September 29, 2020, the U.S. Treasury and the IRS released final regulations related to foreign tax credits that were the subject of proposed regulations issued in December 2019 and proposed certain provisions in proposed regulations issued in December 2019. The final and proposed regulations provide administrative guidance for the foreign tax credit regime, which was updated in the 2017 Tax Cuts and Jobs Act. Generally, the provisions that were included in the 2019 proposed regulations apply to taxable years ending on or after December 16, 2019, except as otherwise specified. We are in the process of analyzing the tax impact from the final regulations on our foreign tax credit calculation.</w:t>
      </w:r>
    </w:p>
    <w:p>
      <w:pPr>
        <w:spacing w:after="0" w:line="19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5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tax-deductible contributions. Our board of directors approved 50% matching contributions on employee contributions up to 4% of each employee’s eligible earnings. Our matching contributions to our 401(k) Plan and the RRSP for the three months ended September 30, 2020 and September 30, 2019 were $2.1 million and $1.8 million, respectively. Our matching contributions to our 401(k) Plan and the RRSP for the nine months ended September 30, 2020 and September 30, 2019 were $6.5 million and $5.2 million,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ind w:left="7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2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3"/>
                <w:szCs w:val="13"/>
                <w:color w:val="auto"/>
              </w:rPr>
            </w:pPr>
          </w:p>
        </w:tc>
        <w:tc>
          <w:tcPr>
            <w:tcW w:w="144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3"/>
                <w:szCs w:val="13"/>
                <w:color w:val="auto"/>
              </w:rPr>
            </w:pPr>
          </w:p>
        </w:tc>
        <w:tc>
          <w:tcPr>
            <w:tcW w:w="1320" w:type="dxa"/>
            <w:vAlign w:val="bottom"/>
          </w:tcPr>
          <w:p>
            <w:pPr>
              <w:jc w:val="right"/>
              <w:ind w:right="152"/>
              <w:spacing w:after="0" w:line="158" w:lineRule="exact"/>
              <w:rPr>
                <w:sz w:val="20"/>
                <w:szCs w:val="20"/>
                <w:color w:val="auto"/>
              </w:rPr>
            </w:pPr>
            <w:r>
              <w:rPr>
                <w:rFonts w:ascii="Arial" w:cs="Arial" w:eastAsia="Arial" w:hAnsi="Arial"/>
                <w:sz w:val="16"/>
                <w:szCs w:val="16"/>
                <w:b w:val="1"/>
                <w:bCs w:val="1"/>
                <w:color w:val="auto"/>
                <w:w w:val="96"/>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93"/>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92"/>
              <w:spacing w:after="0" w:line="175"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433"/>
              <w:spacing w:after="0" w:line="175" w:lineRule="exact"/>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472"/>
              <w:spacing w:after="0" w:line="175"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Americas: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3"/>
          </w:tcPr>
          <w:p>
            <w:pPr>
              <w:ind w:left="18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182.3</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589.1</w:t>
            </w:r>
          </w:p>
        </w:tc>
        <w:tc>
          <w:tcPr>
            <w:tcW w:w="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3"/>
          </w:tcPr>
          <w:p>
            <w:pPr>
              <w:ind w:left="180"/>
              <w:spacing w:after="0"/>
              <w:rPr>
                <w:sz w:val="20"/>
                <w:szCs w:val="20"/>
                <w:color w:val="auto"/>
              </w:rPr>
            </w:pPr>
            <w:r>
              <w:rPr>
                <w:rFonts w:ascii="Arial" w:cs="Arial" w:eastAsia="Arial" w:hAnsi="Arial"/>
                <w:sz w:val="18"/>
                <w:szCs w:val="18"/>
                <w:color w:val="auto"/>
              </w:rPr>
              <w:t>Total Americas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776.0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Asia Pacific (“APAC”)</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7"/>
                <w:szCs w:val="17"/>
                <w:color w:val="auto"/>
              </w:rPr>
              <w:t>—</w:t>
            </w:r>
            <w:r>
              <w:rPr>
                <w:rFonts w:ascii="Arial" w:cs="Arial" w:eastAsia="Arial" w:hAnsi="Arial"/>
                <w:sz w:val="16"/>
                <w:szCs w:val="16"/>
                <w:b w:val="1"/>
                <w:bCs w:val="1"/>
                <w:color w:val="auto"/>
              </w:rPr>
              <w:t>net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533"/>
              <w:spacing w:after="0" w:line="175" w:lineRule="exact"/>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512"/>
              <w:spacing w:after="0" w:line="175"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3"/>
          </w:tcPr>
          <w:p>
            <w:pPr>
              <w:ind w:left="200"/>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270.9</w:t>
            </w:r>
          </w:p>
        </w:tc>
        <w:tc>
          <w:tcPr>
            <w:tcW w:w="60" w:type="dxa"/>
            <w:vAlign w:val="bottom"/>
          </w:tcPr>
          <w:p>
            <w:pPr>
              <w:spacing w:after="0"/>
              <w:rPr>
                <w:sz w:val="19"/>
                <w:szCs w:val="19"/>
                <w:color w:val="auto"/>
              </w:rPr>
            </w:pPr>
          </w:p>
        </w:tc>
        <w:tc>
          <w:tcPr>
            <w:tcW w:w="2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Latin America</w:t>
            </w: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Americas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EMEA</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APAC</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3"/>
          </w:tcPr>
          <w:p>
            <w:pPr>
              <w:ind w:left="440"/>
              <w:spacing w:after="0"/>
              <w:rPr>
                <w:sz w:val="20"/>
                <w:szCs w:val="20"/>
                <w:color w:val="auto"/>
              </w:rPr>
            </w:pPr>
            <w:r>
              <w:rPr>
                <w:rFonts w:ascii="Arial" w:cs="Arial" w:eastAsia="Arial" w:hAnsi="Arial"/>
                <w:sz w:val="18"/>
                <w:szCs w:val="18"/>
                <w:color w:val="auto"/>
              </w:rPr>
              <w:t>Total property and equipment—net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distributors accounted for 10% or more of our revenue: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3420" w:type="dxa"/>
            <w:vAlign w:val="bottom"/>
            <w:gridSpan w:val="4"/>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3220" w:type="dxa"/>
            <w:vAlign w:val="bottom"/>
            <w:gridSpan w:val="3"/>
          </w:tcPr>
          <w:p>
            <w:pPr>
              <w:jc w:val="right"/>
              <w:ind w:right="835"/>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600" w:type="dxa"/>
            <w:vAlign w:val="bottom"/>
          </w:tcPr>
          <w:p>
            <w:pPr>
              <w:spacing w:after="0"/>
              <w:rPr>
                <w:sz w:val="13"/>
                <w:szCs w:val="13"/>
                <w:color w:val="auto"/>
              </w:rPr>
            </w:pPr>
          </w:p>
        </w:tc>
        <w:tc>
          <w:tcPr>
            <w:tcW w:w="1720" w:type="dxa"/>
            <w:vAlign w:val="bottom"/>
            <w:tcBorders>
              <w:top w:val="single" w:sz="8" w:color="auto"/>
            </w:tcBorders>
            <w:gridSpan w:val="2"/>
          </w:tcPr>
          <w:p>
            <w:pPr>
              <w:ind w:left="300"/>
              <w:spacing w:after="0" w:line="158" w:lineRule="exact"/>
              <w:rPr>
                <w:sz w:val="20"/>
                <w:szCs w:val="20"/>
                <w:color w:val="auto"/>
              </w:rPr>
            </w:pPr>
            <w:r>
              <w:rPr>
                <w:rFonts w:ascii="Arial" w:cs="Arial" w:eastAsia="Arial" w:hAnsi="Arial"/>
                <w:sz w:val="16"/>
                <w:szCs w:val="16"/>
                <w:b w:val="1"/>
                <w:bCs w:val="1"/>
                <w:color w:val="auto"/>
              </w:rPr>
              <w:t>September 30,</w:t>
            </w:r>
          </w:p>
        </w:tc>
        <w:tc>
          <w:tcPr>
            <w:tcW w:w="1600" w:type="dxa"/>
            <w:vAlign w:val="bottom"/>
            <w:tcBorders>
              <w:top w:val="single" w:sz="8" w:color="auto"/>
            </w:tcBorders>
          </w:tcPr>
          <w:p>
            <w:pPr>
              <w:jc w:val="right"/>
              <w:ind w:right="215"/>
              <w:spacing w:after="0" w:line="158"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c>
          <w:tcPr>
            <w:tcW w:w="1660" w:type="dxa"/>
            <w:vAlign w:val="bottom"/>
            <w:tcBorders>
              <w:top w:val="single" w:sz="8" w:color="auto"/>
            </w:tcBorders>
            <w:gridSpan w:val="2"/>
          </w:tcPr>
          <w:p>
            <w:pPr>
              <w:ind w:left="280"/>
              <w:spacing w:after="0" w:line="158" w:lineRule="exact"/>
              <w:rPr>
                <w:sz w:val="20"/>
                <w:szCs w:val="20"/>
                <w:color w:val="auto"/>
              </w:rPr>
            </w:pPr>
            <w:r>
              <w:rPr>
                <w:rFonts w:ascii="Arial" w:cs="Arial" w:eastAsia="Arial" w:hAnsi="Arial"/>
                <w:sz w:val="16"/>
                <w:szCs w:val="16"/>
                <w:b w:val="1"/>
                <w:bCs w:val="1"/>
                <w:color w:val="auto"/>
              </w:rPr>
              <w:t>September 30,</w:t>
            </w:r>
          </w:p>
        </w:tc>
        <w:tc>
          <w:tcPr>
            <w:tcW w:w="1560" w:type="dxa"/>
            <w:vAlign w:val="bottom"/>
            <w:tcBorders>
              <w:top w:val="single" w:sz="8" w:color="auto"/>
            </w:tcBorders>
          </w:tcPr>
          <w:p>
            <w:pPr>
              <w:jc w:val="right"/>
              <w:ind w:right="195"/>
              <w:spacing w:after="0" w:line="158" w:lineRule="exact"/>
              <w:rPr>
                <w:sz w:val="20"/>
                <w:szCs w:val="20"/>
                <w:color w:val="auto"/>
              </w:rPr>
            </w:pPr>
            <w:r>
              <w:rPr>
                <w:rFonts w:ascii="Arial" w:cs="Arial" w:eastAsia="Arial" w:hAnsi="Arial"/>
                <w:sz w:val="16"/>
                <w:szCs w:val="16"/>
                <w:b w:val="1"/>
                <w:bCs w:val="1"/>
                <w:color w:val="auto"/>
              </w:rPr>
              <w:t>September 30,</w:t>
            </w:r>
          </w:p>
        </w:tc>
      </w:tr>
      <w:tr>
        <w:trPr>
          <w:trHeight w:val="213"/>
        </w:trPr>
        <w:tc>
          <w:tcPr>
            <w:tcW w:w="46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2019</w:t>
            </w:r>
          </w:p>
        </w:tc>
      </w:tr>
      <w:tr>
        <w:trPr>
          <w:trHeight w:val="22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Exclusive Networks Group (“Exclusive”)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Ingram Micro, Inc. (“Ingram Micro”)</w:t>
            </w:r>
          </w:p>
        </w:tc>
        <w:tc>
          <w:tcPr>
            <w:tcW w:w="160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distributors accounted for 10% or more of net accounts receivable:</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60" w:type="dxa"/>
            <w:vAlign w:val="bottom"/>
          </w:tcPr>
          <w:p>
            <w:pPr>
              <w:spacing w:after="0"/>
              <w:rPr>
                <w:sz w:val="16"/>
                <w:szCs w:val="16"/>
                <w:color w:val="auto"/>
              </w:rPr>
            </w:pPr>
          </w:p>
        </w:tc>
        <w:tc>
          <w:tcPr>
            <w:tcW w:w="1760" w:type="dxa"/>
            <w:vAlign w:val="bottom"/>
            <w:gridSpan w:val="2"/>
          </w:tcPr>
          <w:p>
            <w:pPr>
              <w:ind w:left="320"/>
              <w:spacing w:after="0"/>
              <w:rPr>
                <w:sz w:val="20"/>
                <w:szCs w:val="20"/>
                <w:color w:val="auto"/>
              </w:rPr>
            </w:pPr>
            <w:r>
              <w:rPr>
                <w:rFonts w:ascii="Arial" w:cs="Arial" w:eastAsia="Arial" w:hAnsi="Arial"/>
                <w:sz w:val="16"/>
                <w:szCs w:val="16"/>
                <w:b w:val="1"/>
                <w:bCs w:val="1"/>
                <w:color w:val="auto"/>
              </w:rPr>
              <w:t>September 30,</w:t>
            </w:r>
          </w:p>
        </w:tc>
        <w:tc>
          <w:tcPr>
            <w:tcW w:w="1660" w:type="dxa"/>
            <w:vAlign w:val="bottom"/>
          </w:tcPr>
          <w:p>
            <w:pPr>
              <w:jc w:val="right"/>
              <w:ind w:right="274"/>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7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2019</w:t>
            </w:r>
          </w:p>
        </w:tc>
      </w:tr>
      <w:tr>
        <w:trPr>
          <w:trHeight w:val="22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Exclusive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Ingram Micro</w:t>
            </w:r>
          </w:p>
        </w:tc>
        <w:tc>
          <w:tcPr>
            <w:tcW w:w="16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Tech Data Corporation</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4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Represents less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11"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duration and impact of the COVID-19 pandemic;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52" w:lineRule="exact"/>
        <w:rPr>
          <w:rFonts w:ascii="Arial" w:cs="Arial" w:eastAsia="Arial" w:hAnsi="Arial"/>
          <w:sz w:val="18"/>
          <w:szCs w:val="18"/>
          <w:i w:val="1"/>
          <w:iCs w:val="1"/>
          <w:color w:val="auto"/>
        </w:rPr>
      </w:pPr>
    </w:p>
    <w:p>
      <w:pPr>
        <w:ind w:left="1300" w:right="46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impact of macro-economic, geopolitical factors and other disruption on our manufacturing or sales, including the impact of the COVID-19 pandemic and other public health issues and natural disasters;</w:t>
      </w:r>
    </w:p>
    <w:p>
      <w:pPr>
        <w:spacing w:after="0" w:line="19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effects of government regulation, tariffs and other related policies;</w:t>
      </w:r>
    </w:p>
    <w:p>
      <w:pPr>
        <w:spacing w:after="0" w:line="252"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sales productivity, functionality and value in our standalone and bundled subscription service offerings;</w:t>
      </w:r>
    </w:p>
    <w:p>
      <w:pPr>
        <w:spacing w:after="0" w:line="197" w:lineRule="exact"/>
        <w:rPr>
          <w:rFonts w:ascii="Arial" w:cs="Arial" w:eastAsia="Arial" w:hAnsi="Arial"/>
          <w:sz w:val="18"/>
          <w:szCs w:val="18"/>
          <w:color w:val="auto"/>
        </w:rPr>
      </w:pPr>
    </w:p>
    <w:p>
      <w:pPr>
        <w:jc w:val="both"/>
        <w:ind w:left="1300" w:right="60" w:hanging="644"/>
        <w:spacing w:after="0" w:line="259"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growing our sales to businesses, service providers and government organizations, our ability to execute these sales and of the complexity of selling to all segments (including the increased competition and unpredictability of timing associated with sales to larger enterprises), the impact of sales to these organizations on our long-term growth, expansion and operating results, and the effectiveness of our internal sales organization;</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52" w:lineRule="exact"/>
        <w:rPr>
          <w:rFonts w:ascii="Arial" w:cs="Arial" w:eastAsia="Arial" w:hAnsi="Arial"/>
          <w:sz w:val="18"/>
          <w:szCs w:val="18"/>
          <w:color w:val="auto"/>
        </w:rPr>
      </w:pPr>
    </w:p>
    <w:p>
      <w:pPr>
        <w:ind w:left="1300" w:right="6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97" w:lineRule="exact"/>
        <w:rPr>
          <w:rFonts w:ascii="Arial" w:cs="Arial" w:eastAsia="Arial" w:hAnsi="Arial"/>
          <w:sz w:val="18"/>
          <w:szCs w:val="18"/>
          <w:color w:val="auto"/>
        </w:rPr>
      </w:pPr>
    </w:p>
    <w:p>
      <w:pPr>
        <w:ind w:left="1300" w:right="52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and expectations related to acquisitions or sales of assets, including integration issues related to product plans and products, including the acquired technology;</w:t>
      </w:r>
    </w:p>
    <w:p>
      <w:pPr>
        <w:spacing w:after="0" w:line="197" w:lineRule="exact"/>
        <w:rPr>
          <w:rFonts w:ascii="Arial" w:cs="Arial" w:eastAsia="Arial" w:hAnsi="Arial"/>
          <w:sz w:val="18"/>
          <w:szCs w:val="18"/>
          <w:color w:val="auto"/>
        </w:rPr>
      </w:pPr>
    </w:p>
    <w:p>
      <w:pPr>
        <w:ind w:left="1300" w:right="600" w:hanging="644"/>
        <w:spacing w:after="0" w:line="277" w:lineRule="auto"/>
        <w:tabs>
          <w:tab w:leader="none" w:pos="129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 and expectations that our research and development expense will increase in absolute dollars during 2020;</w:t>
      </w:r>
    </w:p>
    <w:p>
      <w:pPr>
        <w:spacing w:after="0" w:line="197" w:lineRule="exact"/>
        <w:rPr>
          <w:rFonts w:ascii="Arial" w:cs="Arial" w:eastAsia="Arial" w:hAnsi="Arial"/>
          <w:sz w:val="18"/>
          <w:szCs w:val="18"/>
          <w:i w:val="1"/>
          <w:iCs w:val="1"/>
          <w:color w:val="auto"/>
        </w:rPr>
      </w:pPr>
    </w:p>
    <w:p>
      <w:pPr>
        <w:ind w:left="1300" w:right="24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continued investments in our sales resources and infrastructure and marketing strategy, and expectations that our sales and marketing expense will increase in absolute dollars during 2020;</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general and administrative expense will increase in absolute dollars during 2020;</w:t>
      </w:r>
    </w:p>
    <w:p>
      <w:pPr>
        <w:spacing w:after="0" w:line="252" w:lineRule="exact"/>
        <w:rPr>
          <w:rFonts w:ascii="Arial" w:cs="Arial" w:eastAsia="Arial" w:hAnsi="Arial"/>
          <w:sz w:val="18"/>
          <w:szCs w:val="18"/>
          <w:i w:val="1"/>
          <w:iCs w:val="1"/>
          <w:color w:val="auto"/>
        </w:rPr>
      </w:pPr>
    </w:p>
    <w:p>
      <w:pPr>
        <w:ind w:left="1300" w:right="80" w:hanging="644"/>
        <w:spacing w:after="0" w:line="277" w:lineRule="auto"/>
        <w:tabs>
          <w:tab w:leader="none" w:pos="129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adversely impacted by the increased mix of restricted stock units versus stock options granted;</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a range of 2020 spending on our headquarters expansion project;</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00" w:right="260" w:hanging="644"/>
        <w:spacing w:after="0" w:line="232" w:lineRule="auto"/>
        <w:tabs>
          <w:tab w:leader="none" w:pos="1295" w:val="left"/>
        </w:tabs>
        <w:numPr>
          <w:ilvl w:val="0"/>
          <w:numId w:val="20"/>
        </w:numPr>
        <w:rPr>
          <w:rFonts w:ascii="Arial" w:cs="Arial" w:eastAsia="Arial" w:hAnsi="Arial"/>
          <w:sz w:val="22"/>
          <w:szCs w:val="22"/>
          <w:color w:val="auto"/>
        </w:rPr>
      </w:pPr>
      <w:r>
        <w:rPr>
          <w:rFonts w:ascii="Arial" w:cs="Arial" w:eastAsia="Arial" w:hAnsi="Arial"/>
          <w:sz w:val="18"/>
          <w:szCs w:val="18"/>
          <w:i w:val="1"/>
          <w:iCs w:val="1"/>
          <w:color w:val="auto"/>
        </w:rPr>
        <w:t>expectations regarding uncertain tax benefits and our effective domestic and global tax rates, and the impact of the Tax Cuts and Jobs Act (the “2017 Tax Act”);</w:t>
      </w:r>
    </w:p>
    <w:p>
      <w:pPr>
        <w:spacing w:after="0" w:line="216" w:lineRule="exact"/>
        <w:rPr>
          <w:rFonts w:ascii="Arial" w:cs="Arial" w:eastAsia="Arial" w:hAnsi="Arial"/>
          <w:sz w:val="22"/>
          <w:szCs w:val="22"/>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statements regarding expected outcomes and liabilities in litigation;</w:t>
      </w:r>
    </w:p>
    <w:p>
      <w:pPr>
        <w:spacing w:after="0" w:line="252"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for at least the next 12 months;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52"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Fortinet is a global leader in cybersecurity solutions provided to a wide variety of organizations, including enterprises, communication service providers, government organizations and small businesses. Our cybersecurity solutions are designed to provide broad visibility and segmentation of the digital attack surface through our integrated Fortinet Security Fabric platform, which features automated protection, detection and response. The Fortinet Security Fabric platform helps organizations secure their environments and reduce their security and network complexities. The Fortinet Security Fabric platform has an open architecture designed to connect Fortinet solutions and third-party solutions into a single ecosystem, enabling integration and automation.</w:t>
      </w:r>
    </w:p>
    <w:p>
      <w:pPr>
        <w:spacing w:after="0" w:line="21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product offerings consist of our FortiGate network security product family and our non-FortiGate products. Our FortiGate hardware and software licenses are sold with a set of security services in addition to networking features. Our security services are enabled by FortiGuard Labs, which provides threat research and artificial intelligence capabilities from a cloud network to deliver protection services to each FortiGate appliance and virtual machine that is registered by the end-customer.</w:t>
      </w:r>
    </w:p>
    <w:p>
      <w:pPr>
        <w:spacing w:after="0" w:line="21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FortiOS operating system, virtual machines and associated security and networking functions are combined to form the Fortinet Security Fabric platform. This approach to security ties discrete security solutions together into an integrated whole.</w:t>
      </w:r>
    </w:p>
    <w:p>
      <w:pPr>
        <w:spacing w:after="0" w:line="197"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Our proprietary Security Processing Units (“SPUs”) are Application-Specific Integrated Circuits that are designed to enhance the security processing capabilities implemented in software by accelerating computationally intensive tasks such as firewall policy enforcement, software-defined wide-area network (“SD-WAN”), network address translation, Intrusion Prevention Systems (“IPS”), threat detection and encryption.</w:t>
      </w:r>
    </w:p>
    <w:p>
      <w:pPr>
        <w:spacing w:after="0" w:line="17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FortiOS provides the foundation for the operation of all FortiGate network security appliances, whether physical, virtual, private- or public-cloud based, and is at the heart of the Fortinet Security Fabric platform. We make regular updates to FortiOS available through our FortiCare support services. The security and networking capabilities of the Fortinet Security Fabric platform are controlled through FortiOS. FortiOS directs the operations of processors and SPUs and provides system management functions.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52" w:lineRule="exact"/>
        <w:rPr>
          <w:sz w:val="20"/>
          <w:szCs w:val="20"/>
          <w:color w:val="auto"/>
        </w:rPr>
      </w:pPr>
    </w:p>
    <w:p>
      <w:pPr>
        <w:ind w:left="660" w:right="20" w:hanging="328"/>
        <w:spacing w:after="0" w:line="24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Security-Driven Networking</w:t>
      </w:r>
      <w:r>
        <w:rPr>
          <w:rFonts w:ascii="Arial" w:cs="Arial" w:eastAsia="Arial" w:hAnsi="Arial"/>
          <w:sz w:val="18"/>
          <w:szCs w:val="18"/>
          <w:color w:val="auto"/>
        </w:rPr>
        <w:t>—We derive a majority of product sales from our FortiGate network security appliances. Our FortiGate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appliances include a broad set of built-in security and networking features and functionalities, including firewall, next-generation firewall, secure web gateway, secure sockets layer inspection, SD-WAN, IPS, sandboxing, data leak prevention, virtual private network (“VPN”), switch and wireless controller and WAN edge. Our network security appliances are managed by our FortiOS network operating system, which provides the foundation for FortiGate security functions. We enhance the performance of our network security appliances from branch to data center by designing and implementing SPU technology within our appliances, enabling us to add security and network functionality with minimal impact to network throughput performance.</w:t>
      </w:r>
    </w:p>
    <w:p>
      <w:pPr>
        <w:spacing w:after="0" w:line="209" w:lineRule="exact"/>
        <w:rPr>
          <w:rFonts w:ascii="Arial" w:cs="Arial" w:eastAsia="Arial" w:hAnsi="Arial"/>
          <w:sz w:val="18"/>
          <w:szCs w:val="18"/>
          <w:color w:val="auto"/>
        </w:rPr>
      </w:pPr>
    </w:p>
    <w:p>
      <w:pPr>
        <w:ind w:left="660" w:right="32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Infrastructure Security</w:t>
      </w:r>
      <w:r>
        <w:rPr>
          <w:rFonts w:ascii="Arial" w:cs="Arial" w:eastAsia="Arial" w:hAnsi="Arial"/>
          <w:sz w:val="18"/>
          <w:szCs w:val="18"/>
          <w:color w:val="auto"/>
        </w:rPr>
        <w:t>—The Fortinet Security Fabric platform extends beyond the network to cover other attack vectors. Other infrastructure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covered include teleworker and remote security solutions such as FortiAuthenticator, FortiClient and FortiToken, as well as Secure Access (Wi-Fi and switch).</w:t>
      </w:r>
    </w:p>
    <w:p>
      <w:pPr>
        <w:spacing w:after="0" w:line="210" w:lineRule="exact"/>
        <w:rPr>
          <w:rFonts w:ascii="Arial" w:cs="Arial" w:eastAsia="Arial" w:hAnsi="Arial"/>
          <w:sz w:val="18"/>
          <w:szCs w:val="18"/>
          <w:color w:val="auto"/>
        </w:rPr>
      </w:pPr>
    </w:p>
    <w:p>
      <w:pPr>
        <w:ind w:left="660" w:right="100" w:hanging="328"/>
        <w:spacing w:after="0" w:line="271"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Dynamic Cloud Security</w:t>
      </w:r>
      <w:r>
        <w:rPr>
          <w:rFonts w:ascii="Arial" w:cs="Arial" w:eastAsia="Arial" w:hAnsi="Arial"/>
          <w:sz w:val="17"/>
          <w:szCs w:val="17"/>
          <w:color w:val="auto"/>
        </w:rPr>
        <w:t>—We help customers connect securely to and across their individual, hybrid and multi-cloud environments by offering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security through our virtual firewall and other software products and through integrated capabilities with major cloud platforms. Our public and private cloud security solutions, including virtual appliances and hosted solutions, extend the core capabilities of the Fortinet Security Fabric platform in and across cloud environments, delivering security that follows their applications and data. Our Secure SD-WAN for Multi-Cloud solution automates deployment of an overlay network across different cloud networks and offers visibility, control and centralized management that integrates functionality across multiple cloud environments. Fortinet cloud security offerings are available across all major public and private cloud providers, including Amazon Web Services, Microsoft Azure, Google Cloud, Oracle Cloud, Alibaba Cloud, IBM Cloud and VMWare Cloud. Our Cloud Security portfolio also includes securing applications, including email and web.</w:t>
      </w:r>
    </w:p>
    <w:p>
      <w:pPr>
        <w:spacing w:after="0" w:line="205" w:lineRule="exact"/>
        <w:rPr>
          <w:rFonts w:ascii="Arial" w:cs="Arial" w:eastAsia="Arial" w:hAnsi="Arial"/>
          <w:sz w:val="17"/>
          <w:szCs w:val="17"/>
          <w:color w:val="auto"/>
        </w:rPr>
      </w:pPr>
    </w:p>
    <w:p>
      <w:pPr>
        <w:ind w:left="660" w:right="160" w:hanging="328"/>
        <w:spacing w:after="0" w:line="25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Endpoint Protection, Internet of Things (</w:t>
      </w:r>
      <w:r>
        <w:rPr>
          <w:rFonts w:ascii="Arial" w:cs="Arial" w:eastAsia="Arial" w:hAnsi="Arial"/>
          <w:sz w:val="18"/>
          <w:szCs w:val="18"/>
          <w:color w:val="auto"/>
        </w:rPr>
        <w:t>“</w:t>
      </w:r>
      <w:r>
        <w:rPr>
          <w:rFonts w:ascii="Arial" w:cs="Arial" w:eastAsia="Arial" w:hAnsi="Arial"/>
          <w:sz w:val="18"/>
          <w:szCs w:val="18"/>
          <w:b w:val="1"/>
          <w:bCs w:val="1"/>
          <w:i w:val="1"/>
          <w:iCs w:val="1"/>
          <w:color w:val="auto"/>
        </w:rPr>
        <w:t>IoT</w:t>
      </w:r>
      <w:r>
        <w:rPr>
          <w:rFonts w:ascii="Arial" w:cs="Arial" w:eastAsia="Arial" w:hAnsi="Arial"/>
          <w:sz w:val="18"/>
          <w:szCs w:val="18"/>
          <w:color w:val="auto"/>
        </w:rPr>
        <w:t>”</w:t>
      </w:r>
      <w:r>
        <w:rPr>
          <w:rFonts w:ascii="Arial" w:cs="Arial" w:eastAsia="Arial" w:hAnsi="Arial"/>
          <w:sz w:val="18"/>
          <w:szCs w:val="18"/>
          <w:b w:val="1"/>
          <w:bCs w:val="1"/>
          <w:i w:val="1"/>
          <w:iCs w:val="1"/>
          <w:color w:val="auto"/>
        </w:rPr>
        <w:t>) and Operational Technology (</w:t>
      </w:r>
      <w:r>
        <w:rPr>
          <w:rFonts w:ascii="Arial" w:cs="Arial" w:eastAsia="Arial" w:hAnsi="Arial"/>
          <w:sz w:val="18"/>
          <w:szCs w:val="18"/>
          <w:color w:val="auto"/>
        </w:rPr>
        <w:t>“</w:t>
      </w:r>
      <w:r>
        <w:rPr>
          <w:rFonts w:ascii="Arial" w:cs="Arial" w:eastAsia="Arial" w:hAnsi="Arial"/>
          <w:sz w:val="18"/>
          <w:szCs w:val="18"/>
          <w:b w:val="1"/>
          <w:bCs w:val="1"/>
          <w:i w:val="1"/>
          <w:iCs w:val="1"/>
          <w:color w:val="auto"/>
        </w:rPr>
        <w:t>OT</w:t>
      </w:r>
      <w:r>
        <w:rPr>
          <w:rFonts w:ascii="Arial" w:cs="Arial" w:eastAsia="Arial" w:hAnsi="Arial"/>
          <w:sz w:val="18"/>
          <w:szCs w:val="18"/>
          <w:color w:val="auto"/>
        </w:rPr>
        <w:t>”</w:t>
      </w:r>
      <w:r>
        <w:rPr>
          <w:rFonts w:ascii="Arial" w:cs="Arial" w:eastAsia="Arial" w:hAnsi="Arial"/>
          <w:sz w:val="18"/>
          <w:szCs w:val="18"/>
          <w:b w:val="1"/>
          <w:bCs w:val="1"/>
          <w:i w:val="1"/>
          <w:iCs w:val="1"/>
          <w:color w:val="auto"/>
        </w:rPr>
        <w:t>) Security</w:t>
      </w:r>
      <w:r>
        <w:rPr>
          <w:rFonts w:ascii="Arial" w:cs="Arial" w:eastAsia="Arial" w:hAnsi="Arial"/>
          <w:sz w:val="18"/>
          <w:szCs w:val="18"/>
          <w:color w:val="auto"/>
        </w:rPr>
        <w:t>—We protect end-customers from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threats that target their devices and the data that reside on them through our advanced endpoint solutions that provide core endpoint protection, advanced threat protection, incident monitoring, and response. Additionally, the proliferation of IoT and the digitization of OT devices has generated new opportunities for us to grow our business. We offer network access control solutions that provide visibility, control and automated event responses in order to secure IoT devices.</w:t>
      </w:r>
    </w:p>
    <w:p>
      <w:pPr>
        <w:spacing w:after="0" w:line="214" w:lineRule="exact"/>
        <w:rPr>
          <w:rFonts w:ascii="Arial" w:cs="Arial" w:eastAsia="Arial" w:hAnsi="Arial"/>
          <w:sz w:val="18"/>
          <w:szCs w:val="18"/>
          <w:color w:val="auto"/>
        </w:rPr>
      </w:pPr>
    </w:p>
    <w:p>
      <w:pPr>
        <w:ind w:left="660" w:right="140" w:hanging="328"/>
        <w:spacing w:after="0" w:line="270"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AI-Driven Security Operations</w:t>
      </w:r>
      <w:r>
        <w:rPr>
          <w:rFonts w:ascii="Arial" w:cs="Arial" w:eastAsia="Arial" w:hAnsi="Arial"/>
          <w:sz w:val="17"/>
          <w:szCs w:val="17"/>
          <w:color w:val="auto"/>
        </w:rPr>
        <w:t>—We develop and provide AI-driven security operations solutions, including FortiGuard and other security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 services, endpoint detection and response, and our security operations, analytics, and reporting (“SOAR”) capabilities and solutions, that can be applied across the entire Fortinet Security Fabric platform. These solutions deliver intelligence and insights.</w:t>
      </w:r>
    </w:p>
    <w:p>
      <w:pPr>
        <w:spacing w:after="0" w:line="19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addition to our security solutions, our customers may purchase FortiGuard and other security subscription services to receive threat intelligence updates and protection updates delivered by FortiGuard Labs, FortiCare technical support services and the support of Technical Account Managers, Resident Engineers and professional service consultants for implementations or training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 of Prior Period Financial Data</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As discussed further in Note 2 of the notes to condensed consolidated financial statements included in Part I, Item 1 of this Quarterly Report on Form 10-Q, we identified an immaterial error related to the commencement of revenue recognition for certain FortiCare standalone service contracts, which resulted in an understatement of revenue during the three and nine months ended September 30, 2019 and the six months ended June 30, 2020.</w:t>
      </w:r>
    </w:p>
    <w:p>
      <w:pPr>
        <w:spacing w:after="0" w:line="176"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correction of this error resulted in increases to service revenue, gross profit and operating income of $2.9 million for the six months ended June 30, 2020 and $0.6 million and $3.1 million for the three and nine months ended September 30, 2019, respectively. Net income increased by $2.3 million for the six months ended June 30, 2020 and by $0.4 million and $2.2 million for the three and nine months ended September 30, 2019, which resulted in an increase to diluted net income per share of $0.02 for the six months ended June 30, 2020, no impact for the three months ended September 30, 2019 and an increase of $0.01 for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We evaluated the effect of this correction on the previous results of operations and determined that it did not impact any trends previously disclosed. This correction did not impact billings, net cash provided by operating activities or free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52" w:lineRule="exact"/>
        <w:rPr>
          <w:sz w:val="20"/>
          <w:szCs w:val="20"/>
          <w:color w:val="auto"/>
        </w:rPr>
      </w:pPr>
    </w:p>
    <w:p>
      <w:pPr>
        <w:ind w:left="660" w:right="12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revenue was $651.1 million and $1.85 billion during the three and nine months ended September 30, 2020, respectively, an increase of 19% and 20%, respectively, compared to $548.1 million and $1.54 billion in the same periods last year, respectively. Product revenue was $223.8 million and $628.0 million during the three and nine months ended September 30, 2020, respectively, an increase of 14% in both periods, compared to $197.1 million and $549.7 million in the same periods last year, respectively. Service revenue was $427.3 million and $1.22 billion during the three and nine months ended September 30, 2020, respectively, an increase of 22% in both periods, compared to $351.0 million and $995.2 million in the same periods last year, respectively.</w:t>
      </w:r>
    </w:p>
    <w:p>
      <w:pPr>
        <w:spacing w:after="0" w:line="219" w:lineRule="exact"/>
        <w:rPr>
          <w:rFonts w:ascii="Arial" w:cs="Arial" w:eastAsia="Arial" w:hAnsi="Arial"/>
          <w:sz w:val="18"/>
          <w:szCs w:val="18"/>
          <w:color w:val="auto"/>
        </w:rPr>
      </w:pPr>
    </w:p>
    <w:p>
      <w:pPr>
        <w:ind w:left="660" w:right="24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Total gross profit was $511.9 million and $1.44 billion during the three and nine months ended September 30, 2020, respectively, an increase of 21% and 22%, respectively, compared to $424.0 million and $1.18 billion in the same periods last year, respectively.</w:t>
      </w:r>
    </w:p>
    <w:p>
      <w:pPr>
        <w:spacing w:after="0" w:line="173" w:lineRule="exact"/>
        <w:rPr>
          <w:rFonts w:ascii="Arial" w:cs="Arial" w:eastAsia="Arial" w:hAnsi="Arial"/>
          <w:sz w:val="17"/>
          <w:szCs w:val="17"/>
          <w:color w:val="auto"/>
        </w:rPr>
      </w:pPr>
    </w:p>
    <w:p>
      <w:pPr>
        <w:ind w:left="660" w:right="2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generated operating income of $126.9 million and $362.4 million during the three and nine months ended September 30, 2020, respectively, an increase of 26% and 58%, respectively, compared to $100.6 million and $228.9 million in the same periods last year, respectively. Operating income during the three and nine months ended September 30, 2020 included gains on an intellectual property (“IP”) matter of $1.1 million and $39.0 million, respectively.</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cash equivalents and investments were $1.77 billion as of September 30, 2020.</w:t>
      </w:r>
    </w:p>
    <w:p>
      <w:pPr>
        <w:spacing w:after="0" w:line="25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nine months ended September 30, 2020, we repurchased 11.4 million shares of common stock under our Share Repurchase Program (the “Repurchase Program”), for a total purchase price of $1.05 billion.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Deferred revenue was $2.39 billion as of September 30, 2020, an increase of $282.9 million, or 13%, from December 31, 2019.</w:t>
      </w:r>
    </w:p>
    <w:p>
      <w:pPr>
        <w:spacing w:after="0" w:line="252" w:lineRule="exact"/>
        <w:rPr>
          <w:rFonts w:ascii="Arial" w:cs="Arial" w:eastAsia="Arial" w:hAnsi="Arial"/>
          <w:sz w:val="18"/>
          <w:szCs w:val="18"/>
          <w:color w:val="auto"/>
        </w:rPr>
      </w:pPr>
    </w:p>
    <w:p>
      <w:pPr>
        <w:ind w:left="660" w:right="32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generated cash flows from operating activities of $787.2 million, which includes $50.0 million proceeds from an IP matter, during the nine months ended September 30, 2020, an increase of $169.6 million, or 27%, compared to the same period last year.</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revenue growth was driven by both product and service revenue. On a geographic basis, revenue continues to be diversified, which remains a key strength of our business. During the three months ended September 30, 2020, the Americas region, the Europe, Middle East and Africa (“EMEA”) region and the Asia Pacific (“APAC”) region contributed 42%, 37% and 21% of our total revenue, respectively, and increased by 13%, 21% and 27% compared to the same period last year, respectively. During the nine months ended September 30, 2020, the Americas region, the Europe, Middle East and Africa region and the Asia Pacific region contributed 42%, 38% and 20% of our total revenue, respectively, and increased by 16%, 21% and 23% compared to the same period last year, respectively.</w:t>
      </w:r>
    </w:p>
    <w:p>
      <w:pPr>
        <w:spacing w:after="0" w:line="21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Product revenue grew 14% during both the three and nine months ended September 30, 2020 compared to the same periods last year. We experienced revenue growth across several of our hardware and software products, including SD-WAN and teleworker and remote security solutions. Service revenue growth of 22% during both the three and nine months ended September 30, 2020 compared to the same periods last year was driven by the strength of our FortiGuard and other security subscription revenue, which grew 22% and 23%, respectively, and of our FortiCare technical support and other service revenue, which grew 21% and 22%, respectively, compared to the same periods last year.</w:t>
      </w:r>
    </w:p>
    <w:p>
      <w:pPr>
        <w:spacing w:after="0" w:line="20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billings were diversified on a geographic basis. During the three months ended September 30, 2020, approximately 50% of our billings in the aggregate were from over 80 countries that individually contributed less than 3% of our billings.</w:t>
      </w:r>
    </w:p>
    <w:p>
      <w:pPr>
        <w:spacing w:after="0" w:line="197"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During the third quarter of 2020, we acquired OPAQ Networks, Inc. (“OPAQ”) to further enhance the Fortinet Security Fabric platform by providing enterprises with OPAQ’s patented Zero Trust Network Access, SASE cloud solution. The impact of this acquisition was not material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three and nine months ended September 30, 2020, we recognized gains of $1.1 million and $39.0 million, respectively, on an IP matter in connection with a mutual covenant-not-to-sue and release agreement with a competitor in the network security industry. Excluding the gains on the IP matter, operating expenses as a percentage of revenue increased by 0.3 percentage points and decreased by 0.8 percentage points, respectively, during the three and nine months ended September 30, 2020 compared to the same periods last year. Headcount increased to 8,075 employees and contractors as of September 30, 2020, a 4% increase compared to 7,756 as of June 30, 2020 and a 14% increase compared to 7,082 as of December 31, 2019. The acquisition of OPAQ increased headcount by 44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52" w:lineRule="exact"/>
        <w:rPr>
          <w:sz w:val="20"/>
          <w:szCs w:val="20"/>
          <w:color w:val="auto"/>
        </w:rPr>
      </w:pPr>
    </w:p>
    <w:p>
      <w:pPr>
        <w:ind w:right="240" w:firstLine="405"/>
        <w:spacing w:after="0" w:line="241" w:lineRule="auto"/>
        <w:rPr>
          <w:sz w:val="20"/>
          <w:szCs w:val="20"/>
          <w:color w:val="auto"/>
        </w:rPr>
      </w:pPr>
      <w:r>
        <w:rPr>
          <w:rFonts w:ascii="Arial" w:cs="Arial" w:eastAsia="Arial" w:hAnsi="Arial"/>
          <w:sz w:val="18"/>
          <w:szCs w:val="18"/>
          <w:color w:val="212529"/>
        </w:rPr>
        <w:t>The United States and the global community we serve are facing unprecedented challenges posed by the COVID-19 pandemic. In response to the pandemic, we have taken a number of actions to protect our employees, including restricting travel and directing most of our employees to work from home. Where onsite work is permitted, we have implemented measures such as staggered work shifts, social distancing, the use of face coverings, health safety awareness training and frequent disinfection of shared spaces. We have implemented our readiness plans, which include steps to maintain critical internet infrastructure with most employees working remotely.</w:t>
      </w:r>
    </w:p>
    <w:p>
      <w:pPr>
        <w:spacing w:after="0" w:line="216"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212529"/>
        </w:rPr>
        <w:t>We are also providing free online information technology security training for the public, aimed at helping high school and college students and professionals augment their security skill sets to open career opportunities and to help narrow the security skills gap. As of September 30, 2020, there have been over 600,000 registrations for our free online trainings since we launched the program.</w:t>
      </w:r>
    </w:p>
    <w:p>
      <w:pPr>
        <w:spacing w:after="0" w:line="211"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212529"/>
        </w:rPr>
        <w:t xml:space="preserve">While the broader implications of the COVID-19 pandemic on our employees and overall financial performance remain uncertain, we have seen certain impacts on our business and operations, results of operations, financial condition, cash flows, liquidity and capital and financial resources as of and during the three and </w:t>
      </w:r>
      <w:r>
        <w:rPr>
          <w:rFonts w:ascii="Arial" w:cs="Arial" w:eastAsia="Arial" w:hAnsi="Arial"/>
          <w:sz w:val="17"/>
          <w:szCs w:val="17"/>
          <w:color w:val="000000"/>
        </w:rPr>
        <w:t>nine</w:t>
      </w:r>
      <w:r>
        <w:rPr>
          <w:rFonts w:ascii="Arial" w:cs="Arial" w:eastAsia="Arial" w:hAnsi="Arial"/>
          <w:sz w:val="17"/>
          <w:szCs w:val="17"/>
          <w:color w:val="212529"/>
        </w:rPr>
        <w:t xml:space="preserve"> months ended September 30, 2020. Conversely, some aspects of our business do not appear to have been significantly affected. During the three and </w:t>
      </w:r>
      <w:r>
        <w:rPr>
          <w:rFonts w:ascii="Arial" w:cs="Arial" w:eastAsia="Arial" w:hAnsi="Arial"/>
          <w:sz w:val="17"/>
          <w:szCs w:val="17"/>
          <w:color w:val="000000"/>
        </w:rPr>
        <w:t>nine</w:t>
      </w:r>
      <w:r>
        <w:rPr>
          <w:rFonts w:ascii="Arial" w:cs="Arial" w:eastAsia="Arial" w:hAnsi="Arial"/>
          <w:sz w:val="17"/>
          <w:szCs w:val="17"/>
          <w:color w:val="212529"/>
        </w:rPr>
        <w:t xml:space="preserve"> months ended September 30, 2020, we have observed the following:</w:t>
      </w:r>
    </w:p>
    <w:p>
      <w:pPr>
        <w:spacing w:after="0" w:line="198" w:lineRule="exact"/>
        <w:rPr>
          <w:sz w:val="20"/>
          <w:szCs w:val="20"/>
          <w:color w:val="auto"/>
        </w:rPr>
      </w:pPr>
    </w:p>
    <w:p>
      <w:pPr>
        <w:ind w:left="660" w:hanging="328"/>
        <w:spacing w:after="0" w:line="275"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practice of social distancing in most countries has reduced the ability for travel by our employees. In-person sales and marketing events or meetings that would normally have been held during the three and nine months ended September 30, 2020 were canceled, postponed or converted into virtual events. As a result, expenses related to travel and marketing events decreased significantly. To the extent that it becomes safe for our employees to travel and for us to hold or attend marketing events, these expenses may increase in the future, although we cannot predict if or when such expenses will increase or return to pre-pandemic levels.</w:t>
      </w:r>
    </w:p>
    <w:p>
      <w:pPr>
        <w:spacing w:after="0" w:line="203" w:lineRule="exact"/>
        <w:rPr>
          <w:rFonts w:ascii="Arial" w:cs="Arial" w:eastAsia="Arial" w:hAnsi="Arial"/>
          <w:sz w:val="17"/>
          <w:szCs w:val="17"/>
          <w:color w:val="auto"/>
        </w:rPr>
      </w:pPr>
    </w:p>
    <w:p>
      <w:pPr>
        <w:jc w:val="both"/>
        <w:ind w:left="660" w:right="10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offered payment terms in excess of our contractual agreements to some of our distributor customers, which has resulted in an increase to the average collection period of our trade receivables. As of September 30, 2020, 94% of our outstanding trade accounts receivable was due to be collected during the fourth quarter of 2020.</w:t>
      </w:r>
    </w:p>
    <w:p>
      <w:pPr>
        <w:spacing w:after="0" w:line="210" w:lineRule="exact"/>
        <w:rPr>
          <w:rFonts w:ascii="Arial" w:cs="Arial" w:eastAsia="Arial" w:hAnsi="Arial"/>
          <w:sz w:val="18"/>
          <w:szCs w:val="18"/>
          <w:color w:val="auto"/>
        </w:rPr>
      </w:pPr>
    </w:p>
    <w:p>
      <w:pPr>
        <w:jc w:val="both"/>
        <w:ind w:left="660" w:right="30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countries and geographic regions in which we experienced the fastest billings growth in the third quarter of 2020, as compared to the third quarter of 2019, were countries and geographic regions in which the COVID-19 pandemic is generally considered to have had a comparatively shorter or less severe impact on the local population and economy during the quarter.</w:t>
      </w:r>
    </w:p>
    <w:p>
      <w:pPr>
        <w:spacing w:after="0" w:line="210"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noted that, for some of our customers, sales cycles appear to have lengthened, though it is unclear by how long or whether this trend will persist.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average service contract duration remained consistent in the third quarter of 2020 as compared to the third quarter of 2019.</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order to mitigate supply chain risk and in anticipation of fourth-quarter demand, we have increased our on-hand stock of certain products.</w:t>
      </w:r>
    </w:p>
    <w:p>
      <w:pPr>
        <w:spacing w:after="0" w:line="263" w:lineRule="exact"/>
        <w:rPr>
          <w:rFonts w:ascii="Arial" w:cs="Arial" w:eastAsia="Arial" w:hAnsi="Arial"/>
          <w:sz w:val="17"/>
          <w:szCs w:val="17"/>
          <w:color w:val="auto"/>
        </w:rPr>
      </w:pPr>
    </w:p>
    <w:p>
      <w:pPr>
        <w:ind w:left="660" w:right="4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yield on investment-grade debt has decreased, and while the risk of credit losses on our investments and cash equivalents has not changed significantly, as the debt securities in our portfolio have matured, they have been replaced by securities with lower effective interest rates. This has contributed to a decrease in our interest income during the three and nine months ended September 30, 2020, compared to the same periods last year.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328"/>
        <w:spacing w:after="0" w:line="291"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accordance with the Coronavirus Aid, Relief, and Economic Security Act (the “CARES Act”), we have deferred the deposit and payment of our employer’s share of Social Security taxes. This did not materially affect net cash provided by operating activities during the period.</w:t>
      </w:r>
    </w:p>
    <w:p>
      <w:pPr>
        <w:spacing w:after="0" w:line="174"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212529"/>
        </w:rPr>
        <w:t>T</w:t>
      </w:r>
      <w:r>
        <w:rPr>
          <w:rFonts w:ascii="Arial" w:cs="Arial" w:eastAsia="Arial" w:hAnsi="Arial"/>
          <w:sz w:val="16"/>
          <w:szCs w:val="16"/>
          <w:color w:val="000000"/>
        </w:rPr>
        <w:t>hrough the filing of this Quarterly Report on Form 10-Q, t</w:t>
      </w:r>
      <w:r>
        <w:rPr>
          <w:rFonts w:ascii="Arial" w:cs="Arial" w:eastAsia="Arial" w:hAnsi="Arial"/>
          <w:sz w:val="16"/>
          <w:szCs w:val="16"/>
          <w:color w:val="212529"/>
        </w:rPr>
        <w:t>here have been no material changes to the trends described above. Going forward, however, the situation is uncertain, rapidly changing and hard to predict, and the COVID-19 pandemic may have a material negative impact on our future periods, including our results for the three months ending December 31, 2020 and beyond. To highlight the uncertainty remaining for the three months ending December 31, 2020, it should be noted that, due to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If we experience significant changes in our billings growth rates, it will impact product revenue in the current quarter and FortiGuard and FortiCare service revenues in subsequent quarters, as we sell annual and multi-year service contracts that are recognized ratably over the contractual service term. In addition, the broader implications of the pandemic on our business and operations and our financial results, including the extent to which the effects of the pandemic will impact future results and growth in the cybersecurity industry, remain uncertain. The duration and severity of the economic downturn from the pandemic may negatively impact our business and operations, results of operations, financial condition, cash flows, liquidity and capital and financial resources in a material way. As a result, the effects of the pandemic may not be fully reflected in our results of operations until future periods. For further discussion, see Part II, Item 1A of this Quarterly Report on Form 10-Q.</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52"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We typically sell our security solutions to distributors that sell to networking security and enterprise-focused resellers and to service providers and managed security service providers (“MSSPs”), who, in turn, sell to our end-customers. During the three months ended September 30, 2020, we sold products to over 8,000 different resellers. At times, we also sell directly to large service providers and major systems integrators who may sell to our end-customers or use our products and services to provided hosted solutions to other enterprises. Our end-customers are located in over 80 countries and include small and medium-sized businesses, large enterprises and government organizations across a wide range of industries, including telecommunications, government, financial services, retail, technology, education, manufacturing and healthcare. An end-customer deployment may involve as few as one or as many as thousands of appliances and other Fortinet Security Fabric platform products, depending on the end-customer’s size and security requirements.</w:t>
      </w:r>
    </w:p>
    <w:p>
      <w:pPr>
        <w:spacing w:after="0" w:line="2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also offer our products through major cloud providers, and have recognized revenue on a usage basis from Amazon Web Services, Microsoft Azure, Google Cloud, Oracle Cloud, Alibaba Cloud and IBM Cloud. We have also recognized revenue from customers who deploy our products in a bring-your-own-license (“BYOL”) arrangement in private clouds or at cloud providers. In a BYOL arrangement, a customer purchases a software license from us through our channel partners and deploys the software in a cloud provider’s environment. Similarly, customers may purchase such a license from us and deploy in their private cloud.</w:t>
      </w:r>
    </w:p>
    <w:p>
      <w:pPr>
        <w:spacing w:after="0" w:line="21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Our customers purchase our hardware products and software licenses, as well as our FortiGuard and other security subscription and FortiCare technical support services. We generally invoice at the time of our sale for the total price of the products and security and technical support services. The invoice is typically payable within 30 to 60 days, though, as noted in the </w:t>
      </w:r>
      <w:r>
        <w:rPr>
          <w:rFonts w:ascii="Arial" w:cs="Arial" w:eastAsia="Arial" w:hAnsi="Arial"/>
          <w:sz w:val="18"/>
          <w:szCs w:val="18"/>
          <w:i w:val="1"/>
          <w:iCs w:val="1"/>
          <w:color w:val="auto"/>
        </w:rPr>
        <w:t>COVID-19 Update</w:t>
      </w:r>
      <w:r>
        <w:rPr>
          <w:rFonts w:ascii="Arial" w:cs="Arial" w:eastAsia="Arial" w:hAnsi="Arial"/>
          <w:sz w:val="18"/>
          <w:szCs w:val="18"/>
          <w:color w:val="auto"/>
        </w:rPr>
        <w:t xml:space="preserve"> above, we have recently offered extended payment terms to certain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5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provided by operating activities below under “—Liquidity and Capital Resources.” Deferred revenue, billings (non-GAAP), and free cash flow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are discussed immediately below the following table:</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6"/>
                <w:szCs w:val="16"/>
                <w:b w:val="1"/>
                <w:bCs w:val="1"/>
                <w:color w:val="auto"/>
              </w:rPr>
              <w:t>Three Months Ended Or As Of</w:t>
            </w:r>
          </w:p>
        </w:tc>
      </w:tr>
      <w:tr>
        <w:trPr>
          <w:trHeight w:val="210"/>
        </w:trPr>
        <w:tc>
          <w:tcPr>
            <w:tcW w:w="8060" w:type="dxa"/>
            <w:vAlign w:val="bottom"/>
          </w:tcPr>
          <w:p>
            <w:pPr>
              <w:spacing w:after="0"/>
              <w:rPr>
                <w:sz w:val="18"/>
                <w:szCs w:val="18"/>
                <w:color w:val="auto"/>
              </w:rPr>
            </w:pPr>
          </w:p>
        </w:tc>
        <w:tc>
          <w:tcPr>
            <w:tcW w:w="15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w w:val="93"/>
              </w:rPr>
              <w:t>September 30, 2020</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2019</w:t>
            </w:r>
          </w:p>
        </w:tc>
      </w:tr>
      <w:tr>
        <w:trPr>
          <w:trHeight w:val="226"/>
        </w:trPr>
        <w:tc>
          <w:tcPr>
            <w:tcW w:w="8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(in millions)</w:t>
            </w:r>
          </w:p>
        </w:tc>
        <w:tc>
          <w:tcPr>
            <w:tcW w:w="860" w:type="dxa"/>
            <w:vAlign w:val="bottom"/>
          </w:tcPr>
          <w:p>
            <w:pPr>
              <w:spacing w:after="0"/>
              <w:rPr>
                <w:sz w:val="19"/>
                <w:szCs w:val="19"/>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651.1</w:t>
            </w:r>
          </w:p>
        </w:tc>
        <w:tc>
          <w:tcPr>
            <w:tcW w:w="7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2,392.0</w:t>
            </w:r>
          </w:p>
        </w:tc>
        <w:tc>
          <w:tcPr>
            <w:tcW w:w="7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1,922.5</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Billings (non-GAAP)</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749.8</w:t>
            </w:r>
          </w:p>
        </w:tc>
        <w:tc>
          <w:tcPr>
            <w:tcW w:w="7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220.8</w:t>
            </w:r>
          </w:p>
        </w:tc>
        <w:tc>
          <w:tcPr>
            <w:tcW w:w="7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221.2</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185.7</w:t>
            </w:r>
          </w:p>
        </w:tc>
        <w:tc>
          <w:tcPr>
            <w:tcW w:w="7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r>
    </w:tbl>
    <w:p>
      <w:pPr>
        <w:spacing w:after="0" w:line="31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deferred revenue balance consists of the unrecognized portion of service revenue from FortiGuard and other security subscription and FortiCare technical support service contracts, which is recognized as revenue ratably over the contractual service period. We monitor our deferred revenue balance, deferred revenue growth and the mix of short-term and long-term deferred revenue because deferred revenue represents a significant portion of free cash flow and of revenue to be recognized in future periods. Deferred revenue was $2.39 billion as of September 30, 2020, an increase of $282.9 million, or 13%, from December 31, 2019.</w:t>
      </w:r>
    </w:p>
    <w:p>
      <w:pPr>
        <w:spacing w:after="0" w:line="21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in accordance with GAAP plus the change in deferred revenue from the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$749.8 million for the three months ended September 30, 2020, an increase of 20% compared to $626.6 million in the same period last year.</w:t>
      </w:r>
    </w:p>
    <w:p>
      <w:pPr>
        <w:spacing w:after="0" w:line="20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Borders>
              <w:bottom w:val="single" w:sz="8" w:color="auto"/>
            </w:tcBorders>
          </w:tcPr>
          <w:p>
            <w:pPr>
              <w:spacing w:after="0"/>
              <w:rPr>
                <w:sz w:val="18"/>
                <w:szCs w:val="18"/>
                <w:color w:val="auto"/>
              </w:rPr>
            </w:pPr>
          </w:p>
        </w:tc>
      </w:tr>
      <w:tr>
        <w:trPr>
          <w:trHeight w:val="210"/>
        </w:trPr>
        <w:tc>
          <w:tcPr>
            <w:tcW w:w="8060" w:type="dxa"/>
            <w:vAlign w:val="bottom"/>
          </w:tcPr>
          <w:p>
            <w:pPr>
              <w:spacing w:after="0"/>
              <w:rPr>
                <w:sz w:val="18"/>
                <w:szCs w:val="18"/>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September 30, 2019</w:t>
            </w:r>
          </w:p>
        </w:tc>
      </w:tr>
      <w:tr>
        <w:trPr>
          <w:trHeight w:val="226"/>
        </w:trPr>
        <w:tc>
          <w:tcPr>
            <w:tcW w:w="8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0" w:type="dxa"/>
            <w:vAlign w:val="bottom"/>
            <w:gridSpan w:val="3"/>
          </w:tcPr>
          <w:p>
            <w:pPr>
              <w:jc w:val="right"/>
              <w:ind w:right="353"/>
              <w:spacing w:after="0"/>
              <w:rPr>
                <w:sz w:val="20"/>
                <w:szCs w:val="20"/>
                <w:color w:val="auto"/>
              </w:rPr>
            </w:pPr>
            <w:r>
              <w:rPr>
                <w:rFonts w:ascii="Arial" w:cs="Arial" w:eastAsia="Arial" w:hAnsi="Arial"/>
                <w:sz w:val="18"/>
                <w:szCs w:val="18"/>
                <w:b w:val="1"/>
                <w:bCs w:val="1"/>
                <w:color w:val="auto"/>
              </w:rPr>
              <w:t>(in millions)</w:t>
            </w:r>
          </w:p>
        </w:tc>
        <w:tc>
          <w:tcPr>
            <w:tcW w:w="660" w:type="dxa"/>
            <w:vAlign w:val="bottom"/>
          </w:tcPr>
          <w:p>
            <w:pPr>
              <w:spacing w:after="0"/>
              <w:rPr>
                <w:sz w:val="19"/>
                <w:szCs w:val="19"/>
                <w:color w:val="auto"/>
              </w:rPr>
            </w:pP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Billings: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651.1</w:t>
            </w:r>
          </w:p>
        </w:tc>
        <w:tc>
          <w:tcPr>
            <w:tcW w:w="120" w:type="dxa"/>
            <w:vAlign w:val="bottom"/>
          </w:tcPr>
          <w:p>
            <w:pPr>
              <w:spacing w:after="0"/>
              <w:rPr>
                <w:sz w:val="19"/>
                <w:szCs w:val="19"/>
                <w:color w:val="auto"/>
              </w:rPr>
            </w:pP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548.1</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Add: Change in deferred revenue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30"/>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Deferred revenue balance acquired in business combination</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billings (non-GAAP)</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purchases of property and equipment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Borders>
              <w:bottom w:val="single" w:sz="8" w:color="auto"/>
            </w:tcBorders>
          </w:tcPr>
          <w:p>
            <w:pPr>
              <w:spacing w:after="0"/>
              <w:rPr>
                <w:sz w:val="18"/>
                <w:szCs w:val="18"/>
                <w:color w:val="auto"/>
              </w:rPr>
            </w:pPr>
          </w:p>
        </w:tc>
      </w:tr>
      <w:tr>
        <w:trPr>
          <w:trHeight w:val="210"/>
        </w:trPr>
        <w:tc>
          <w:tcPr>
            <w:tcW w:w="8060" w:type="dxa"/>
            <w:vAlign w:val="bottom"/>
          </w:tcPr>
          <w:p>
            <w:pPr>
              <w:spacing w:after="0"/>
              <w:rPr>
                <w:sz w:val="18"/>
                <w:szCs w:val="18"/>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3"/>
              </w:rPr>
              <w:t>September 30, 2020</w:t>
            </w: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September 30, 2019</w:t>
            </w:r>
          </w:p>
        </w:tc>
      </w:tr>
      <w:tr>
        <w:trPr>
          <w:trHeight w:val="226"/>
        </w:trPr>
        <w:tc>
          <w:tcPr>
            <w:tcW w:w="8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0" w:type="dxa"/>
            <w:vAlign w:val="bottom"/>
            <w:gridSpan w:val="3"/>
          </w:tcPr>
          <w:p>
            <w:pPr>
              <w:jc w:val="right"/>
              <w:ind w:right="352"/>
              <w:spacing w:after="0"/>
              <w:rPr>
                <w:sz w:val="20"/>
                <w:szCs w:val="20"/>
                <w:color w:val="auto"/>
              </w:rPr>
            </w:pPr>
            <w:r>
              <w:rPr>
                <w:rFonts w:ascii="Arial" w:cs="Arial" w:eastAsia="Arial" w:hAnsi="Arial"/>
                <w:sz w:val="18"/>
                <w:szCs w:val="18"/>
                <w:b w:val="1"/>
                <w:bCs w:val="1"/>
                <w:color w:val="auto"/>
              </w:rPr>
              <w:t>(in millions)</w:t>
            </w:r>
          </w:p>
        </w:tc>
        <w:tc>
          <w:tcPr>
            <w:tcW w:w="660" w:type="dxa"/>
            <w:vAlign w:val="bottom"/>
          </w:tcPr>
          <w:p>
            <w:pPr>
              <w:spacing w:after="0"/>
              <w:rPr>
                <w:sz w:val="19"/>
                <w:szCs w:val="19"/>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9"/>
                <w:szCs w:val="19"/>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180"/>
              <w:spacing w:after="0"/>
              <w:rPr>
                <w:sz w:val="20"/>
                <w:szCs w:val="20"/>
                <w:color w:val="auto"/>
              </w:rPr>
            </w:pPr>
            <w:r>
              <w:rPr>
                <w:rFonts w:ascii="Arial" w:cs="Arial" w:eastAsia="Arial" w:hAnsi="Arial"/>
                <w:sz w:val="18"/>
                <w:szCs w:val="18"/>
                <w:color w:val="auto"/>
              </w:rPr>
              <w:t>221.2</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property and equipment</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3"/>
              </w:rPr>
              <w:t>(17.5)</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Free cash flow (non-GAAP)</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203.7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3"/>
              </w:rPr>
              <w:t>(27.1)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460" w:type="dxa"/>
            <w:vAlign w:val="bottom"/>
            <w:tcBorders>
              <w:bottom w:val="single" w:sz="8" w:color="auto"/>
            </w:tcBorders>
          </w:tcPr>
          <w:p>
            <w:pPr>
              <w:jc w:val="right"/>
              <w:ind w:right="272"/>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(30.3)</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652"/>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w w:val="93"/>
              </w:rPr>
              <w:t>(40.7)</w:t>
            </w:r>
          </w:p>
        </w:tc>
      </w:tr>
      <w:tr>
        <w:trPr>
          <w:trHeight w:val="21"/>
        </w:trPr>
        <w:tc>
          <w:tcPr>
            <w:tcW w:w="8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There were no material changes to our critical accounting policies and estimates as of and for the three and nine months ended September 30, 2020, as compared to the critical accounting policies and estimates described in our Annual Report on Form 10-K filed with the SEC on February 26, 2020 (the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Note 1 of the notes to condensed consolidated financial statements included in Part I, Item 1 of this Quarterly Report on Form 10-Q for information regarding recent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and September 30,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8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25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6"/>
                <w:szCs w:val="16"/>
                <w:color w:val="auto"/>
              </w:rPr>
            </w:pPr>
          </w:p>
        </w:tc>
        <w:tc>
          <w:tcPr>
            <w:tcW w:w="94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6"/>
              </w:rPr>
              <w:t>Revenue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8"/>
              </w:rPr>
              <w:t>(in millions, except percentages)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223.8</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26.7</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14 %</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44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19 %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272.4</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241.0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31.4</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13 %</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44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135.4</w:t>
            </w:r>
          </w:p>
        </w:tc>
        <w:tc>
          <w:tcPr>
            <w:tcW w:w="1440" w:type="dxa"/>
            <w:vAlign w:val="bottom"/>
            <w:gridSpan w:val="3"/>
          </w:tcPr>
          <w:p>
            <w:pPr>
              <w:jc w:val="right"/>
              <w:ind w:right="1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106.2</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c>
          <w:tcPr>
            <w:tcW w:w="1420" w:type="dxa"/>
            <w:vAlign w:val="bottom"/>
          </w:tcPr>
          <w:p>
            <w:pPr>
              <w:ind w:left="10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420" w:type="dxa"/>
            <w:vAlign w:val="bottom"/>
            <w:tcBorders>
              <w:top w:val="single" w:sz="8" w:color="CCEEFF"/>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19 %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Total revenue increased by $103.0 million, or 19%, during the three months ended September 30, 2020 compared to the same period last year. We continued to experience diversification of revenue geographically and across both customer and industry segments. Revenue from all regions grew, with EMEA contributing the largest portion of the increase on an absolute dollar basis and APAC contributing the largest growth on a percentage basis.</w:t>
      </w:r>
    </w:p>
    <w:p>
      <w:pPr>
        <w:spacing w:after="0" w:line="176"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Product revenue increased by $26.7 million, or 14%, during the three months ended September 30, 2020 compared to the same period last year. We experienced revenue growth across many of our products due to an increase in product revenue from our FortiGate SD-WAN solutions, our security fabric platform products and software licenses.</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Service revenue increased by $76.3 million, or 22%, during the three months ended September 30, 2020 compared to the same period last year. FortiGuard and other security subscription and FortiCare technical support and other revenues increased by $42.6 million, or 22%, and by $33.7 million, or 21%, respectively, during the three months ended September 30, 2020 compared to the same period last year. The increases were primarily due to the recognition of revenue from our growing deferred revenue balance related to FortiGuard and other security subscriptions and FortiCare technical support, including our customers moving to higher-tier support offerings. Of the service revenue recognized during the three months ended September 30, 2020, 92% was included in the deferred revenue balance as of June 30,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Change</w:t>
            </w:r>
          </w:p>
        </w:tc>
        <w:tc>
          <w:tcPr>
            <w:tcW w:w="202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(in millions, except percentages)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4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33"/>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w:t>
            </w:r>
          </w:p>
        </w:tc>
        <w:tc>
          <w:tcPr>
            <w:tcW w:w="20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 (%):</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4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77.4 %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Total gross margin increased by 1.2 percentage points during the three months ended September 30, 2020 compared to the same period last year, driven by improvements to product gross margins.</w:t>
      </w:r>
    </w:p>
    <w:p>
      <w:pPr>
        <w:spacing w:after="0" w:line="19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Product gross margin increased by 2.4 percentage points during the three months ended September 30, 2020 compared to the same period last year. Product gross margin benefited from lower direct costs of hardware as a percentage of product revenue. Cost of product revenue was comprised primarily of third party contract manufacturers’ costs and the costs of materials used in production.</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Service gross margin was flat during the three months ended September 30, 2020 compared to the same period last year. Cost of service revenue was comprised primarily of personnel costs.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6"/>
                <w:szCs w:val="16"/>
                <w:color w:val="auto"/>
              </w:rPr>
            </w:pPr>
          </w:p>
        </w:tc>
        <w:tc>
          <w:tcPr>
            <w:tcW w:w="2500" w:type="dxa"/>
            <w:vAlign w:val="bottom"/>
            <w:gridSpan w:val="5"/>
          </w:tcPr>
          <w:p>
            <w:pPr>
              <w:ind w:left="6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6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ind w:left="80"/>
              <w:spacing w:after="0"/>
              <w:rPr>
                <w:sz w:val="20"/>
                <w:szCs w:val="20"/>
                <w:color w:val="auto"/>
              </w:rPr>
            </w:pPr>
            <w:r>
              <w:rPr>
                <w:rFonts w:ascii="Arial" w:cs="Arial" w:eastAsia="Arial" w:hAnsi="Arial"/>
                <w:sz w:val="16"/>
                <w:szCs w:val="16"/>
                <w:b w:val="1"/>
                <w:bCs w:val="1"/>
                <w:color w:val="auto"/>
                <w:w w:val="96"/>
              </w:rPr>
              <w:t>(in millions, except percentages)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4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29 %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9"/>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93"/>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420" w:type="dxa"/>
            <w:vAlign w:val="bottom"/>
          </w:tcPr>
          <w:p>
            <w:pPr>
              <w:ind w:left="10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IP matter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8"/>
                <w:szCs w:val="18"/>
                <w:color w:val="auto"/>
                <w:w w:val="94"/>
              </w:rPr>
              <w:t>59%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19 %</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Percentages have been rounded for presentation purposes and may differ from unrounded results.</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Not meaningful</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Research and development expense increased by $20.1 million, or 29%, during the three months ended September 30, 2020 compared to the same period last year, primarily due to an increase of $14.1 million in personnel-related costs as a result of increased headcount to support the development of new products, continued enhancements to our existing products and patent creation. In addition, product development expenses, such as third-party testing, prototypes and supplies, increased by $3.6 million. We currently intend to continue to invest in our research and development organization, and expect research and development expense to remain at or increase in absolute dollars during the remainder of 2020.</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Sales and marketing expense increased by $39.3 million, or 17%, during the three months ended September 30, 2020 compared to the same period last year, primarily due to an increase of $50.0 million in personnel-related costs as a result of increases to sales and marketing headcount in order to drive global market share gains. This increase was offset by savings related to decreased travel and fewer in-person marketing events as a result of the COVID-19 pandemic. We currently intend to continue to make investments in our sales resources and infrastructure and marketing strategy, which are critical to support our future growth, and expect sales and marketing expense to increase in absolute dollars during the remainder of 2020.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General and administrative expense increased by $3.3 million, or 13%, during the three months ended September 30, 2020 compared to the same period last year, primarily due to an increase in personnel-related costs of $2.5 million. We currently expect general and administrative expense to remain at or increase in absolute dollars during the remainder of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on IP matter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January 2020, we entered into an agreement with a competitor in the network security industry, whereby, in February 2020, the competitor party paid us a lump sum of $50.0 million for a mutual covenant-not-to-sue for patent claims. During the three months ended September 30, 2020, we recorded $1.1 million in amortization of the deferred component as a gain on IP matter in our condensed consolidated statements of income. See Note 12 of the notes to condensed consolidated financial statements included in Part I, Item 1 of this Quarterly Report on Form 10-Q for additional information regarding the gain on IP matter.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generated operating income of $126.9 million during the three months ended September 30, 2020, an increase of $26.3 million, or 26%, compared to $100.6 million in the same period last year. Operating income as a percentage of revenue increased to 19% during the three months ended September 30, 2020 compared to 18% in the same period last year. The increase in operating margin is primarily due to the 1.2 percentage point increase in gross margin and the 0.5 percentage point</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decrease in sales and marketing expense as a percentage of revenue, partially offset by the 1.0 percentage point increase in research and development expense as percentage of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w:t>
      </w:r>
      <w:r>
        <w:rPr>
          <w:rFonts w:ascii="Arial" w:cs="Arial" w:eastAsia="Arial" w:hAnsi="Arial"/>
          <w:sz w:val="18"/>
          <w:szCs w:val="18"/>
          <w:b w:val="1"/>
          <w:bCs w:val="1"/>
          <w:i w:val="1"/>
          <w:iCs w:val="1"/>
          <w:color w:val="auto"/>
        </w:rPr>
        <w:t>net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center"/>
              <w:ind w:right="235"/>
              <w:spacing w:after="0"/>
              <w:rPr>
                <w:sz w:val="20"/>
                <w:szCs w:val="20"/>
                <w:color w:val="auto"/>
              </w:rPr>
            </w:pPr>
            <w:r>
              <w:rPr>
                <w:rFonts w:ascii="Arial" w:cs="Arial" w:eastAsia="Arial" w:hAnsi="Arial"/>
                <w:sz w:val="16"/>
                <w:szCs w:val="16"/>
                <w:b w:val="1"/>
                <w:bCs w:val="1"/>
                <w:color w:val="auto"/>
                <w:w w:val="91"/>
              </w:rPr>
              <w:t>September 30,</w:t>
            </w:r>
          </w:p>
        </w:tc>
        <w:tc>
          <w:tcPr>
            <w:tcW w:w="300" w:type="dxa"/>
            <w:vAlign w:val="bottom"/>
          </w:tcPr>
          <w:p>
            <w:pPr>
              <w:spacing w:after="0"/>
              <w:rPr>
                <w:sz w:val="16"/>
                <w:szCs w:val="16"/>
                <w:color w:val="auto"/>
              </w:rPr>
            </w:pPr>
          </w:p>
        </w:tc>
        <w:tc>
          <w:tcPr>
            <w:tcW w:w="1540" w:type="dxa"/>
            <w:vAlign w:val="bottom"/>
          </w:tcPr>
          <w:p>
            <w:pPr>
              <w:jc w:val="center"/>
              <w:ind w:right="155"/>
              <w:spacing w:after="0"/>
              <w:rPr>
                <w:sz w:val="20"/>
                <w:szCs w:val="20"/>
                <w:color w:val="auto"/>
              </w:rPr>
            </w:pPr>
            <w:r>
              <w:rPr>
                <w:rFonts w:ascii="Arial" w:cs="Arial" w:eastAsia="Arial" w:hAnsi="Arial"/>
                <w:sz w:val="16"/>
                <w:szCs w:val="16"/>
                <w:b w:val="1"/>
                <w:bCs w:val="1"/>
                <w:color w:val="auto"/>
                <w:w w:val="89"/>
              </w:rPr>
              <w:t>September 30,</w:t>
            </w:r>
          </w:p>
        </w:tc>
        <w:tc>
          <w:tcPr>
            <w:tcW w:w="480" w:type="dxa"/>
            <w:vAlign w:val="bottom"/>
          </w:tcPr>
          <w:p>
            <w:pPr>
              <w:spacing w:after="0"/>
              <w:rPr>
                <w:sz w:val="16"/>
                <w:szCs w:val="16"/>
                <w:color w:val="auto"/>
              </w:rPr>
            </w:pPr>
          </w:p>
        </w:tc>
        <w:tc>
          <w:tcPr>
            <w:tcW w:w="17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51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3"/>
          </w:tcPr>
          <w:p>
            <w:pPr>
              <w:ind w:left="560"/>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11.4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(8.9)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Other expense—net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ind w:left="1180"/>
              <w:spacing w:after="0"/>
              <w:rPr>
                <w:sz w:val="20"/>
                <w:szCs w:val="20"/>
                <w:color w:val="auto"/>
              </w:rPr>
            </w:pPr>
            <w:r>
              <w:rPr>
                <w:rFonts w:ascii="Arial" w:cs="Arial" w:eastAsia="Arial" w:hAnsi="Arial"/>
                <w:sz w:val="18"/>
                <w:szCs w:val="18"/>
                <w:color w:val="auto"/>
                <w:w w:val="91"/>
              </w:rPr>
              <w:t>(6.0)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33"/>
              <w:spacing w:after="0"/>
              <w:rPr>
                <w:sz w:val="20"/>
                <w:szCs w:val="20"/>
                <w:color w:val="auto"/>
              </w:rPr>
            </w:pPr>
            <w:r>
              <w:rPr>
                <w:rFonts w:ascii="Arial" w:cs="Arial" w:eastAsia="Arial" w:hAnsi="Arial"/>
                <w:sz w:val="18"/>
                <w:szCs w:val="18"/>
                <w:color w:val="auto"/>
              </w:rPr>
              <w:t>5.0</w:t>
            </w:r>
          </w:p>
        </w:tc>
        <w:tc>
          <w:tcPr>
            <w:tcW w:w="17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Interest income—net decreased during the three months ended September 30, 2020 compared to the same period last year, primarily due to lower interest rates and lower invested balances of cash, cash equivalents and investments. The lower cash, cash equivalents and investments were mainly due to our repurchases of common stock under the Repurchase Program during the past twelve months. The change in other expense—net during the three months ended September 30, 2020 compared to the same period last year was the result of a $3.8 million impairment charge on an investment in a privately held company during the third quarter of 2019. In addition, foreign currency exchange losses decreased by $1.4 million compared to the same period last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right"/>
              <w:ind w:right="1095"/>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right"/>
              <w:ind w:right="395"/>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6"/>
                <w:szCs w:val="16"/>
                <w:color w:val="auto"/>
              </w:rPr>
            </w:pPr>
          </w:p>
        </w:tc>
        <w:tc>
          <w:tcPr>
            <w:tcW w:w="1600" w:type="dxa"/>
            <w:vAlign w:val="bottom"/>
          </w:tcPr>
          <w:p>
            <w:pPr>
              <w:jc w:val="right"/>
              <w:ind w:right="355"/>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6"/>
                <w:szCs w:val="16"/>
                <w:color w:val="auto"/>
              </w:rPr>
            </w:pPr>
          </w:p>
        </w:tc>
        <w:tc>
          <w:tcPr>
            <w:tcW w:w="1680" w:type="dxa"/>
            <w:vAlign w:val="bottom"/>
            <w:vMerge w:val="restart"/>
          </w:tcPr>
          <w:p>
            <w:pPr>
              <w:jc w:val="right"/>
              <w:ind w:right="835"/>
              <w:spacing w:after="0"/>
              <w:rPr>
                <w:sz w:val="20"/>
                <w:szCs w:val="20"/>
                <w:color w:val="auto"/>
              </w:rPr>
            </w:pPr>
            <w:r>
              <w:rPr>
                <w:rFonts w:ascii="Arial" w:cs="Arial" w:eastAsia="Arial" w:hAnsi="Arial"/>
                <w:sz w:val="16"/>
                <w:szCs w:val="16"/>
                <w:b w:val="1"/>
                <w:bCs w:val="1"/>
                <w:color w:val="auto"/>
              </w:rPr>
              <w:t>Change</w:t>
            </w:r>
          </w:p>
        </w:tc>
        <w:tc>
          <w:tcPr>
            <w:tcW w:w="1660" w:type="dxa"/>
            <w:vAlign w:val="bottom"/>
            <w:vMerge w:val="restart"/>
          </w:tcPr>
          <w:p>
            <w:pPr>
              <w:jc w:val="right"/>
              <w:ind w:right="49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gridSpan w:val="3"/>
          </w:tcPr>
          <w:p>
            <w:pPr>
              <w:jc w:val="right"/>
              <w:ind w:right="975"/>
              <w:spacing w:after="0"/>
              <w:rPr>
                <w:sz w:val="20"/>
                <w:szCs w:val="20"/>
                <w:color w:val="auto"/>
              </w:rPr>
            </w:pPr>
            <w:r>
              <w:rPr>
                <w:rFonts w:ascii="Arial" w:cs="Arial" w:eastAsia="Arial" w:hAnsi="Arial"/>
                <w:sz w:val="16"/>
                <w:szCs w:val="16"/>
                <w:b w:val="1"/>
                <w:bCs w:val="1"/>
                <w:color w:val="auto"/>
              </w:rPr>
              <w:t>(in millions, except percentages)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25.8</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(20.8)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4 %</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24 %</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Our effective tax rate was 4% for the three months ended September 30, 2020 compared to an effective tax rate of 24% for the same period last year. The provision for income taxes for the three months ended September 30, 2020 was primarily comprised of U.S. federal and state taxes, withholding taxes and foreign taxes that were $17.5 million, which included a tax benefit of $16.0 million from the foreign-derived intangible income deduction. This tax provision for income taxes was favorably affected by excess tax benefits from stock-based compensation expense of $12.5 million.</w:t>
      </w:r>
    </w:p>
    <w:p>
      <w:pPr>
        <w:spacing w:after="0" w:line="18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7"/>
          <w:szCs w:val="17"/>
          <w:color w:val="auto"/>
        </w:rPr>
        <w:t>The provision for income taxes for the three months ended September 30, 2019 was comprised of U.S. federal and state taxes, withholding taxes, and foreign taxes that were $32.7 million, which were offset by excess tax benefits from stock-based compensation expense of $6.9 million.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and September 30,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rPr>
              <w:t>Nine Months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6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628.0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549.7</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78.3</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14 %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1,846.4</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1,544.9</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20 %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6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776.0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668.0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108.0</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16 %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280" w:type="dxa"/>
            <w:vAlign w:val="bottom"/>
          </w:tcPr>
          <w:p>
            <w:pPr>
              <w:ind w:left="46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376.9</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305.8</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71.1</w:t>
            </w:r>
          </w:p>
        </w:tc>
        <w:tc>
          <w:tcPr>
            <w:tcW w:w="1420" w:type="dxa"/>
            <w:vAlign w:val="bottom"/>
          </w:tcPr>
          <w:p>
            <w:pPr>
              <w:ind w:left="10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420" w:type="dxa"/>
            <w:vAlign w:val="bottom"/>
            <w:tcBorders>
              <w:top w:val="single" w:sz="8" w:color="CCEEFF"/>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20 %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Total revenue increased by $301.5 million, or 20%, during the nine months ended September 30, 2020 compared to the same period last year. We continued to experience diversification of revenue geographically and across both customer and industry segments. Revenue from all regions grew, with EMEA contributing the largest portion of the increase on an absolute dollar basis and APAC contributing the fastest growth on a percentage basis.</w:t>
      </w:r>
    </w:p>
    <w:p>
      <w:pPr>
        <w:spacing w:after="0" w:line="17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Product revenue increased by $78.3 million, or 14%, during the nine months ended September 30, 2020 compared to the same period last year. We experienced revenue growth across many of our products due to an increase in product revenue from our FortiGate SD-WAN solutions, software licenses and our security fabric platform products.</w:t>
      </w:r>
    </w:p>
    <w:p>
      <w:pPr>
        <w:spacing w:after="0" w:line="21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Service revenue increased by $223.2 million, or 22%, during the nine months ended September 30, 2020 compared to the same period last year. FortiGuard and other security subscription and FortiCare technical support and other revenues increased by $123.9 million, or 23%, and by $99.3 million, or 22%, respectively, during the nine months ended September 30, 2020 compared to the same period last year. The increases were primarily due to the recognition of revenue from our growing deferred revenue balance related to FortiGuard and other security subscriptions and FortiCare technical support, including our customers moving to higher-tier support offerings. Of the service revenue recognized during the nine months ended September 30, 2020, 76% was included in the deferred revenue balance as of December 31, 2019.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Change</w:t>
            </w:r>
          </w:p>
        </w:tc>
        <w:tc>
          <w:tcPr>
            <w:tcW w:w="202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(in millions, except percentages)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4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53"/>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33"/>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13.1</w:t>
            </w:r>
          </w:p>
        </w:tc>
        <w:tc>
          <w:tcPr>
            <w:tcW w:w="202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0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 (%):</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4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Total gross margin increased by 1.9 percentage points during the nine months ended September 30, 2020 compared to the same period last year, driven by improvements to both product and service gross margins.</w:t>
      </w:r>
    </w:p>
    <w:p>
      <w:pPr>
        <w:spacing w:after="0" w:line="19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Product gross margin increased by 3.2 percentage points during the nine months ended September 30, 2020 compared to the same period last year. Product gross margin benefited from lower direct costs of hardware as a percentage of product revenue and increased software sales. Cost of product revenue was comprised primarily of third-party contract manufacturers’ costs and the costs of materials used in production.</w:t>
      </w:r>
    </w:p>
    <w:p>
      <w:pPr>
        <w:spacing w:after="0" w:line="19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Service gross margin increased by 0.4 percentage points during the nine months ended September 30, 2020 compared to the same period last year, as our personnel costs grew more slowly than our service revenue and we experienced lower costs to replace and repair our products. Cost of service revenue was comprised primarily of personnel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6"/>
                <w:szCs w:val="16"/>
                <w:b w:val="1"/>
                <w:bCs w:val="1"/>
                <w:color w:val="auto"/>
              </w:rPr>
              <w:t>Nine Months Ended</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6"/>
                <w:szCs w:val="16"/>
                <w:color w:val="auto"/>
              </w:rPr>
            </w:pPr>
          </w:p>
        </w:tc>
        <w:tc>
          <w:tcPr>
            <w:tcW w:w="250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035"/>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 of</w:t>
            </w:r>
          </w:p>
        </w:tc>
        <w:tc>
          <w:tcPr>
            <w:tcW w:w="180" w:type="dxa"/>
            <w:vAlign w:val="bottom"/>
          </w:tcPr>
          <w:p>
            <w:pPr>
              <w:spacing w:after="0"/>
              <w:rPr>
                <w:sz w:val="16"/>
                <w:szCs w:val="16"/>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9"/>
              </w:rPr>
              <w:t>Revenue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ind w:left="80"/>
              <w:spacing w:after="0"/>
              <w:rPr>
                <w:sz w:val="20"/>
                <w:szCs w:val="20"/>
                <w:color w:val="auto"/>
              </w:rPr>
            </w:pPr>
            <w:r>
              <w:rPr>
                <w:rFonts w:ascii="Arial" w:cs="Arial" w:eastAsia="Arial" w:hAnsi="Arial"/>
                <w:sz w:val="16"/>
                <w:szCs w:val="16"/>
                <w:b w:val="1"/>
                <w:bCs w:val="1"/>
                <w:color w:val="auto"/>
                <w:w w:val="96"/>
              </w:rPr>
              <w:t>(in millions, except percentages)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center"/>
              <w:ind w:right="113"/>
              <w:spacing w:after="0"/>
              <w:rPr>
                <w:sz w:val="20"/>
                <w:szCs w:val="20"/>
                <w:color w:val="auto"/>
              </w:rPr>
            </w:pPr>
            <w:r>
              <w:rPr>
                <w:rFonts w:ascii="Arial" w:cs="Arial" w:eastAsia="Arial" w:hAnsi="Arial"/>
                <w:sz w:val="18"/>
                <w:szCs w:val="18"/>
                <w:color w:val="auto"/>
                <w:w w:val="88"/>
              </w:rPr>
              <w:t>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46.5</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23 %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33"/>
              <w:spacing w:after="0"/>
              <w:rPr>
                <w:sz w:val="20"/>
                <w:szCs w:val="20"/>
                <w:color w:val="auto"/>
              </w:rPr>
            </w:pPr>
            <w:r>
              <w:rPr>
                <w:rFonts w:ascii="Arial" w:cs="Arial" w:eastAsia="Arial" w:hAnsi="Arial"/>
                <w:sz w:val="18"/>
                <w:szCs w:val="18"/>
                <w:color w:val="auto"/>
                <w:w w:val="89"/>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148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36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center"/>
              <w:ind w:right="113"/>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w:t>
            </w:r>
          </w:p>
        </w:tc>
        <w:tc>
          <w:tcPr>
            <w:tcW w:w="1480" w:type="dxa"/>
            <w:vAlign w:val="bottom"/>
            <w:gridSpan w:val="3"/>
          </w:tcPr>
          <w:p>
            <w:pPr>
              <w:jc w:val="right"/>
              <w:ind w:right="1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1420" w:type="dxa"/>
            <w:vAlign w:val="bottom"/>
          </w:tcPr>
          <w:p>
            <w:pPr>
              <w:ind w:left="10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IP matter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13"/>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113"/>
              <w:spacing w:after="0"/>
              <w:rPr>
                <w:sz w:val="20"/>
                <w:szCs w:val="20"/>
                <w:color w:val="auto"/>
              </w:rPr>
            </w:pPr>
            <w:r>
              <w:rPr>
                <w:rFonts w:ascii="Arial" w:cs="Arial" w:eastAsia="Arial" w:hAnsi="Arial"/>
                <w:sz w:val="18"/>
                <w:szCs w:val="18"/>
                <w:color w:val="auto"/>
                <w:w w:val="88"/>
              </w:rPr>
              <w:t>59%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14 %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Percentages have been rounded for presentation purposes and may differ from unrounded results.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Not meaningful</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Research and development expense increased by $46.5 million, or 23%, during the nine months ended September 30, 2020 compared to the same period last year, primarily due to an increase of $37.7 million in personnel-related costs as a result of increased headcount to support the development of new products, continued enhancements to our existing products and patent creation.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Sales and marketing expense increased by $110.7 million, or 17%, during the nine months ended September 30, 2020 compared to the same period last year, primarily due to an increase of $128.3 million in personnel-related costs as a result of increases to sales and marketing headcount in order to drive global market share gains. This increase was offset by savings related to decreased travel and fewer in-person marketing events as a result of the COVID-19 pandemic.</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General and administrative expense increased by $12.2 million, or 16%, during the nine months ended September 30, 2020 compared to the same period last year, primarily due to an increase in personnel-related costs of $8.1 million and an increase in the provision for expected credit losses of $1.3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on IP matter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January 2020, we entered into an agreement with a competitor in the network security industry, whereby, in February 2020, the competitor party paid us a lump sum of $50.0 million for a mutual covenant-not-to-sue for patent claims. During the nine months ended September 30, 2020, we recorded $36.0 million upfront and an additional $3.0 million in amortization of the deferred component as a gain on IP matter in our condensed consolidated statements of income. See Note 12 of the notes to condensed consolidated financial statements included in Part I, Item 1 of this Quarterly Report on Form 10-Q for additional information regarding the gain on IP matter.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generated operating income of $362.4 million during the nine months ended September 30, 2020, an increase of $133.5 million, or 58%, compared to $228.9 million in the same period last year. Operating income as a percentage of revenue increased to 20% during the nine months ended September 30, 2020 compared to 15% in the same period last year. The increase in operating margin is primarily due to the $39.0 million gain on IP matter, the 1.9 percentage point improvement in gross margin and the 1.1 percentage point decrease in sales and marketing expense as a percentage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w:t>
      </w:r>
      <w:r>
        <w:rPr>
          <w:rFonts w:ascii="Arial" w:cs="Arial" w:eastAsia="Arial" w:hAnsi="Arial"/>
          <w:sz w:val="18"/>
          <w:szCs w:val="18"/>
          <w:b w:val="1"/>
          <w:bCs w:val="1"/>
          <w:i w:val="1"/>
          <w:iCs w:val="1"/>
          <w:color w:val="auto"/>
        </w:rPr>
        <w:t>net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center"/>
              <w:ind w:right="235"/>
              <w:spacing w:after="0"/>
              <w:rPr>
                <w:sz w:val="20"/>
                <w:szCs w:val="20"/>
                <w:color w:val="auto"/>
              </w:rPr>
            </w:pPr>
            <w:r>
              <w:rPr>
                <w:rFonts w:ascii="Arial" w:cs="Arial" w:eastAsia="Arial" w:hAnsi="Arial"/>
                <w:sz w:val="16"/>
                <w:szCs w:val="16"/>
                <w:b w:val="1"/>
                <w:bCs w:val="1"/>
                <w:color w:val="auto"/>
                <w:w w:val="91"/>
              </w:rPr>
              <w:t>September 30,</w:t>
            </w:r>
          </w:p>
        </w:tc>
        <w:tc>
          <w:tcPr>
            <w:tcW w:w="300" w:type="dxa"/>
            <w:vAlign w:val="bottom"/>
          </w:tcPr>
          <w:p>
            <w:pPr>
              <w:spacing w:after="0"/>
              <w:rPr>
                <w:sz w:val="16"/>
                <w:szCs w:val="16"/>
                <w:color w:val="auto"/>
              </w:rPr>
            </w:pPr>
          </w:p>
        </w:tc>
        <w:tc>
          <w:tcPr>
            <w:tcW w:w="1540" w:type="dxa"/>
            <w:vAlign w:val="bottom"/>
          </w:tcPr>
          <w:p>
            <w:pPr>
              <w:jc w:val="center"/>
              <w:ind w:right="155"/>
              <w:spacing w:after="0"/>
              <w:rPr>
                <w:sz w:val="20"/>
                <w:szCs w:val="20"/>
                <w:color w:val="auto"/>
              </w:rPr>
            </w:pPr>
            <w:r>
              <w:rPr>
                <w:rFonts w:ascii="Arial" w:cs="Arial" w:eastAsia="Arial" w:hAnsi="Arial"/>
                <w:sz w:val="16"/>
                <w:szCs w:val="16"/>
                <w:b w:val="1"/>
                <w:bCs w:val="1"/>
                <w:color w:val="auto"/>
                <w:w w:val="89"/>
              </w:rPr>
              <w:t>September 30,</w:t>
            </w:r>
          </w:p>
        </w:tc>
        <w:tc>
          <w:tcPr>
            <w:tcW w:w="480" w:type="dxa"/>
            <w:vAlign w:val="bottom"/>
          </w:tcPr>
          <w:p>
            <w:pPr>
              <w:spacing w:after="0"/>
              <w:rPr>
                <w:sz w:val="16"/>
                <w:szCs w:val="16"/>
                <w:color w:val="auto"/>
              </w:rPr>
            </w:pPr>
          </w:p>
        </w:tc>
        <w:tc>
          <w:tcPr>
            <w:tcW w:w="1760" w:type="dxa"/>
            <w:vAlign w:val="bottom"/>
            <w:vMerge w:val="restart"/>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51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3"/>
          </w:tcPr>
          <w:p>
            <w:pPr>
              <w:jc w:val="right"/>
              <w:ind w:right="913"/>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32.6</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(16.9)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Other expense—net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ind w:left="1160"/>
              <w:spacing w:after="0"/>
              <w:rPr>
                <w:sz w:val="20"/>
                <w:szCs w:val="20"/>
                <w:color w:val="auto"/>
              </w:rPr>
            </w:pPr>
            <w:r>
              <w:rPr>
                <w:rFonts w:ascii="Arial" w:cs="Arial" w:eastAsia="Arial" w:hAnsi="Arial"/>
                <w:sz w:val="18"/>
                <w:szCs w:val="18"/>
                <w:color w:val="auto"/>
              </w:rPr>
              <w:t>(8.1)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ind w:left="1180"/>
              <w:spacing w:after="0"/>
              <w:rPr>
                <w:sz w:val="20"/>
                <w:szCs w:val="20"/>
                <w:color w:val="auto"/>
              </w:rPr>
            </w:pPr>
            <w:r>
              <w:rPr>
                <w:rFonts w:ascii="Arial" w:cs="Arial" w:eastAsia="Arial" w:hAnsi="Arial"/>
                <w:sz w:val="18"/>
                <w:szCs w:val="18"/>
                <w:color w:val="auto"/>
                <w:w w:val="91"/>
              </w:rPr>
              <w:t>(6.9)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93"/>
              <w:spacing w:after="0"/>
              <w:rPr>
                <w:sz w:val="20"/>
                <w:szCs w:val="20"/>
                <w:color w:val="auto"/>
              </w:rPr>
            </w:pPr>
            <w:r>
              <w:rPr>
                <w:rFonts w:ascii="Arial" w:cs="Arial" w:eastAsia="Arial" w:hAnsi="Arial"/>
                <w:sz w:val="18"/>
                <w:szCs w:val="18"/>
                <w:color w:val="auto"/>
              </w:rPr>
              <w:t>(1.2)</w:t>
            </w:r>
          </w:p>
        </w:tc>
        <w:tc>
          <w:tcPr>
            <w:tcW w:w="170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Interest income—net decreased during the nine months ended September 30, 2020 compared to the same period last year, primarily due to lower interest rates and lower invested balances of cash, cash equivalents and investments. The lower cash, cash equivalents and investments were mainly due to our repurchases of common stock under the Repurchase Program during the past twelve months. The change in other expense—net during the nine months ended September 30, 2020 compared to the same period last year was the result of a $4.3 million impairment charge on an investment in a privately held company during the first quarter of 2020 compared to a $3.8 million impairment charge on an investment in a privately held company during the third quarter of 2019 . In addition, foreign currency exchange losses increased by $1.0 million compared to the same period last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right"/>
              <w:ind w:right="1155"/>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right"/>
              <w:ind w:right="395"/>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6"/>
                <w:szCs w:val="16"/>
                <w:color w:val="auto"/>
              </w:rPr>
            </w:pPr>
          </w:p>
        </w:tc>
        <w:tc>
          <w:tcPr>
            <w:tcW w:w="1600" w:type="dxa"/>
            <w:vAlign w:val="bottom"/>
          </w:tcPr>
          <w:p>
            <w:pPr>
              <w:jc w:val="right"/>
              <w:ind w:right="355"/>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6"/>
                <w:szCs w:val="16"/>
                <w:color w:val="auto"/>
              </w:rPr>
            </w:pPr>
          </w:p>
        </w:tc>
        <w:tc>
          <w:tcPr>
            <w:tcW w:w="1680" w:type="dxa"/>
            <w:vAlign w:val="bottom"/>
            <w:vMerge w:val="restart"/>
          </w:tcPr>
          <w:p>
            <w:pPr>
              <w:jc w:val="right"/>
              <w:ind w:right="835"/>
              <w:spacing w:after="0"/>
              <w:rPr>
                <w:sz w:val="20"/>
                <w:szCs w:val="20"/>
                <w:color w:val="auto"/>
              </w:rPr>
            </w:pPr>
            <w:r>
              <w:rPr>
                <w:rFonts w:ascii="Arial" w:cs="Arial" w:eastAsia="Arial" w:hAnsi="Arial"/>
                <w:sz w:val="16"/>
                <w:szCs w:val="16"/>
                <w:b w:val="1"/>
                <w:bCs w:val="1"/>
                <w:color w:val="auto"/>
              </w:rPr>
              <w:t>Change</w:t>
            </w:r>
          </w:p>
        </w:tc>
        <w:tc>
          <w:tcPr>
            <w:tcW w:w="1660" w:type="dxa"/>
            <w:vAlign w:val="bottom"/>
            <w:vMerge w:val="restart"/>
          </w:tcPr>
          <w:p>
            <w:pPr>
              <w:jc w:val="right"/>
              <w:ind w:right="49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gridSpan w:val="3"/>
          </w:tcPr>
          <w:p>
            <w:pPr>
              <w:jc w:val="right"/>
              <w:ind w:right="975"/>
              <w:spacing w:after="0"/>
              <w:rPr>
                <w:sz w:val="20"/>
                <w:szCs w:val="20"/>
                <w:color w:val="auto"/>
              </w:rPr>
            </w:pPr>
            <w:r>
              <w:rPr>
                <w:rFonts w:ascii="Arial" w:cs="Arial" w:eastAsia="Arial" w:hAnsi="Arial"/>
                <w:sz w:val="16"/>
                <w:szCs w:val="16"/>
                <w:b w:val="1"/>
                <w:bCs w:val="1"/>
                <w:color w:val="auto"/>
              </w:rPr>
              <w:t>(in millions, except percentages)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28.2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41.1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(12.9)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8 %</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16 %</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Our effective tax rate was 8% for the nine months ended September 30, 2020 compared to an effective tax rate of 16% for the same period last year. The provision for income taxes for the nine months ended September 30, 2020 was primarily comprised of U.S. federal and state taxes, withholding taxes and foreign taxes that were $74.8 million, which included a tax benefit of $25.6 million from the foreign-derived intangible income deduction. This tax provision for income taxes was favorably affected by excess tax benefits from stock-based compensation expense of $37.6 million and release of reserves of $9.0 million on uncertain tax positions and the interest due to the expiration of the statute of limitations.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provision for income taxes for the nine months ended September 30, 2019 was comprised of U.S. federal and state taxes, withholding taxes, and foreign taxes that were $75.4 million, which were offset by excess tax benefits from stock-based compensation expense of $34.6 million and release of reserves of $10.0 million on uncertain tax positions and the interest due to the expiration of the statute of limitations. This tax provision for income taxes was further impacted by an increase in tax expense of $10.3 million for an unrecognized tax benefit related to the Ninth Circuit’s Altera decision, regarding stock-based compensation expense in cost sharing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1055"/>
              <w:spacing w:after="0"/>
              <w:rPr>
                <w:sz w:val="20"/>
                <w:szCs w:val="20"/>
                <w:color w:val="auto"/>
              </w:rPr>
            </w:pPr>
            <w:r>
              <w:rPr>
                <w:rFonts w:ascii="Arial" w:cs="Arial" w:eastAsia="Arial" w:hAnsi="Arial"/>
                <w:sz w:val="16"/>
                <w:szCs w:val="16"/>
                <w:b w:val="1"/>
                <w:bCs w:val="1"/>
                <w:color w:val="auto"/>
                <w:w w:val="89"/>
              </w:rPr>
              <w:t>As of</w:t>
            </w:r>
          </w:p>
        </w:tc>
        <w:tc>
          <w:tcPr>
            <w:tcW w:w="132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3"/>
                <w:szCs w:val="13"/>
                <w:color w:val="auto"/>
              </w:rPr>
            </w:pPr>
          </w:p>
        </w:tc>
        <w:tc>
          <w:tcPr>
            <w:tcW w:w="132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w w:val="90"/>
              </w:rPr>
              <w:t>December 31,</w:t>
            </w:r>
          </w:p>
        </w:tc>
      </w:tr>
      <w:tr>
        <w:trPr>
          <w:trHeight w:val="213"/>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2019</w:t>
            </w:r>
          </w:p>
        </w:tc>
      </w:tr>
      <w:tr>
        <w:trPr>
          <w:trHeight w:val="210"/>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987.4</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ind w:left="20"/>
              <w:spacing w:after="0" w:line="203" w:lineRule="exact"/>
              <w:rPr>
                <w:sz w:val="20"/>
                <w:szCs w:val="20"/>
                <w:color w:val="auto"/>
              </w:rPr>
            </w:pPr>
            <w:r>
              <w:rPr>
                <w:rFonts w:ascii="Arial" w:cs="Arial" w:eastAsia="Arial" w:hAnsi="Arial"/>
                <w:sz w:val="18"/>
                <w:szCs w:val="18"/>
                <w:color w:val="auto"/>
              </w:rPr>
              <w:t>Working capital</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739.0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1,313.2</w:t>
            </w:r>
          </w:p>
        </w:tc>
      </w:tr>
      <w:tr>
        <w:trPr>
          <w:trHeight w:val="21"/>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436"/>
        </w:trPr>
        <w:tc>
          <w:tcPr>
            <w:tcW w:w="8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6"/>
                <w:szCs w:val="16"/>
                <w:b w:val="1"/>
                <w:bCs w:val="1"/>
                <w:color w:val="auto"/>
                <w:w w:val="92"/>
              </w:rPr>
              <w:t>Nine Months Ended</w:t>
            </w:r>
          </w:p>
        </w:tc>
      </w:tr>
      <w:tr>
        <w:trPr>
          <w:trHeight w:val="158"/>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3"/>
                <w:szCs w:val="13"/>
                <w:color w:val="auto"/>
              </w:rPr>
            </w:pPr>
          </w:p>
        </w:tc>
        <w:tc>
          <w:tcPr>
            <w:tcW w:w="1320" w:type="dxa"/>
            <w:vAlign w:val="bottom"/>
          </w:tcPr>
          <w:p>
            <w:pPr>
              <w:jc w:val="center"/>
              <w:ind w:right="113"/>
              <w:spacing w:after="0" w:line="158" w:lineRule="exact"/>
              <w:rPr>
                <w:sz w:val="20"/>
                <w:szCs w:val="20"/>
                <w:color w:val="auto"/>
              </w:rPr>
            </w:pPr>
            <w:r>
              <w:rPr>
                <w:rFonts w:ascii="Arial" w:cs="Arial" w:eastAsia="Arial" w:hAnsi="Arial"/>
                <w:sz w:val="16"/>
                <w:szCs w:val="16"/>
                <w:b w:val="1"/>
                <w:bCs w:val="1"/>
                <w:color w:val="auto"/>
                <w:w w:val="91"/>
              </w:rPr>
              <w:t>September 30,</w:t>
            </w:r>
          </w:p>
        </w:tc>
      </w:tr>
      <w:tr>
        <w:trPr>
          <w:trHeight w:val="213"/>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2019</w:t>
            </w:r>
          </w:p>
        </w:tc>
      </w:tr>
      <w:tr>
        <w:trPr>
          <w:trHeight w:val="209"/>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(402.7)</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r>
      <w:tr>
        <w:trPr>
          <w:trHeight w:val="21"/>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Liquidity and capital resources may be impacted by our operating activities, as well as by our stock repurchases, proceeds from the issuance of common stock under our the Amended and Restated Fortinet, Inc. 2009 Equity Incentive Plan (the “Amended Plan”) and payment of taxes in connection with the net settlement of equity awards, real estate and other capital expenditures and business acquisitions.</w:t>
      </w:r>
    </w:p>
    <w:p>
      <w:pPr>
        <w:spacing w:after="0" w:line="19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recent years, we have received significant capital resources from our billings to customers and, to some extent, from the exercise of stock options by our employees. Additional increases in billings may depend on a number of factors, including demand for our products and services, competition, market or industry changes, macroeconomic events such as the COVID-19 pandemic and our ability to execute. We expect proceeds from the exercise of stock options in future years to be impacted by the increased mix of restricted stock units versus stock options granted to our employees and to vary based on our share price.</w:t>
      </w:r>
    </w:p>
    <w:p>
      <w:pPr>
        <w:spacing w:after="0" w:line="21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February 2020, we received a cash payment of $50.0 million pursuant to a mutual covenant-not-to-sue and release agreement with a competitor in the network security industry.</w:t>
      </w:r>
    </w:p>
    <w:p>
      <w:pPr>
        <w:spacing w:after="0" w:line="19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July 2020, our board of directors approved a $500.0 million increase in the authorized stock repurchase amount under the Repurchase Program and extended the term of the Repurchase Program to February 28, 2022, bringing the aggregate amount authorized to be repurchased to $3.0 billion. During the nine months ended September 30, 2020, we repurchased $1.05 billion in shares of our common stock under the Repurchase Program. As of September 30, 2020, $1.05 billion remained available for future share repurchases under the Repurchase Program.</w:t>
      </w:r>
    </w:p>
    <w:p>
      <w:pPr>
        <w:spacing w:after="0" w:line="19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Construction of a second building at our headquarters campus started in the fourth quarter of 2018 and related spending will continue in 2020 and until project completion. We estimate 2020 spending on the headquarters campus project to be between $95.0 million and $105.0 million dollars. The COVID-19 pandemic has resulted in a delay to the project schedule. We estimate construction to be completed in the first half of 2021.</w:t>
      </w:r>
    </w:p>
    <w:p>
      <w:pPr>
        <w:spacing w:after="0" w:line="19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of September 30, 2020, our cash, cash equivalents and investments of $1.77 billion were invested primarily in deposit accounts, money market funds, corporate debt securities, commercial paper, certificates of deposit and term deposits and U.S. government securities. It is our investment policy to invest excess cash in a manner that preserves capital, provides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liquidity and generates return without significantly increasing risk. We do not enter into investments for trading or speculative purposes.</w:t>
      </w:r>
    </w:p>
    <w:p>
      <w:pPr>
        <w:spacing w:after="0" w:line="25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amount of cash, cash equivalents and investments held by our international subsidiaries was $121.9 million as of September 30, 2020 and $109.3 million as of December 31, 2019.</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needs for at least the next 12 months. Our future capital requirements will depend on many factors, including our growth rate, the timing and amount of our share repurchases, the expansion of sales and marketing activities, the introduction of new and enhanced products and services offerings, the continuing market acceptance of our products, the timing and extent of spending to support development efforts, our investments in purchasing or leasing real estate and macroeconomic impacts such as the COVID-19 pandemic.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amortization of deferred contract costs and depreciation and amortization. Changes in operating assets and liabilities consist primarily of changes in deferred revenue, deferred contract costs, accounts receivable, inventory and prepaid expenses and other current assets.</w:t>
      </w:r>
    </w:p>
    <w:p>
      <w:pPr>
        <w:spacing w:after="0" w:line="214"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Our operating activities during the nine months ended September 30, 2020 provided cash flows of $787.2 million. Changes in operating assets and liabilities primarily resulted from an increase in sales of our FortiGuard and other security subscription services and FortiCare technical support services to new and existing customers, as reflected by an increase in our deferred revenue, and proceeds from the mutual covenant-not-to-sue and release agreement. Our total deferred revenue balance grew $282.9 million, or 13%, during the nine months ended September 30,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 Historically, in making a lease versus ownership decision related to our larger facilities, we have considered various factors including financial metrics and the impact on our engineers and other employees. In certain cases, we have elected to own a facility if we believed that ownership rather than leasing is more in line with our long-term strategy. We expect to make similar decisions in the future. We may also make cash payments in connection with future business combinations.</w:t>
      </w:r>
    </w:p>
    <w:p>
      <w:pPr>
        <w:spacing w:after="0" w:line="215" w:lineRule="exact"/>
        <w:rPr>
          <w:sz w:val="20"/>
          <w:szCs w:val="20"/>
          <w:color w:val="auto"/>
        </w:rPr>
      </w:pPr>
    </w:p>
    <w:p>
      <w:pPr>
        <w:jc w:val="both"/>
        <w:ind w:right="540" w:firstLine="648"/>
        <w:spacing w:after="0" w:line="259" w:lineRule="auto"/>
        <w:rPr>
          <w:sz w:val="20"/>
          <w:szCs w:val="20"/>
          <w:color w:val="auto"/>
        </w:rPr>
      </w:pPr>
      <w:r>
        <w:rPr>
          <w:rFonts w:ascii="Arial" w:cs="Arial" w:eastAsia="Arial" w:hAnsi="Arial"/>
          <w:sz w:val="18"/>
          <w:szCs w:val="18"/>
          <w:color w:val="auto"/>
        </w:rPr>
        <w:t>During the nine months ended September 30, 2020, cash used in investing activities was $7.8 million, primarily driven by $93.6 million of purchases of property and equipment, a large portion of which relates to our headquarters building construction, and $9.2 million used for the OPAQ acquisition, net of cash acquired, and partially offset by $95.4 million in cash proceeds from maturities and sales of investments, net of purchases of investments.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the Amended Plan.</w:t>
      </w:r>
    </w:p>
    <w:p>
      <w:pPr>
        <w:spacing w:after="0" w:line="19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During the nine months ended September 30, 2020, cash used in financing activities was $1.12 billion, primarily driven by $1.05 billion used to repurchase shares of our common stock, $68.3 million used to pay tax withholding, net of proceeds from the issuance of common stock and $4.1 million used to pay debt assumed in connection with the OPAQ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52" w:lineRule="exact"/>
        <w:rPr>
          <w:sz w:val="20"/>
          <w:szCs w:val="20"/>
          <w:color w:val="auto"/>
        </w:rPr>
      </w:pPr>
    </w:p>
    <w:p>
      <w:pPr>
        <w:jc w:val="both"/>
        <w:ind w:right="100" w:firstLine="177"/>
        <w:spacing w:after="0" w:line="263" w:lineRule="auto"/>
        <w:rPr>
          <w:sz w:val="20"/>
          <w:szCs w:val="20"/>
          <w:color w:val="auto"/>
        </w:rPr>
      </w:pPr>
      <w:r>
        <w:rPr>
          <w:rFonts w:ascii="Arial" w:cs="Arial" w:eastAsia="Arial" w:hAnsi="Arial"/>
          <w:sz w:val="18"/>
          <w:szCs w:val="18"/>
          <w:color w:val="auto"/>
        </w:rPr>
        <w:t>There were no material changes outside the ordinary course of business during the nine months ended September 30, 2020 to the contractual obligations and commitments disclosed in Management’s Discussion and Analysis of Financial Condition and Results of Operations, set forth in Part II, Item 7, of the Form 10-K. See Note 13 of the notes to condensed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consolidated financial statements included in Part I, Item 1 of this Quarterly Report on Form 10-Q for additional information regarding contractual obligations and commitments.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As of September 30, 2020,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nine months ended September 30, 2020 compared to the disclosures in Part II, Item 7A of the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September 30, 2020.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Based on that evaluation, our chief executive officer and chief financial officer concluded that our disclosure controls and procedures were effective as of September 30, 2020 to provide reasonable assurance that information we are required to disclose in reports that we file or submit under the Exchange Act is recorded, processed, summarized and reported within the time periods specified in </w:t>
      </w:r>
      <w:r>
        <w:rPr>
          <w:rFonts w:ascii="Arial" w:cs="Arial" w:eastAsia="Arial" w:hAnsi="Arial"/>
          <w:sz w:val="18"/>
          <w:szCs w:val="18"/>
          <w:i w:val="1"/>
          <w:iCs w:val="1"/>
          <w:color w:val="auto"/>
        </w:rPr>
        <w:t>SEC</w:t>
      </w:r>
      <w:r>
        <w:rPr>
          <w:rFonts w:ascii="Arial" w:cs="Arial" w:eastAsia="Arial" w:hAnsi="Arial"/>
          <w:sz w:val="18"/>
          <w:szCs w:val="18"/>
          <w:color w:val="auto"/>
        </w:rPr>
        <w:t xml:space="preserve"> rules and forms, and that such information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nine months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5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52" w:lineRule="exact"/>
        <w:rPr>
          <w:rFonts w:ascii="Arial" w:cs="Arial" w:eastAsia="Arial" w:hAnsi="Arial"/>
          <w:sz w:val="18"/>
          <w:szCs w:val="18"/>
          <w:color w:val="auto"/>
        </w:rPr>
      </w:pPr>
    </w:p>
    <w:p>
      <w:pPr>
        <w:ind w:left="1300" w:right="560" w:hanging="644"/>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 and may be impacted by the COVID-19 pandemic in ways that we are not able to foresee;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of channel partner and end-customer orders, and our reliance on a concentration of shipments at the end of each quarter;</w:t>
      </w:r>
    </w:p>
    <w:p>
      <w:pPr>
        <w:spacing w:after="0" w:line="275" w:lineRule="exact"/>
        <w:rPr>
          <w:rFonts w:ascii="Arial" w:cs="Arial" w:eastAsia="Arial" w:hAnsi="Arial"/>
          <w:sz w:val="16"/>
          <w:szCs w:val="16"/>
          <w:color w:val="auto"/>
        </w:rPr>
      </w:pPr>
    </w:p>
    <w:p>
      <w:pPr>
        <w:ind w:left="1300" w:right="80" w:hanging="644"/>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to our business, the global economy, disruption of global supply chains and creation of significant volatility and disruption of the financial markets due to the COVID-19 pandemic;</w:t>
      </w:r>
    </w:p>
    <w:p>
      <w:pPr>
        <w:spacing w:after="0" w:line="170"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52" w:lineRule="exact"/>
        <w:rPr>
          <w:rFonts w:ascii="Arial" w:cs="Arial" w:eastAsia="Arial" w:hAnsi="Arial"/>
          <w:sz w:val="18"/>
          <w:szCs w:val="18"/>
          <w:color w:val="auto"/>
        </w:rPr>
      </w:pPr>
    </w:p>
    <w:p>
      <w:pPr>
        <w:ind w:left="1300" w:hanging="644"/>
        <w:spacing w:after="0" w:line="259"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component and product inventory shortages, including those caused by factors outside of our control such as natural disasters and health emergencies, including earthquakes,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213" w:lineRule="exact"/>
        <w:rPr>
          <w:rFonts w:ascii="Arial" w:cs="Arial" w:eastAsia="Arial" w:hAnsi="Arial"/>
          <w:sz w:val="18"/>
          <w:szCs w:val="18"/>
          <w:color w:val="auto"/>
        </w:rPr>
      </w:pPr>
    </w:p>
    <w:p>
      <w:pPr>
        <w:ind w:left="1300" w:right="100" w:hanging="644"/>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97" w:lineRule="exact"/>
        <w:rPr>
          <w:rFonts w:ascii="Arial" w:cs="Arial" w:eastAsia="Arial" w:hAnsi="Arial"/>
          <w:sz w:val="18"/>
          <w:szCs w:val="18"/>
          <w:color w:val="auto"/>
        </w:rPr>
      </w:pPr>
    </w:p>
    <w:p>
      <w:pPr>
        <w:ind w:left="1300" w:right="460" w:hanging="644"/>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refresh cycles;</w:t>
      </w:r>
    </w:p>
    <w:p>
      <w:pPr>
        <w:spacing w:after="0" w:line="197"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decreases in demand by channel partners or end-customers, including any such decreases caused by factors outside of our control such as natural disasters and health emergencies, including earthquakes, fires,</w:t>
      </w:r>
    </w:p>
    <w:p>
      <w:pPr>
        <w:sectPr>
          <w:pgSz w:w="11900" w:h="16838" w:orient="portrait"/>
          <w:cols w:equalWidth="0" w:num="1">
            <w:col w:w="11200"/>
          </w:cols>
          <w:pgMar w:left="320" w:top="283" w:right="3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300"/>
        <w:spacing w:after="0" w:line="308" w:lineRule="auto"/>
        <w:rPr>
          <w:sz w:val="20"/>
          <w:szCs w:val="20"/>
          <w:color w:val="auto"/>
        </w:rPr>
      </w:pPr>
      <w:r>
        <w:rPr>
          <w:rFonts w:ascii="Arial" w:cs="Arial" w:eastAsia="Arial" w:hAnsi="Arial"/>
          <w:sz w:val="17"/>
          <w:szCs w:val="17"/>
          <w:color w:val="auto"/>
        </w:rPr>
        <w:t>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173" w:lineRule="exact"/>
        <w:rPr>
          <w:sz w:val="20"/>
          <w:szCs w:val="20"/>
          <w:color w:val="auto"/>
        </w:rPr>
      </w:pPr>
    </w:p>
    <w:p>
      <w:pPr>
        <w:ind w:left="1300" w:right="100" w:hanging="644"/>
        <w:spacing w:after="0" w:line="27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97" w:lineRule="exact"/>
        <w:rPr>
          <w:rFonts w:ascii="Arial" w:cs="Arial" w:eastAsia="Arial" w:hAnsi="Arial"/>
          <w:sz w:val="18"/>
          <w:szCs w:val="18"/>
          <w:color w:val="auto"/>
        </w:rPr>
      </w:pPr>
    </w:p>
    <w:p>
      <w:pPr>
        <w:ind w:left="1300" w:right="20" w:hanging="644"/>
        <w:spacing w:after="0" w:line="259"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and service providers, and to selling our broad security product and services portfolio, including, among other execution risks, risks associated with the complexity and distraction in selling to all segments and increased competition and unpredictability of timing to close sales deals with large enterprises;</w:t>
      </w:r>
    </w:p>
    <w:p>
      <w:pPr>
        <w:spacing w:after="0" w:line="213" w:lineRule="exact"/>
        <w:rPr>
          <w:rFonts w:ascii="Arial" w:cs="Arial" w:eastAsia="Arial" w:hAnsi="Arial"/>
          <w:sz w:val="18"/>
          <w:szCs w:val="18"/>
          <w:color w:val="auto"/>
        </w:rPr>
      </w:pPr>
    </w:p>
    <w:p>
      <w:pPr>
        <w:jc w:val="both"/>
        <w:ind w:left="1300" w:right="20" w:hanging="644"/>
        <w:spacing w:after="0" w:line="263"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execution risk associated with our efforts to capture the opportunities related to our identified growth drivers, such as risk associated with our ability to capitalize on network security and software defined wide area network (“SD-WAN”), infrastructure security, cloud security and endpoint protection, IoT and OT security opportunities;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52" w:lineRule="exact"/>
        <w:rPr>
          <w:rFonts w:ascii="Arial" w:cs="Arial" w:eastAsia="Arial" w:hAnsi="Arial"/>
          <w:sz w:val="18"/>
          <w:szCs w:val="18"/>
          <w:color w:val="auto"/>
        </w:rPr>
      </w:pPr>
    </w:p>
    <w:p>
      <w:pPr>
        <w:ind w:left="1300" w:right="120" w:hanging="644"/>
        <w:spacing w:after="0" w:line="27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of revenue recognition for our sales, including any impacts resulting from extension of payment terms to distributors;</w:t>
      </w:r>
    </w:p>
    <w:p>
      <w:pPr>
        <w:spacing w:after="0" w:line="223" w:lineRule="exact"/>
        <w:rPr>
          <w:rFonts w:ascii="Arial" w:cs="Arial" w:eastAsia="Arial" w:hAnsi="Arial"/>
          <w:sz w:val="17"/>
          <w:szCs w:val="17"/>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52" w:lineRule="exact"/>
        <w:rPr>
          <w:rFonts w:ascii="Arial" w:cs="Arial" w:eastAsia="Arial" w:hAnsi="Arial"/>
          <w:sz w:val="18"/>
          <w:szCs w:val="18"/>
          <w:color w:val="auto"/>
        </w:rPr>
      </w:pPr>
    </w:p>
    <w:p>
      <w:pPr>
        <w:ind w:left="1300" w:right="200" w:hanging="644"/>
        <w:spacing w:after="0" w:line="27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growth rates of the network security market in particular and other security and networking markets, such as SD-WAN, for which we sell products and services;</w:t>
      </w:r>
    </w:p>
    <w:p>
      <w:pPr>
        <w:spacing w:after="0" w:line="170" w:lineRule="exact"/>
        <w:rPr>
          <w:rFonts w:ascii="Arial" w:cs="Arial" w:eastAsia="Arial" w:hAnsi="Arial"/>
          <w:sz w:val="18"/>
          <w:szCs w:val="18"/>
          <w:color w:val="auto"/>
        </w:rPr>
      </w:pPr>
    </w:p>
    <w:p>
      <w:pPr>
        <w:ind w:left="1300" w:right="280" w:hanging="644"/>
        <w:spacing w:after="0" w:line="308"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6" w:lineRule="exact"/>
        <w:rPr>
          <w:rFonts w:ascii="Arial" w:cs="Arial" w:eastAsia="Arial" w:hAnsi="Arial"/>
          <w:sz w:val="17"/>
          <w:szCs w:val="17"/>
          <w:color w:val="auto"/>
        </w:rPr>
      </w:pPr>
    </w:p>
    <w:p>
      <w:pPr>
        <w:ind w:left="1300" w:right="200" w:hanging="644"/>
        <w:spacing w:after="0" w:line="27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right="80" w:hanging="644"/>
        <w:spacing w:after="0" w:line="311" w:lineRule="auto"/>
        <w:tabs>
          <w:tab w:leader="none" w:pos="12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75" w:lineRule="exact"/>
        <w:rPr>
          <w:rFonts w:ascii="Arial" w:cs="Arial" w:eastAsia="Arial" w:hAnsi="Arial"/>
          <w:sz w:val="16"/>
          <w:szCs w:val="16"/>
          <w:color w:val="auto"/>
        </w:rPr>
      </w:pPr>
    </w:p>
    <w:p>
      <w:pPr>
        <w:ind w:left="1300" w:right="220" w:hanging="644"/>
        <w:spacing w:after="0" w:line="261"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existing laws and regulations, and our ability to obtain and maintain permits and clearances, that are applicable to our ability to conduct business with the public sector and other sectors;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cloud-based platforms on our billings, revenues, operating margins and free cash flow;</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66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price competition and increased competitiveness in our market, including the competitive pressure caused by product refresh cycles;</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customer renewal rates or attach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service contracts or the contractual term of service contracts sold;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our contracts with service providers and distributors;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52" w:lineRule="exact"/>
        <w:rPr>
          <w:rFonts w:ascii="Arial" w:cs="Arial" w:eastAsia="Arial" w:hAnsi="Arial"/>
          <w:sz w:val="18"/>
          <w:szCs w:val="18"/>
          <w:color w:val="auto"/>
        </w:rPr>
      </w:pPr>
    </w:p>
    <w:p>
      <w:pPr>
        <w:ind w:left="1300" w:right="120" w:hanging="644"/>
        <w:spacing w:after="0" w:line="308" w:lineRule="auto"/>
        <w:tabs>
          <w:tab w:leader="none" w:pos="12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increased expenses, unforeseen liabilities or write-downs and any impact on results of operations from any acquisition consummated;</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70" w:lineRule="exact"/>
        <w:rPr>
          <w:rFonts w:ascii="Arial" w:cs="Arial" w:eastAsia="Arial" w:hAnsi="Arial"/>
          <w:sz w:val="18"/>
          <w:szCs w:val="18"/>
          <w:color w:val="auto"/>
        </w:rPr>
      </w:pPr>
    </w:p>
    <w:p>
      <w:pPr>
        <w:ind w:left="1300" w:right="18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97" w:lineRule="exact"/>
        <w:rPr>
          <w:rFonts w:ascii="Arial" w:cs="Arial" w:eastAsia="Arial" w:hAnsi="Arial"/>
          <w:sz w:val="18"/>
          <w:szCs w:val="18"/>
          <w:color w:val="auto"/>
        </w:rPr>
      </w:pPr>
    </w:p>
    <w:p>
      <w:pPr>
        <w:ind w:left="1300" w:right="640" w:hanging="644"/>
        <w:spacing w:after="0" w:line="308" w:lineRule="auto"/>
        <w:tabs>
          <w:tab w:leader="none" w:pos="12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52"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as well as the significant costs that may be incurred to adopt and comply with these new pronouncements;</w:t>
      </w:r>
    </w:p>
    <w:p>
      <w:pPr>
        <w:spacing w:after="0" w:line="197" w:lineRule="exact"/>
        <w:rPr>
          <w:rFonts w:ascii="Arial" w:cs="Arial" w:eastAsia="Arial" w:hAnsi="Arial"/>
          <w:sz w:val="18"/>
          <w:szCs w:val="18"/>
          <w:color w:val="auto"/>
        </w:rPr>
      </w:pPr>
    </w:p>
    <w:p>
      <w:pPr>
        <w:ind w:left="1300" w:right="76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97"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in a material way.</w:t>
      </w:r>
    </w:p>
    <w:p>
      <w:pPr>
        <w:spacing w:after="0" w:line="252"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The COVID-19 pandemic has negatively impacted the global economy, disrupted global supply chains and demand for certain solutions and created significant volatility in, and disruption of, global financial markets. The extent of the future impact of the COVID-19 pandemic on our operational and financial performance, including on demand for our products and services and our ability to execute our business strategies and initiatives in the expected time frame, will depend on future developments, including the duration and spread of the COVID-19 pandemic and related restrictions on, and disruptions of, business and world economies, all of which are uncertain and difficult to predict. An extended period of global supply chain disruption, demand reduction and economic slowdown would materially negatively affect our overall business and our operating results, including billings, revenue, gross margins, operating margins, cash flows and other operating results. If the spread of the COVID-19 pandemic limits the availability of our products, either by limiting components available, by limiting the actual manufacture and assembly or by limiting or restricting shipping of components and products, this likely would result in increased product backlog, lower billings, lower revenue and decreased profitability and would negatively impact, and may materially negatively impact, our operating results and business. Moreover, the COVID-19 pandemic has created a reduction in certain business activity and demand for certain solutions, which we believe has negatively impacted our billings and may in the future materially and negatively affect the rate and amount of our billings. The COVID-19 pandemic may adversely affect certain of our partners’ and customers’ ability or willingness to purchase our products and services, delay certain customers’ purchasing decisions and increase customer attrition rates, all of which will adversely affect our future sales and operating results, possibly in a material way. As a result, we may experience extended sales cycles; our ability to close transactions with new and existing customers and partners may be negatively impacted; our ability to recognize revenue from sales we do close may be negatively impacted; certain businesses will not buy our products and services when they otherwise would have; certain current partners, customers and customer prospects may go out of business or face significant business challenges, thereby negatively impacting our sales; due to product or component shortages, implementation delays or other factors; and our ability to provide technical and other support to our customers may be affected. We have also offered, and may continue to offer, payment terms in excess of our contractual agreements to some of our distributor customers, which may decrease the likelihood that we will be able to collect from these customers. In addition, the COVID-19 pandemic has caused an increase in certain of our expenses, including increased shipping costs, increased cancellation charges and reduced attendance fees due to the cancellation of several of our 2020 Accelerate sales conferences, and it may result in increased component and product manufacturing costs. The COVID-19 pandemic has limited certain demand generation activities, such as conferences and in-person sales meetings, which may reduce our costs, but also may reduce leads that could result in closed sales. The full impact of the COVID-19 pandemic is unknown at this time. While we continue to monitor developments and the potential effect on our business, it is clear that the COVID-19 pandemic will negatively impact certain sales and may have a material negative impact on our operating results in the near term and longer term.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geopolitical instability and uncertainty, weak economic conditions in certain regions or a reduction in information technology spending regardless of macro-economic conditions, including the effects of the COVID-19 pandemic on the foregoing issues,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may experience slowing growth, or a decrease, in billings, revenue, operating margin and free cash flow for a number of reasons, including as a result of the COVID-19 pandemic,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31% of our total net accounts receivable as of September 30, 2020.</w:t>
      </w:r>
    </w:p>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19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198" w:lineRule="exact"/>
        <w:rPr>
          <w:sz w:val="20"/>
          <w:szCs w:val="20"/>
          <w:color w:val="auto"/>
        </w:rPr>
      </w:pPr>
    </w:p>
    <w:p>
      <w:pPr>
        <w:ind w:right="100" w:firstLine="648"/>
        <w:spacing w:after="0" w:line="253" w:lineRule="auto"/>
        <w:rPr>
          <w:sz w:val="20"/>
          <w:szCs w:val="20"/>
          <w:color w:val="auto"/>
        </w:rPr>
      </w:pPr>
      <w:r>
        <w:rPr>
          <w:rFonts w:ascii="Arial" w:cs="Arial" w:eastAsia="Arial" w:hAnsi="Arial"/>
          <w:sz w:val="17"/>
          <w:szCs w:val="17"/>
          <w:color w:val="auto"/>
        </w:rPr>
        <w:t>Exclusive Networks Group (“Exclusive”), Ingram Micro, Inc. (“Ingram Micro”) and Tech Data Corporation (“Tech Data”) accounted for 31%, 11% and 10% of our total net accounts receivable as of September 30, 2020, respectively, and six distributor customers accounted for 69% of our total net accounts receivable in the aggregate. During the three and nine months ended September 30, 2020, Exclusive accounted for 29% and 30% of our total revenue, respectively, and Ingram Micro accounted for 10% of our total revenue in both periods. During the three and nine months ended September 30, 2019, Exclusive accounted for 30% and 31% of our total revenue, respectively, and Ingram Micro accounted for 11% of our total revenue in both periods. In addition to other risks associated with the concentration of accounts receivable and revenue from these distributors, all three are privately held entities and we may not have sufficient information to assess their financial conditions and, accordingly, if any were to experience financial difficulties, we might not have advance notice. Additionally, Exclusive, Ingram Micro and Tech Data may face liquidity risk as private equity-backed companies, which may harm our ability to collect on our accounts receivable.</w:t>
      </w:r>
    </w:p>
    <w:p>
      <w:pPr>
        <w:spacing w:after="0" w:line="211"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Exclusive,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1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or we have system issues that prevent processing in time to realize service billings in a quarter, we will not be able to bill and realize billings for those services until the following quarter,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spacing w:after="0" w:line="202"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of anticipated purchase orders to materialize;</w:t>
      </w:r>
    </w:p>
    <w:p>
      <w:pPr>
        <w:spacing w:after="0" w:line="252"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logistics partners’ failure or inability to ship products prior to quarter-end to fulfill purchase orders received near the end of the quarter;</w:t>
      </w:r>
    </w:p>
    <w:p>
      <w:pPr>
        <w:spacing w:after="0" w:line="224" w:lineRule="exact"/>
        <w:rPr>
          <w:rFonts w:ascii="Arial" w:cs="Arial" w:eastAsia="Arial" w:hAnsi="Arial"/>
          <w:sz w:val="18"/>
          <w:szCs w:val="18"/>
          <w:color w:val="auto"/>
        </w:rPr>
      </w:pPr>
    </w:p>
    <w:p>
      <w:pPr>
        <w:ind w:left="1300" w:right="180" w:hanging="644"/>
        <w:spacing w:after="0" w:line="232" w:lineRule="auto"/>
        <w:tabs>
          <w:tab w:leader="none" w:pos="1295" w:val="left"/>
        </w:tabs>
        <w:numPr>
          <w:ilvl w:val="0"/>
          <w:numId w:val="28"/>
        </w:numPr>
        <w:rPr>
          <w:rFonts w:ascii="Arial" w:cs="Arial" w:eastAsia="Arial" w:hAnsi="Arial"/>
          <w:sz w:val="22"/>
          <w:szCs w:val="22"/>
          <w:color w:val="auto"/>
        </w:rPr>
      </w:pPr>
      <w:r>
        <w:rPr>
          <w:rFonts w:ascii="Arial" w:cs="Arial" w:eastAsia="Arial" w:hAnsi="Arial"/>
          <w:sz w:val="18"/>
          <w:szCs w:val="18"/>
          <w:color w:val="auto"/>
        </w:rPr>
        <w:t>disruption in manufacturing or shipping based on power outages, system failures, labor disputes, natural disasters or widespread public health problems including pandemics and epidemics such as the COVID-19 pandemic;</w:t>
      </w:r>
    </w:p>
    <w:p>
      <w:pPr>
        <w:spacing w:after="0" w:line="216" w:lineRule="exact"/>
        <w:rPr>
          <w:rFonts w:ascii="Arial" w:cs="Arial" w:eastAsia="Arial" w:hAnsi="Arial"/>
          <w:sz w:val="22"/>
          <w:szCs w:val="22"/>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failure to accurately forecast our inventory requirements and to appropriately manage inventory to meet demand;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release new products on schedule;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failure of our systems related to order review and processing; and</w:t>
      </w:r>
    </w:p>
    <w:p>
      <w:pPr>
        <w:spacing w:after="0" w:line="252"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delays in shipments due to trade compliance requirements, labor disputes or logistics changes at shipping ports, airline strikes, severe weather or otherwise.</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21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Our FortiGuard and other security subscription and FortiCare technical support services revenue has historically accounted for a significant percentage of our total revenue. Revenue from the sale of new, or from the renewal of existing,</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FortiGuard and other security subscription and FortiCare technical support service contracts may decline and fluctuate as a result of a number of factors, including fluctuations in purchases of FortiGate appliances or our Fortinet Security Fabric platform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monthly over the term of the relevant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2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5"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 or as a result of the COVID-19 pandemic and related travel and gathering restrictions;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uncertainty of protection for IP rights in some countries;</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97" w:lineRule="exact"/>
        <w:rPr>
          <w:rFonts w:ascii="Arial" w:cs="Arial" w:eastAsia="Arial" w:hAnsi="Arial"/>
          <w:sz w:val="18"/>
          <w:szCs w:val="18"/>
          <w:color w:val="auto"/>
        </w:rPr>
      </w:pPr>
    </w:p>
    <w:p>
      <w:pPr>
        <w:ind w:left="1300" w:right="20" w:hanging="644"/>
        <w:spacing w:after="0" w:line="301" w:lineRule="auto"/>
        <w:tabs>
          <w:tab w:leader="none" w:pos="12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disruption in manufacturing or shipping or decreases in demand by channel partners or end-customers, including any such disruption or decreases caused by factors outside of our control such as natural disasters and health emergencies, including earthquakes,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184" w:lineRule="exact"/>
        <w:rPr>
          <w:rFonts w:ascii="Arial" w:cs="Arial" w:eastAsia="Arial" w:hAnsi="Arial"/>
          <w:sz w:val="16"/>
          <w:szCs w:val="16"/>
          <w:color w:val="auto"/>
        </w:rPr>
      </w:pPr>
    </w:p>
    <w:p>
      <w:pPr>
        <w:ind w:left="1300" w:right="40" w:hanging="644"/>
        <w:spacing w:after="0" w:line="259"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 (for example, over the past year, our revenue from sales in China has been insignificant, totaling less than 1% of aggregate revenue, possibly based in part on a preference in China to do business with Chinese businesses over U.S. businesses like Fortinet);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80" w:hanging="644"/>
        <w:spacing w:after="0" w:line="259"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13"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97" w:lineRule="exact"/>
        <w:rPr>
          <w:rFonts w:ascii="Arial" w:cs="Arial" w:eastAsia="Arial" w:hAnsi="Arial"/>
          <w:sz w:val="18"/>
          <w:szCs w:val="18"/>
          <w:color w:val="auto"/>
        </w:rPr>
      </w:pPr>
    </w:p>
    <w:p>
      <w:pPr>
        <w:ind w:left="1300" w:right="200" w:hanging="644"/>
        <w:spacing w:after="0" w:line="259"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effectively implement and maintain adequate internal controls to properly manage our international sales and operations;</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ongoing effects of the COVID-19 pandemic may enhance the severity and unpredictability of a number of the foregoing risks.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0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managed security service providers (“MSSPs”), and there can be no assurance that we will be successful</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selling to these customers. Sales to these organizations involve risks that may not be present, or that are present to a lesser extent, with sales to smaller entities. These risks include:</w:t>
      </w:r>
    </w:p>
    <w:p>
      <w:pPr>
        <w:spacing w:after="0" w:line="197" w:lineRule="exact"/>
        <w:rPr>
          <w:sz w:val="20"/>
          <w:szCs w:val="20"/>
          <w:color w:val="auto"/>
        </w:rPr>
      </w:pPr>
    </w:p>
    <w:p>
      <w:pPr>
        <w:ind w:left="1300" w:right="24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52" w:lineRule="exact"/>
        <w:rPr>
          <w:rFonts w:ascii="Arial" w:cs="Arial" w:eastAsia="Arial" w:hAnsi="Arial"/>
          <w:sz w:val="18"/>
          <w:szCs w:val="18"/>
          <w:color w:val="auto"/>
        </w:rPr>
      </w:pPr>
    </w:p>
    <w:p>
      <w:pPr>
        <w:ind w:left="1300" w:right="140" w:hanging="644"/>
        <w:spacing w:after="0" w:line="263"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3" w:lineRule="exact"/>
        <w:rPr>
          <w:rFonts w:ascii="Arial" w:cs="Arial" w:eastAsia="Arial" w:hAnsi="Arial"/>
          <w:sz w:val="18"/>
          <w:szCs w:val="18"/>
          <w:color w:val="auto"/>
        </w:rPr>
      </w:pPr>
    </w:p>
    <w:p>
      <w:pPr>
        <w:ind w:left="1300" w:right="88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97" w:lineRule="exact"/>
        <w:rPr>
          <w:rFonts w:ascii="Arial" w:cs="Arial" w:eastAsia="Arial" w:hAnsi="Arial"/>
          <w:sz w:val="18"/>
          <w:szCs w:val="18"/>
          <w:color w:val="auto"/>
        </w:rPr>
      </w:pPr>
    </w:p>
    <w:p>
      <w:pPr>
        <w:ind w:left="1300" w:right="10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the current COVID-19 pandemic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0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addition, mitigation and containment measures adopted by government authorities to contain the spread of COVID-19 in the United States and internationally, including travel restrictions and other requirements that limit in-person meetings, could limit our ability to establish and maintain relationships with new and existing customers, which may exacerbate the risks described above.</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or components may result in lost sales opportunities or delayed revenue, while excess inventory may harm our gross margins.</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6"/>
          <w:szCs w:val="16"/>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increases for any reason, inventory shortfalls could result. If we cannot manufacture and ship our products due to, for example, natural disasters and health emergencies such as earthquakes, fires, power outages, typhoons, floods, pandemics and epidemics such as the COVID-19 pandemic or manmade events such as civil unrest, labor disruption, international trade disputes, international conflicts, terrorism, wars and critical infrastructure attacks, our business and financial results could be materially and adversely impacted.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 The COVID-19 pandemic has resulted in challenges to obtaining components and inventory, as well as increases to freight and shipping costs, and may result in a material adverse effect on our results of operations. In order to mitigate supply chain risk from COVID-19, we have increased our on-hand stock of certain products. If we are unable to sell these products, we would be required to write-off excess inventory, which would have an adverse impact on our results of operations.</w:t>
      </w:r>
    </w:p>
    <w:p>
      <w:pPr>
        <w:spacing w:after="0" w:line="20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including the COVID-19 pandemic, could adversely affect our business,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The COVID-19 pandemic may also decelerate our hiring and increase the challenge of recruiting qualified personnel to leave their current positions to join us.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97" w:lineRule="exact"/>
        <w:rPr>
          <w:sz w:val="20"/>
          <w:szCs w:val="20"/>
          <w:color w:val="auto"/>
        </w:rPr>
      </w:pPr>
    </w:p>
    <w:p>
      <w:pPr>
        <w:ind w:right="120" w:firstLine="648"/>
        <w:spacing w:after="0" w:line="267" w:lineRule="auto"/>
        <w:rPr>
          <w:sz w:val="20"/>
          <w:szCs w:val="20"/>
          <w:color w:val="auto"/>
        </w:rPr>
      </w:pPr>
      <w:r>
        <w:rPr>
          <w:rFonts w:ascii="Arial" w:cs="Arial" w:eastAsia="Arial" w:hAnsi="Arial"/>
          <w:sz w:val="17"/>
          <w:szCs w:val="17"/>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especially in light of the COVID-19 pandemic,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 If we do not hire properly qualified and effective sales employees and organize our sales team effectively to capture the opportunities in the various customer segments we are targeting, our growth and ability to effectively support growth would be harmed.</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209" w:lineRule="exact"/>
        <w:rPr>
          <w:sz w:val="20"/>
          <w:szCs w:val="20"/>
          <w:color w:val="auto"/>
        </w:rPr>
      </w:pPr>
    </w:p>
    <w:p>
      <w:pPr>
        <w:jc w:val="both"/>
        <w:ind w:right="240"/>
        <w:spacing w:after="0" w:line="327" w:lineRule="auto"/>
        <w:rPr>
          <w:sz w:val="20"/>
          <w:szCs w:val="20"/>
          <w:color w:val="auto"/>
        </w:rPr>
      </w:pPr>
      <w:r>
        <w:rPr>
          <w:rFonts w:ascii="Arial" w:cs="Arial" w:eastAsia="Arial" w:hAnsi="Arial"/>
          <w:sz w:val="15"/>
          <w:szCs w:val="15"/>
          <w:b w:val="1"/>
          <w:bCs w:val="1"/>
          <w:i w:val="1"/>
          <w:iCs w:val="1"/>
          <w:color w:val="auto"/>
        </w:rPr>
        <w:t>If our internal enterprise IT networks, on which we conduct internal business and interface externally, our operational networks, through which we connect to customer systems and provide services, or our research and development networks, our back-end labs and cloud stacks through which we research and develop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53" w:lineRule="exact"/>
        <w:rPr>
          <w:sz w:val="20"/>
          <w:szCs w:val="20"/>
          <w:color w:val="auto"/>
        </w:rPr>
      </w:pPr>
    </w:p>
    <w:p>
      <w:pPr>
        <w:ind w:right="40" w:firstLine="648"/>
        <w:spacing w:after="0" w:line="252" w:lineRule="auto"/>
        <w:rPr>
          <w:sz w:val="20"/>
          <w:szCs w:val="20"/>
          <w:color w:val="auto"/>
        </w:rPr>
      </w:pPr>
      <w:r>
        <w:rPr>
          <w:rFonts w:ascii="Arial" w:cs="Arial" w:eastAsia="Arial" w:hAnsi="Arial"/>
          <w:sz w:val="16"/>
          <w:szCs w:val="16"/>
          <w:color w:val="auto"/>
        </w:rPr>
        <w:t>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attempts to overload our servers with denial-of-service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in an effort to gain entry into our customers’ networks. These and other hacking efforts against us and our customers may be ongoing and may recur in the future. Although we take numerous measures and implement multiple layers of security to protect our networks and our customers’ networks, we cannot guarantee that our security products, processes and services will prevent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2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addition, due to the COVID-19 pandemic, a substantial majority of our employees are temporarily working remotely, which may pose additional data security risks. For example, there has been an increase in phishing attempts and spam emails as well as social engineering attempts from hackers hoping to use the recent COVID-19 pandemic to their advantage. The risks described above could therefore be exacerbated by the COVID-19 pandemic.</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9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businesses,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 We are also limited in our marketing efforts as a result of the COVID-19 pandemic, as mitigation and containment measures adopted by government authorities to contain the spread of COVID-19, including travel restrictions and other requirements that limit in-person meetings, could limit our ability to establish and maintain relationships with new and existing customers and negatively affect our sales and marketing efforts.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97"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cause them to fail to help secure our customers or cause our products or services to allow unauthorized access to our customers’ networks. Additionally, any perception that our products have product vulnerabilities, whether or not accurate, may cause reputation harm. We are also susceptible to errors, defects, vulnerabilities or attacks that may arise at, or be inserted into our products in, different stages in our supply chain, or manufacturing processes, and which are out of our control. Attacks may target specific unidentified or unresolved vulnerabilities that exist or arrive only in the supply chain, making these attacks virtually impossible to anticipate and difficult to prevent or detect. If we are unable to maintain an effective supply chain security risk management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adverse security events. Because the techniques used by malicious adversaries to access or sabotage networks change frequently and generally are not recognized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until launched against a target, we may be unable to anticipate these techniques. In addition, defects or errors in our FortiGuard and other security subscription or FortiCare updates or our FortiGate appliances and operating systems could result in a failure of our FortiGuard and other security subscription services to effectively update end-customers’ FortiGate 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6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An actual, possible or perceived security breach or infection of the network of one of our end-customers, regardless of whether the breach is attributable to the failure of our products or services to prevent the security breach,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65" w:lineRule="exact"/>
        <w:rPr>
          <w:sz w:val="20"/>
          <w:szCs w:val="20"/>
          <w:color w:val="auto"/>
        </w:rPr>
      </w:pPr>
    </w:p>
    <w:p>
      <w:pPr>
        <w:ind w:left="1300" w:right="120" w:hanging="644"/>
        <w:spacing w:after="0" w:line="277"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86"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40" w:firstLine="648"/>
        <w:spacing w:after="0" w:line="296" w:lineRule="auto"/>
        <w:rPr>
          <w:sz w:val="20"/>
          <w:szCs w:val="20"/>
          <w:color w:val="auto"/>
        </w:rPr>
      </w:pPr>
      <w:r>
        <w:rPr>
          <w:rFonts w:ascii="Arial" w:cs="Arial" w:eastAsia="Arial" w:hAnsi="Arial"/>
          <w:sz w:val="16"/>
          <w:szCs w:val="16"/>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18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expanded our office real estate holdings to meet our projected growing need for office space. We have started construction on a second building adjacent to our headquarters as we expand our campus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19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valuation of inventory, accounting for business combination, contingent liabilities and accounting for income taxes.</w:t>
      </w:r>
    </w:p>
    <w:p>
      <w:pPr>
        <w:spacing w:after="0" w:line="19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5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21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outsource the manufacturing of our security appliance products to contract manufacturing partners and original design manufacturing partners, including manufacturers with facilities located in Taiwan, China and other countries outside the United States such as Micro-Star, Wistron, Senao, ADLINK and IBASE. Our reliance on our third-party manufacturers in Asia and elsewhere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6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proprietary SPUs, which are key to the performance of our appliances, are built by contract manufacturers including Renesas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Toshiba. These contract manufacturers use foundries operated by TSMC or Renesas on a purchase-order basis, and these foundries do not guarantee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capacity and could delay orders or increase their pricing. Accordingly, the foundries are not obligated to continue to fulfill our supply requirements,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long lead time that a new foundry would require, we could suffer inventory shortages of our SPU as well as increased costs. In addition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proprietary SPU, we also purchase off-the-shelf ASICs or integrated circuits from vendors for which we have experienced, and may continue to experience,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long lead times. Our suppliers may also prioritize orders by other companies that order higher volumes or more profitable products. If any of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manufacturers materially delays its supply of ASICs or specific product models to us, or requires us to find an alternate supplier and we are not able to do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 on a timely and reasonable basis, or if these foundries materially increase their prices for fabrication of our ASICs, our business would be harmed.</w:t>
      </w:r>
    </w:p>
    <w:p>
      <w:pPr>
        <w:spacing w:after="0" w:line="24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7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may discontinue or modify components used in our products. We have in the past experienced, and are currently experiencing, shortages and long lead times for certain components. Our limited source components for particular appliances and suppliers of those components include specific types of CPUs from Intel, network chips from Broadcom, Marvell and Intel, and memory devices from Intel, ADATA, Toshiba, Samsung and Western Digital. We also may face shortages in the supply of the capacitors and resistors that are used in the manufacturing of our products.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critical infrastructure attacks and other factors. Our reliance on a limited number of suppliers involves several additional risks, including:</w:t>
      </w:r>
    </w:p>
    <w:p>
      <w:pPr>
        <w:spacing w:after="0" w:line="215"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infringement or misappropriation of our 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in component quality;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ship products on a timely basis.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results of operations.</w:t>
      </w:r>
    </w:p>
    <w:p>
      <w:pPr>
        <w:spacing w:after="0" w:line="27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 significant portion of our operating expenses are incurred outside the United States. These expenses are denominated in foreign currencies and are subject to fluctuations due to changes in foreign currency exchange rates, particularly changes in the Euro, Brazilian real, Canadian dollar and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15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9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For example,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 In July 2020, the European Court of Justice issued a judgment declaring invalid the EU-U.S. Privacy Shield Framework (the “Privacy Shield”) as a mechanism for exportation of personal data from the European Economic Area to the United States. Though we are not participants of the Privacy Shield, and instead employ alternative mechanisms for personal data transfers, the ruling raises questions as to GDPR implications and adequate data protection in the United States, and may have an impact on our European customers and related business operations.</w:t>
      </w:r>
    </w:p>
    <w:p>
      <w:pPr>
        <w:spacing w:after="0" w:line="195"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costs of compliance with and the penalties for violations of the GDPR and CCPA, along with other burdens imposed by these regulations, may limit the use and adoption of our products and services and could have an adverse impact on our business.</w:t>
      </w:r>
    </w:p>
    <w:p>
      <w:pPr>
        <w:spacing w:after="0" w:line="216"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the U.S. government or one of its divisions, as well as other penalties and damages,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07" w:lineRule="exact"/>
        <w:rPr>
          <w:sz w:val="20"/>
          <w:szCs w:val="20"/>
          <w:color w:val="auto"/>
        </w:rPr>
      </w:pPr>
    </w:p>
    <w:p>
      <w:pPr>
        <w:ind w:right="140" w:firstLine="648"/>
        <w:spacing w:after="0" w:line="241" w:lineRule="auto"/>
        <w:rPr>
          <w:sz w:val="20"/>
          <w:szCs w:val="20"/>
          <w:color w:val="auto"/>
        </w:rPr>
      </w:pPr>
      <w:r>
        <w:rPr>
          <w:rFonts w:ascii="Arial" w:cs="Arial" w:eastAsia="Arial" w:hAnsi="Arial"/>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with the public sector could have an adverse effect on our business and operating results.</w:t>
      </w:r>
    </w:p>
    <w:p>
      <w:pPr>
        <w:spacing w:after="0" w:line="2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Global economic uncertainty and weakening product demand caused by political instability and conflict could adversely affect our business and financial performance.</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Economic uncertainty in various global markets caused by political instability and conflict and economic challenges caused by the COVID-19 pandemic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election year instability in the United States and trade disputes and tariffs, may negatively impact markets and cause weaker macro-economic conditions. The effects of</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these events may continue due to potential U.S. government shutdowns and developments resulting from the 2020 presidential election, and the United States’ ongoing trade disputes with China and other countries. The continuing effect of any or all of these events could adversely impact demand for our products, harm our operations and weaken our financial results.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68"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2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1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during 2018 and 2019 the United States imposed additional import tariffs on certain goods from different countries and on most of Chinese imported goods.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China or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0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environmental requirements, our business, financial condition, operating results and reputation could be adversely affected.</w:t>
      </w:r>
    </w:p>
    <w:p>
      <w:pPr>
        <w:spacing w:after="0" w:line="2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costs associated with assuring the supply of compliant components and costs associated with writing off scrapped noncompliant inventory.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12"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 xml:space="preserve">As part of the Circular Economy Action Plan, the European Commission amended the EU Waste Framework Directive (“WFD”) to include a number of measures related to waste prevention and recycling. Starting on January 5, 2021, we will be responsible for submitting product data to a database of hazardous substances known as the </w:t>
      </w:r>
      <w:r>
        <w:rPr>
          <w:rFonts w:ascii="Arial" w:cs="Arial" w:eastAsia="Arial" w:hAnsi="Arial"/>
          <w:sz w:val="18"/>
          <w:szCs w:val="18"/>
          <w:i w:val="1"/>
          <w:iCs w:val="1"/>
          <w:color w:val="auto"/>
        </w:rPr>
        <w:t>Substances of Concern In articles, as such and in complex objects (Products)</w:t>
      </w:r>
      <w:r>
        <w:rPr>
          <w:rFonts w:ascii="Arial" w:cs="Arial" w:eastAsia="Arial" w:hAnsi="Arial"/>
          <w:sz w:val="18"/>
          <w:szCs w:val="18"/>
          <w:color w:val="auto"/>
        </w:rPr>
        <w:t xml:space="preserve"> database (the “SCIP database”). The SCIP database was established under the WFD and will be managed by the European Chemicals Agency. We expect to incur costs in order to comply with this new requirement.</w:t>
      </w:r>
    </w:p>
    <w:p>
      <w:pPr>
        <w:spacing w:after="0" w:line="216"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8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portion of our revenue is generated by sales to government organizations, which are subject to a number of challenges and risks.</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21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97"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52" w:lineRule="exact"/>
        <w:rPr>
          <w:rFonts w:ascii="Arial" w:cs="Arial" w:eastAsia="Arial" w:hAnsi="Arial"/>
          <w:sz w:val="18"/>
          <w:szCs w:val="18"/>
          <w:color w:val="auto"/>
        </w:rPr>
      </w:pPr>
    </w:p>
    <w:p>
      <w:pPr>
        <w:ind w:left="1300" w:right="46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300" w:right="40" w:hanging="644"/>
        <w:spacing w:after="0" w:line="248"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geopolitical matters, including tariff and trade disputes, government shutdowns and trade protectionism and other political dynamics that may adversely affect our ability to sell in certain locations or obtain the requisite permits and clearances required for certain purchases by government organizations of our products and services; and</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Government spending may also be negatively impacted by the COVID-19 pandemic.</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of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decision by one government agency that our products do not meet certain standards, may cause reputational harm and cause concern with other government agencies, governments and businesses and cause them to not buy our products and services and/or lead to a decrease in demand for our products generally. Finally, purchases by the U.S. government may require certain products to be manufactured in the United States and other high cost manufacturing locations, and we may not manufacture all products in locations that meet the requirements of the U.S. government and may not successfully obtain all certifications or clearances required for certain U.S. government purchases.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7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high-quality technical support services would have a material adverse effect on our sales and results of operations.</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meet the requirements of our larger end-customers, it may be more difficult to execute on our strategy to increase our 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7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51"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306"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availability of tax credits and/or tax deductions;</w:t>
      </w:r>
    </w:p>
    <w:p>
      <w:pPr>
        <w:spacing w:after="0" w:line="292"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52"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97" w:lineRule="exact"/>
        <w:rPr>
          <w:rFonts w:ascii="Arial" w:cs="Arial" w:eastAsia="Arial" w:hAnsi="Arial"/>
          <w:sz w:val="18"/>
          <w:szCs w:val="18"/>
          <w:color w:val="auto"/>
        </w:rPr>
      </w:pPr>
    </w:p>
    <w:p>
      <w:pPr>
        <w:ind w:left="1300" w:right="86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9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We currently have ongoing tax audits in the United Kingdom, Canada and several other foreign jurisdictions. The focus of all of these audits is the allocation of profit between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consolidated financial statements and may materially affect our financial results.</w:t>
      </w:r>
    </w:p>
    <w:p>
      <w:pPr>
        <w:spacing w:after="0" w:line="20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1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0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Organisation for Economic Co-operation and Development (the “OECD”), an international association comprised of 37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successfully acquire and integrate other businesses, products or technologies could seriously harm our competitive position.</w:t>
      </w:r>
    </w:p>
    <w:p>
      <w:pPr>
        <w:spacing w:after="0" w:line="275"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IP, such as patents. For example, we closed our acquisitions of enSilo and CyberSponse in the fourth quarter of 2019, and we acquired OPAQ in July 2020. For any possible future acquisitions, we may not be successful in negotiating the terms of the acquisition or financing the acquisition. For both our prior and future acquisitions, we may not be successful in effectively integrating the acquired business, product, technology or IP and sales force into our existing business and operations.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IP,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IP could significantly divert management time and resources.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5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22" w:lineRule="exact"/>
        <w:rPr>
          <w:sz w:val="20"/>
          <w:szCs w:val="20"/>
          <w:color w:val="auto"/>
        </w:rPr>
      </w:pPr>
    </w:p>
    <w:p>
      <w:pPr>
        <w:jc w:val="both"/>
        <w:ind w:right="80"/>
        <w:spacing w:after="0" w:line="381" w:lineRule="auto"/>
        <w:rPr>
          <w:sz w:val="20"/>
          <w:szCs w:val="20"/>
          <w:color w:val="auto"/>
        </w:rPr>
      </w:pPr>
      <w:r>
        <w:rPr>
          <w:rFonts w:ascii="Arial" w:cs="Arial" w:eastAsia="Arial" w:hAnsi="Arial"/>
          <w:sz w:val="15"/>
          <w:szCs w:val="15"/>
          <w:b w:val="1"/>
          <w:bCs w:val="1"/>
          <w:i w:val="1"/>
          <w:iCs w:val="1"/>
          <w:color w:val="auto"/>
        </w:rPr>
        <w:t>Our business is subject to the risks of earthquakes, fire, power outages, typhoon, floods, virus outbreaks and other broad health-related challenges and other catastrophic events, and to interruption by manmade problems such as civil unrest, labor disruption, critical infrastructure attack and terrorism.</w:t>
      </w:r>
    </w:p>
    <w:p>
      <w:pPr>
        <w:spacing w:after="0" w:line="127"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A significant natural disaster, such as an earthquake,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ship products and could result in delays and reductions in billings and revenues, and the COVID-19 pandemic will negatively impact our ability to manufacture and ship products, possibly in a material way, and could result in delays and reductions in billings and revenues, also possibly in a material way.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211"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may be harmed.</w:t>
      </w:r>
    </w:p>
    <w:p>
      <w:pPr>
        <w:spacing w:after="0" w:line="21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Moreover, business models based on SaaS, either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2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0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new products and product enhancements do not achieve sufficient market acceptance, our results of operations and competitive position will suffer.</w:t>
      </w:r>
    </w:p>
    <w:p>
      <w:pPr>
        <w:spacing w:after="0" w:line="19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5540" w:right="4980" w:hanging="4884"/>
        <w:spacing w:after="0" w:line="1064" w:lineRule="auto"/>
        <w:tabs>
          <w:tab w:leader="none" w:pos="13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delays in releasing our new products or enhancements to the market;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right="300" w:hanging="644"/>
        <w:spacing w:after="0" w:line="27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failure to have the appropriate research and development expertise and focus to make our top strategic fabric products successful;</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1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4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market for network security products is intensely competitive and we expect competition to intensify in the future. We face many competitors across the different cybersecurity markets. Our competitors include companies such as Barracuda, Check Point, Cisco, CrowdStrike, F5 Networks, FireEye, Forcepoint, Imperva, Juniper, McAfee, Palo Alto Networks, Proofpoint, SonicWALL, Sophos, Trend Micro and Zscaler.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and increase sales by utilizing different distribution channels than we do. For example, certain of our competitors are focusing on delivering security services from the cloud.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reluctant to add additional network infrastructure from new vendors or otherwise decide to work with their existing vendors, our business, financial condition and results of operations will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0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IP rights. We could be subject to suits by parties claiming infringement of IP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8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9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8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have several ongoing patent lawsuits, certain companies have sent us demand letters proposing that we license certain of their patents, and organizations have sent letters demanding that we provide indemnification for patent claims. As two examples of the ongoing patent lawsuits against us, one such patent lawsuit by British Telecommunications plc was filed in federal court in Delaware in July 2018, and a second such lawsuit by Finjan, Inc. was filed in federal court in California in October 2018, and additional patent lawsuits have been filed against us since.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19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2019, our internal controls over financial reporting were effective, we cannot predict the outcome of our testing in 2020 or future periods. We may incur additional expenses and commitment of management’s time in connection with further evaluations, both of which could materially increase our operating expenses and accordingly reduce our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financial accounting standards may cause adverse unexpected fluctuations and affect our reported results of operations.</w:t>
      </w:r>
    </w:p>
    <w:p>
      <w:pPr>
        <w:spacing w:after="0" w:line="26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such as changes to standards related to accounting for leases (which became effective for us on January 1, 2019), as well as the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1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lease standard is principles based and interpretation of those principles may vary from company to company based on their unique circumstances. Management will continue to make judgments and assumptions based on our interpretation of the new standard. If our circumstances change or if actual circumstances differ from our assumptions, our operating result may be adversely affected and could fall below our publicly announced guidance or the expectations of securities analysts and investors, resulting in a decline in the market price of our common stock. Further, equity investments are now required to be measured at fair value (with subsequent changes in fair value recognized in net income), which may increase the volatility of our earnings</w:t>
      </w:r>
    </w:p>
    <w:p>
      <w:pPr>
        <w:spacing w:after="0" w:line="1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97"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jc w:val="both"/>
        <w:ind w:right="260" w:firstLine="648"/>
        <w:spacing w:after="0" w:line="279" w:lineRule="auto"/>
        <w:rPr>
          <w:sz w:val="20"/>
          <w:szCs w:val="20"/>
          <w:color w:val="auto"/>
        </w:rPr>
      </w:pPr>
      <w:r>
        <w:rPr>
          <w:rFonts w:ascii="Arial" w:cs="Arial" w:eastAsia="Arial" w:hAnsi="Arial"/>
          <w:sz w:val="17"/>
          <w:szCs w:val="17"/>
          <w:color w:val="auto"/>
        </w:rPr>
        <w:t>The market price of our common stock may be subject to wide fluctuations in response to, among other things, the risk factors described in this periodic report, news about us and our financial results, the impact of the COVID-19 pandemic, news about our competitors and their results, and other factors such as rumors or fluctuations in the valuation of companies perceived by investors to be comparable to us. For example, during the nine months ended September 30, 2020, the closing price of our common stock ranged from $75.70 to $149.60 per share.</w:t>
      </w:r>
    </w:p>
    <w:p>
      <w:pPr>
        <w:spacing w:after="0" w:line="198" w:lineRule="exact"/>
        <w:rPr>
          <w:sz w:val="20"/>
          <w:szCs w:val="20"/>
          <w:color w:val="auto"/>
        </w:rPr>
      </w:pPr>
    </w:p>
    <w:p>
      <w:pPr>
        <w:ind w:right="160" w:firstLine="693"/>
        <w:spacing w:after="0" w:line="279" w:lineRule="auto"/>
        <w:rPr>
          <w:sz w:val="20"/>
          <w:szCs w:val="20"/>
          <w:color w:val="auto"/>
        </w:rPr>
      </w:pPr>
      <w:r>
        <w:rPr>
          <w:rFonts w:ascii="Arial" w:cs="Arial" w:eastAsia="Arial" w:hAnsi="Arial"/>
          <w:sz w:val="17"/>
          <w:szCs w:val="17"/>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In addition, the market price of our common stock and the market price of the common stock of many other companies have fallen significantly since the outbreak of the COVID-19 pandemic. The extent to which the COVID-19 pandemic may impact the market price of our common stock is unclear, and the market price of our common stock may fluctuate significantly as a result of the COVID-19 pandemic.</w:t>
      </w:r>
    </w:p>
    <w:p>
      <w:pPr>
        <w:spacing w:after="0" w:line="21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Share repurchases under our Repurchase Program could increase the volatility of the trading price of our common stock, could diminish our cash reserves, could occur at non-optimal prices and may not result in the most effective use of our capital.</w:t>
      </w:r>
    </w:p>
    <w:p>
      <w:pPr>
        <w:spacing w:after="0" w:line="17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July 2020, our board of directors approved a $500.0 million increase in the authorized stock repurchase amount under the Repurchase Program and extended the term of the Repurchase Program to February 28, 2022, bringing the aggregate amount authorized to be repurchased to $3.0 billion. As of September 30, 2020, $1.05 billion remained available for future share repurchases under the Repurchase Program.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19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73" w:lineRule="exact"/>
        <w:rPr>
          <w:sz w:val="20"/>
          <w:szCs w:val="20"/>
          <w:color w:val="auto"/>
        </w:rPr>
      </w:pPr>
    </w:p>
    <w:p>
      <w:pPr>
        <w:ind w:left="1300" w:right="360" w:hanging="644"/>
        <w:spacing w:after="0" w:line="27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forum that it finds favorable for disputes with us or any of our directors, officers or other employees, which may discourage lawsuits against us and our directors, officers and other employees.</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ind w:right="80" w:firstLine="648"/>
        <w:spacing w:after="0" w:line="324" w:lineRule="auto"/>
        <w:rPr>
          <w:sz w:val="20"/>
          <w:szCs w:val="20"/>
          <w:color w:val="auto"/>
        </w:rPr>
      </w:pPr>
      <w:r>
        <w:rPr>
          <w:rFonts w:ascii="Arial" w:cs="Arial" w:eastAsia="Arial" w:hAnsi="Arial"/>
          <w:sz w:val="16"/>
          <w:szCs w:val="16"/>
          <w:color w:val="auto"/>
        </w:rPr>
        <w:t>In July 2020, our board of directors approved a $500.0 million increase in the authorized stock repurchase amount under the Repurchase Program and extended the term of the Repurchase Program to February 28, 2022, bringing the aggregate amount authorized to be repurchased to $3.0 billion.</w:t>
      </w:r>
    </w:p>
    <w:p>
      <w:pPr>
        <w:spacing w:after="0" w:line="15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September 30, 2020, we have $1.05 billion remained available for future share repurchases under the Repurchase Program. No shares were repurchased during the three months ended September 30, 2020.</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following tables showing the correction of prior period amounts should be read in conjunction with Note 2 to our condensed consolidated unaudited financial statements in this Quarterly Report on Form 10-Q. This correction affected our consolidated balance sheets, consolidated statements of income, consolidated statements of comprehensive income, consolidated statements of stockholders’ equity and consolidated statements of cash flows for historical periods through June 30, 2020.</w:t>
      </w:r>
    </w:p>
    <w:p>
      <w:pPr>
        <w:spacing w:after="0" w:line="214"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This correction was not material to any of our previously issued financial statements. The following previously issued financial statements have been adjusted to reflect the correction: the condensed consolidated balance sheets as of June 30, 2020 and March 31, 2020; the consolidated balance sheets as of December 31, 2019, 2018, and 2017; the condensed consolidated statements of income for the three and six months ended June 30, 2020 and 2019 and the three months ended March 31, 2020 and 2019; the consolidated statements of income for the years ended December 31, 2019, 2018 and 2017; the condensed consolidated statements of cash flows for the six months ended June 30, 2020 and the three months ended March 31, 2020; and the consolidated statements of cash flows for the years ended December 31, 2019, 2018 and 2017. We also have revised our net income and comprehensive income in our condensed consolidated statements of comprehensive income and our net income, retained earnings (accumulated deficit) and total stockholders’ equity in our condensed consolidated statements of stockholders’ equity for the three and six months ended June 30, 2020 and the three months ended March 31, 2020 and our net income and comprehensive income in our consolidated statements of comprehensive income and our net income, retained earnings (accumulated deficit) and total stockholders’ equity in our consolidated statements of stockholders’ equity for the years ended December 31, 2019, 2018 and 2017 as a result of this correction.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affected line items within the consolidated financial statements (in millions):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 2017</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20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Corrections</w:t>
            </w:r>
          </w:p>
        </w:tc>
        <w:tc>
          <w:tcPr>
            <w:tcW w:w="280" w:type="dxa"/>
            <w:vAlign w:val="bottom"/>
          </w:tcPr>
          <w:p>
            <w:pPr>
              <w:spacing w:after="0"/>
              <w:rPr>
                <w:sz w:val="18"/>
                <w:szCs w:val="18"/>
                <w:color w:val="auto"/>
              </w:rPr>
            </w:pPr>
          </w:p>
        </w:tc>
        <w:tc>
          <w:tcPr>
            <w:tcW w:w="1580" w:type="dxa"/>
            <w:vAlign w:val="bottom"/>
          </w:tcPr>
          <w:p>
            <w:pPr>
              <w:jc w:val="right"/>
              <w:ind w:right="39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142.9</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2,253.9</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793.8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784.7</w:t>
            </w:r>
          </w:p>
        </w:tc>
      </w:tr>
      <w:tr>
        <w:trPr>
          <w:trHeight w:val="229"/>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1,018.1</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535.0</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1,651.9</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r>
      <w:tr>
        <w:trPr>
          <w:trHeight w:val="229"/>
        </w:trPr>
        <w:tc>
          <w:tcPr>
            <w:tcW w:w="546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602.0</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2,253.9</w:t>
            </w:r>
          </w:p>
        </w:tc>
      </w:tr>
      <w:tr>
        <w:trPr>
          <w:trHeight w:val="321"/>
        </w:trPr>
        <w:tc>
          <w:tcPr>
            <w:tcW w:w="5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 2018</w:t>
            </w: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20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Corrections</w:t>
            </w:r>
          </w:p>
        </w:tc>
        <w:tc>
          <w:tcPr>
            <w:tcW w:w="280" w:type="dxa"/>
            <w:vAlign w:val="bottom"/>
          </w:tcPr>
          <w:p>
            <w:pPr>
              <w:spacing w:after="0"/>
              <w:rPr>
                <w:sz w:val="18"/>
                <w:szCs w:val="18"/>
                <w:color w:val="auto"/>
              </w:rPr>
            </w:pPr>
          </w:p>
        </w:tc>
        <w:tc>
          <w:tcPr>
            <w:tcW w:w="1580" w:type="dxa"/>
            <w:vAlign w:val="bottom"/>
          </w:tcPr>
          <w:p>
            <w:pPr>
              <w:jc w:val="right"/>
              <w:ind w:right="39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250.3</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3,073.3</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965.9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954.9</w:t>
            </w:r>
          </w:p>
        </w:tc>
      </w:tr>
      <w:tr>
        <w:trPr>
          <w:trHeight w:val="229"/>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1,245.4</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711.9</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2,047.8</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546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1,025.5</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3,073.3</w:t>
            </w:r>
          </w:p>
        </w:tc>
      </w:tr>
      <w:tr>
        <w:trPr>
          <w:trHeight w:val="864"/>
        </w:trPr>
        <w:tc>
          <w:tcPr>
            <w:tcW w:w="5460" w:type="dxa"/>
            <w:vAlign w:val="bottom"/>
          </w:tcPr>
          <w:p>
            <w:pPr>
              <w:spacing w:after="0"/>
              <w:rPr>
                <w:sz w:val="24"/>
                <w:szCs w:val="24"/>
                <w:color w:val="auto"/>
              </w:rPr>
            </w:pPr>
          </w:p>
        </w:tc>
        <w:tc>
          <w:tcPr>
            <w:tcW w:w="1860" w:type="dxa"/>
            <w:vAlign w:val="bottom"/>
            <w:gridSpan w:val="2"/>
          </w:tcPr>
          <w:p>
            <w:pPr>
              <w:jc w:val="right"/>
              <w:ind w:right="151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3"/>
              </w:rPr>
              <w:t>March 31, 2020</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2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Corrections</w:t>
            </w:r>
          </w:p>
        </w:tc>
        <w:tc>
          <w:tcPr>
            <w:tcW w:w="280" w:type="dxa"/>
            <w:vAlign w:val="bottom"/>
          </w:tcPr>
          <w:p>
            <w:pPr>
              <w:spacing w:after="0"/>
              <w:rPr>
                <w:sz w:val="18"/>
                <w:szCs w:val="18"/>
                <w:color w:val="auto"/>
              </w:rPr>
            </w:pPr>
          </w:p>
        </w:tc>
        <w:tc>
          <w:tcPr>
            <w:tcW w:w="1580" w:type="dxa"/>
            <w:vAlign w:val="bottom"/>
          </w:tcPr>
          <w:p>
            <w:pPr>
              <w:jc w:val="right"/>
              <w:ind w:right="39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220.0</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3,199.7</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1,211.6</w:t>
            </w:r>
          </w:p>
        </w:tc>
      </w:tr>
      <w:tr>
        <w:trPr>
          <w:trHeight w:val="229"/>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1,524.4</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987.6</w:t>
            </w:r>
          </w:p>
        </w:tc>
      </w:tr>
      <w:tr>
        <w:trPr>
          <w:trHeight w:val="229"/>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2,642.3</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r>
      <w:tr>
        <w:trPr>
          <w:trHeight w:val="229"/>
        </w:trPr>
        <w:tc>
          <w:tcPr>
            <w:tcW w:w="546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557.4</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3,199.7</w:t>
            </w:r>
          </w:p>
        </w:tc>
      </w:tr>
      <w:tr>
        <w:trPr>
          <w:trHeight w:val="321"/>
        </w:trPr>
        <w:tc>
          <w:tcPr>
            <w:tcW w:w="5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2020</w:t>
            </w: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2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Corrections</w:t>
            </w:r>
          </w:p>
        </w:tc>
        <w:tc>
          <w:tcPr>
            <w:tcW w:w="280" w:type="dxa"/>
            <w:vAlign w:val="bottom"/>
          </w:tcPr>
          <w:p>
            <w:pPr>
              <w:spacing w:after="0"/>
              <w:rPr>
                <w:sz w:val="18"/>
                <w:szCs w:val="18"/>
                <w:color w:val="auto"/>
              </w:rPr>
            </w:pPr>
          </w:p>
        </w:tc>
        <w:tc>
          <w:tcPr>
            <w:tcW w:w="1580" w:type="dxa"/>
            <w:vAlign w:val="bottom"/>
          </w:tcPr>
          <w:p>
            <w:pPr>
              <w:jc w:val="right"/>
              <w:ind w:right="39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212.0</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3,323.7</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1,275.8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1,255.1</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1,591.2</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1,038.0</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2,757.0</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r>
      <w:tr>
        <w:trPr>
          <w:trHeight w:val="229"/>
        </w:trPr>
        <w:tc>
          <w:tcPr>
            <w:tcW w:w="546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566.7</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3,323.7</w:t>
            </w:r>
          </w:p>
        </w:tc>
      </w:tr>
      <w:tr>
        <w:trPr>
          <w:trHeight w:val="1107"/>
        </w:trPr>
        <w:tc>
          <w:tcPr>
            <w:tcW w:w="5460" w:type="dxa"/>
            <w:vAlign w:val="bottom"/>
          </w:tcPr>
          <w:p>
            <w:pPr>
              <w:spacing w:after="0"/>
              <w:rPr>
                <w:sz w:val="24"/>
                <w:szCs w:val="24"/>
                <w:color w:val="auto"/>
              </w:rPr>
            </w:pPr>
          </w:p>
        </w:tc>
        <w:tc>
          <w:tcPr>
            <w:tcW w:w="1860" w:type="dxa"/>
            <w:vAlign w:val="bottom"/>
            <w:gridSpan w:val="2"/>
          </w:tcPr>
          <w:p>
            <w:pPr>
              <w:jc w:val="right"/>
              <w:ind w:right="151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Consolidated Statements of Income: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6"/>
                <w:szCs w:val="16"/>
                <w:b w:val="1"/>
                <w:bCs w:val="1"/>
                <w:color w:val="auto"/>
                <w:w w:val="92"/>
              </w:rPr>
              <w:t>Year Ended December 31, 2017</w:t>
            </w:r>
          </w:p>
        </w:tc>
        <w:tc>
          <w:tcPr>
            <w:tcW w:w="158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w w:val="89"/>
              </w:rPr>
              <w:t>As Previously Reported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280" w:type="dxa"/>
            <w:vAlign w:val="bottom"/>
          </w:tcPr>
          <w:p>
            <w:pPr>
              <w:spacing w:after="0"/>
              <w:rPr>
                <w:sz w:val="18"/>
                <w:szCs w:val="18"/>
                <w:color w:val="auto"/>
              </w:rPr>
            </w:pPr>
          </w:p>
        </w:tc>
        <w:tc>
          <w:tcPr>
            <w:tcW w:w="1580" w:type="dxa"/>
            <w:vAlign w:val="bottom"/>
          </w:tcPr>
          <w:p>
            <w:pPr>
              <w:jc w:val="right"/>
              <w:ind w:right="39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917.7</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920.5</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1,497.7</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r>
      <w:tr>
        <w:trPr>
          <w:trHeight w:val="229"/>
        </w:trPr>
        <w:tc>
          <w:tcPr>
            <w:tcW w:w="5460" w:type="dxa"/>
            <w:vAlign w:val="bottom"/>
          </w:tcPr>
          <w:p>
            <w:pPr>
              <w:ind w:left="86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1,109.6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1,112.4</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31.4</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0.18</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658"/>
        </w:trPr>
        <w:tc>
          <w:tcPr>
            <w:tcW w:w="5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6"/>
                <w:szCs w:val="16"/>
                <w:b w:val="1"/>
                <w:bCs w:val="1"/>
                <w:color w:val="auto"/>
                <w:w w:val="92"/>
              </w:rPr>
              <w:t>Year Ended December 31, 2018</w:t>
            </w:r>
          </w:p>
        </w:tc>
        <w:tc>
          <w:tcPr>
            <w:tcW w:w="1580" w:type="dxa"/>
            <w:vAlign w:val="bottom"/>
            <w:tcBorders>
              <w:bottom w:val="single" w:sz="8" w:color="auto"/>
            </w:tcBorders>
          </w:tcPr>
          <w:p>
            <w:pPr>
              <w:spacing w:after="0"/>
              <w:rPr>
                <w:sz w:val="24"/>
                <w:szCs w:val="24"/>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w w:val="89"/>
              </w:rPr>
              <w:t>As Previously Reported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280" w:type="dxa"/>
            <w:vAlign w:val="bottom"/>
          </w:tcPr>
          <w:p>
            <w:pPr>
              <w:spacing w:after="0"/>
              <w:rPr>
                <w:sz w:val="18"/>
                <w:szCs w:val="18"/>
                <w:color w:val="auto"/>
              </w:rPr>
            </w:pPr>
          </w:p>
        </w:tc>
        <w:tc>
          <w:tcPr>
            <w:tcW w:w="1580" w:type="dxa"/>
            <w:vAlign w:val="bottom"/>
          </w:tcPr>
          <w:p>
            <w:pPr>
              <w:jc w:val="right"/>
              <w:ind w:right="39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1,126.8</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1,130.2</w:t>
            </w:r>
          </w:p>
        </w:tc>
      </w:tr>
      <w:tr>
        <w:trPr>
          <w:trHeight w:val="229"/>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w:t>
            </w:r>
          </w:p>
        </w:tc>
      </w:tr>
      <w:tr>
        <w:trPr>
          <w:trHeight w:val="230"/>
        </w:trPr>
        <w:tc>
          <w:tcPr>
            <w:tcW w:w="5460" w:type="dxa"/>
            <w:vAlign w:val="bottom"/>
          </w:tcPr>
          <w:p>
            <w:pPr>
              <w:ind w:left="86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1,350.8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1,354.2</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254.3</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332.2</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334.9</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1.96</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1107"/>
        </w:trPr>
        <w:tc>
          <w:tcPr>
            <w:tcW w:w="5460" w:type="dxa"/>
            <w:vAlign w:val="bottom"/>
          </w:tcPr>
          <w:p>
            <w:pPr>
              <w:spacing w:after="0"/>
              <w:rPr>
                <w:sz w:val="24"/>
                <w:szCs w:val="24"/>
                <w:color w:val="auto"/>
              </w:rPr>
            </w:pPr>
          </w:p>
        </w:tc>
        <w:tc>
          <w:tcPr>
            <w:tcW w:w="1800" w:type="dxa"/>
            <w:vAlign w:val="bottom"/>
            <w:gridSpan w:val="2"/>
          </w:tcPr>
          <w:p>
            <w:pPr>
              <w:jc w:val="right"/>
              <w:ind w:right="1451"/>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6"/>
          </w:tcPr>
          <w:p>
            <w:pPr>
              <w:jc w:val="center"/>
              <w:ind w:left="1312"/>
              <w:spacing w:after="0"/>
              <w:rPr>
                <w:sz w:val="20"/>
                <w:szCs w:val="20"/>
                <w:color w:val="auto"/>
              </w:rPr>
            </w:pPr>
            <w:r>
              <w:rPr>
                <w:rFonts w:ascii="Arial" w:cs="Arial" w:eastAsia="Arial" w:hAnsi="Arial"/>
                <w:sz w:val="16"/>
                <w:szCs w:val="16"/>
                <w:b w:val="1"/>
                <w:bCs w:val="1"/>
                <w:color w:val="auto"/>
                <w:w w:val="93"/>
              </w:rPr>
              <w:t>Three Months Ended March 31, 2019</w:t>
            </w:r>
          </w:p>
        </w:tc>
        <w:tc>
          <w:tcPr>
            <w:tcW w:w="150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2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60" w:type="dxa"/>
            <w:vAlign w:val="bottom"/>
          </w:tcPr>
          <w:p>
            <w:pPr>
              <w:spacing w:after="0"/>
              <w:rPr>
                <w:sz w:val="18"/>
                <w:szCs w:val="18"/>
                <w:color w:val="auto"/>
              </w:rPr>
            </w:pPr>
          </w:p>
        </w:tc>
        <w:tc>
          <w:tcPr>
            <w:tcW w:w="1500" w:type="dxa"/>
            <w:vAlign w:val="bottom"/>
          </w:tcPr>
          <w:p>
            <w:pPr>
              <w:jc w:val="right"/>
              <w:ind w:right="391"/>
              <w:spacing w:after="0"/>
              <w:rPr>
                <w:sz w:val="20"/>
                <w:szCs w:val="20"/>
                <w:color w:val="auto"/>
              </w:rPr>
            </w:pPr>
            <w:r>
              <w:rPr>
                <w:rFonts w:ascii="Arial" w:cs="Arial" w:eastAsia="Arial" w:hAnsi="Arial"/>
                <w:sz w:val="16"/>
                <w:szCs w:val="16"/>
                <w:b w:val="1"/>
                <w:bCs w:val="1"/>
                <w:color w:val="auto"/>
                <w:w w:val="99"/>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310.3</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r>
      <w:tr>
        <w:trPr>
          <w:trHeight w:val="230"/>
        </w:trPr>
        <w:tc>
          <w:tcPr>
            <w:tcW w:w="5460" w:type="dxa"/>
            <w:vAlign w:val="bottom"/>
          </w:tcPr>
          <w:p>
            <w:pPr>
              <w:ind w:left="86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360.0</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321"/>
        </w:trPr>
        <w:tc>
          <w:tcPr>
            <w:tcW w:w="5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6"/>
          </w:tcPr>
          <w:p>
            <w:pPr>
              <w:jc w:val="center"/>
              <w:ind w:left="1312"/>
              <w:spacing w:after="0"/>
              <w:rPr>
                <w:sz w:val="20"/>
                <w:szCs w:val="20"/>
                <w:color w:val="auto"/>
              </w:rPr>
            </w:pPr>
            <w:r>
              <w:rPr>
                <w:rFonts w:ascii="Arial" w:cs="Arial" w:eastAsia="Arial" w:hAnsi="Arial"/>
                <w:sz w:val="16"/>
                <w:szCs w:val="16"/>
                <w:b w:val="1"/>
                <w:bCs w:val="1"/>
                <w:color w:val="auto"/>
                <w:w w:val="92"/>
              </w:rPr>
              <w:t>Three Months Ended June 30, 2019</w:t>
            </w:r>
          </w:p>
        </w:tc>
        <w:tc>
          <w:tcPr>
            <w:tcW w:w="1500" w:type="dxa"/>
            <w:vAlign w:val="bottom"/>
            <w:tcBorders>
              <w:bottom w:val="single" w:sz="8" w:color="auto"/>
            </w:tcBorders>
          </w:tcPr>
          <w:p>
            <w:pPr>
              <w:spacing w:after="0"/>
              <w:rPr>
                <w:sz w:val="24"/>
                <w:szCs w:val="24"/>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2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60" w:type="dxa"/>
            <w:vAlign w:val="bottom"/>
          </w:tcPr>
          <w:p>
            <w:pPr>
              <w:spacing w:after="0"/>
              <w:rPr>
                <w:sz w:val="18"/>
                <w:szCs w:val="18"/>
                <w:color w:val="auto"/>
              </w:rPr>
            </w:pPr>
          </w:p>
        </w:tc>
        <w:tc>
          <w:tcPr>
            <w:tcW w:w="1500" w:type="dxa"/>
            <w:vAlign w:val="bottom"/>
          </w:tcPr>
          <w:p>
            <w:pPr>
              <w:jc w:val="right"/>
              <w:ind w:right="391"/>
              <w:spacing w:after="0"/>
              <w:rPr>
                <w:sz w:val="20"/>
                <w:szCs w:val="20"/>
                <w:color w:val="auto"/>
              </w:rPr>
            </w:pPr>
            <w:r>
              <w:rPr>
                <w:rFonts w:ascii="Arial" w:cs="Arial" w:eastAsia="Arial" w:hAnsi="Arial"/>
                <w:sz w:val="16"/>
                <w:szCs w:val="16"/>
                <w:b w:val="1"/>
                <w:bCs w:val="1"/>
                <w:color w:val="auto"/>
                <w:w w:val="99"/>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333.9</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r>
      <w:tr>
        <w:trPr>
          <w:trHeight w:val="229"/>
        </w:trPr>
        <w:tc>
          <w:tcPr>
            <w:tcW w:w="5460" w:type="dxa"/>
            <w:vAlign w:val="bottom"/>
          </w:tcPr>
          <w:p>
            <w:pPr>
              <w:ind w:left="86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395.5</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335"/>
        </w:trPr>
        <w:tc>
          <w:tcPr>
            <w:tcW w:w="5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6"/>
                <w:szCs w:val="16"/>
                <w:b w:val="1"/>
                <w:bCs w:val="1"/>
                <w:color w:val="auto"/>
              </w:rPr>
              <w:t>Six Months Ended June 30, 2019</w:t>
            </w:r>
          </w:p>
        </w:tc>
        <w:tc>
          <w:tcPr>
            <w:tcW w:w="1500" w:type="dxa"/>
            <w:vAlign w:val="bottom"/>
            <w:tcBorders>
              <w:bottom w:val="single" w:sz="8" w:color="auto"/>
            </w:tcBorders>
          </w:tcPr>
          <w:p>
            <w:pPr>
              <w:spacing w:after="0"/>
              <w:rPr>
                <w:sz w:val="24"/>
                <w:szCs w:val="24"/>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2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60" w:type="dxa"/>
            <w:vAlign w:val="bottom"/>
          </w:tcPr>
          <w:p>
            <w:pPr>
              <w:spacing w:after="0"/>
              <w:rPr>
                <w:sz w:val="18"/>
                <w:szCs w:val="18"/>
                <w:color w:val="auto"/>
              </w:rPr>
            </w:pPr>
          </w:p>
        </w:tc>
        <w:tc>
          <w:tcPr>
            <w:tcW w:w="1500" w:type="dxa"/>
            <w:vAlign w:val="bottom"/>
          </w:tcPr>
          <w:p>
            <w:pPr>
              <w:jc w:val="right"/>
              <w:ind w:right="391"/>
              <w:spacing w:after="0"/>
              <w:rPr>
                <w:sz w:val="20"/>
                <w:szCs w:val="20"/>
                <w:color w:val="auto"/>
              </w:rPr>
            </w:pPr>
            <w:r>
              <w:rPr>
                <w:rFonts w:ascii="Arial" w:cs="Arial" w:eastAsia="Arial" w:hAnsi="Arial"/>
                <w:sz w:val="16"/>
                <w:szCs w:val="16"/>
                <w:b w:val="1"/>
                <w:bCs w:val="1"/>
                <w:color w:val="auto"/>
                <w:w w:val="99"/>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644.2</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r>
      <w:tr>
        <w:trPr>
          <w:trHeight w:val="229"/>
        </w:trPr>
        <w:tc>
          <w:tcPr>
            <w:tcW w:w="5460" w:type="dxa"/>
            <w:vAlign w:val="bottom"/>
          </w:tcPr>
          <w:p>
            <w:pPr>
              <w:ind w:left="86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755.5</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133.3</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0.78</w:t>
            </w: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864"/>
        </w:trPr>
        <w:tc>
          <w:tcPr>
            <w:tcW w:w="5460" w:type="dxa"/>
            <w:vAlign w:val="bottom"/>
          </w:tcPr>
          <w:p>
            <w:pPr>
              <w:spacing w:after="0"/>
              <w:rPr>
                <w:sz w:val="24"/>
                <w:szCs w:val="24"/>
                <w:color w:val="auto"/>
              </w:rPr>
            </w:pPr>
          </w:p>
        </w:tc>
        <w:tc>
          <w:tcPr>
            <w:tcW w:w="1860" w:type="dxa"/>
            <w:vAlign w:val="bottom"/>
            <w:gridSpan w:val="2"/>
          </w:tcPr>
          <w:p>
            <w:pPr>
              <w:jc w:val="right"/>
              <w:ind w:right="151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6"/>
                <w:szCs w:val="16"/>
                <w:b w:val="1"/>
                <w:bCs w:val="1"/>
                <w:color w:val="auto"/>
                <w:w w:val="92"/>
              </w:rPr>
              <w:t>Year Ended December 31, 2019</w:t>
            </w:r>
          </w:p>
        </w:tc>
        <w:tc>
          <w:tcPr>
            <w:tcW w:w="150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w w:val="89"/>
              </w:rPr>
              <w:t>As Previously Reported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60" w:type="dxa"/>
            <w:vAlign w:val="bottom"/>
          </w:tcPr>
          <w:p>
            <w:pPr>
              <w:spacing w:after="0"/>
              <w:rPr>
                <w:sz w:val="18"/>
                <w:szCs w:val="18"/>
                <w:color w:val="auto"/>
              </w:rPr>
            </w:pPr>
          </w:p>
        </w:tc>
        <w:tc>
          <w:tcPr>
            <w:tcW w:w="1500" w:type="dxa"/>
            <w:vAlign w:val="bottom"/>
          </w:tcPr>
          <w:p>
            <w:pPr>
              <w:jc w:val="right"/>
              <w:ind w:right="391"/>
              <w:spacing w:after="0"/>
              <w:rPr>
                <w:sz w:val="20"/>
                <w:szCs w:val="20"/>
                <w:color w:val="auto"/>
              </w:rPr>
            </w:pPr>
            <w:r>
              <w:rPr>
                <w:rFonts w:ascii="Arial" w:cs="Arial" w:eastAsia="Arial" w:hAnsi="Arial"/>
                <w:sz w:val="16"/>
                <w:szCs w:val="16"/>
                <w:b w:val="1"/>
                <w:bCs w:val="1"/>
                <w:color w:val="auto"/>
                <w:w w:val="99"/>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1,367.7</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1,374.5</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2,163.0</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r>
      <w:tr>
        <w:trPr>
          <w:trHeight w:val="230"/>
        </w:trPr>
        <w:tc>
          <w:tcPr>
            <w:tcW w:w="5460" w:type="dxa"/>
            <w:vAlign w:val="bottom"/>
          </w:tcPr>
          <w:p>
            <w:pPr>
              <w:ind w:left="86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1,650.3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1,657.1</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386.0</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326.5</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331.7</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1.91</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672"/>
        </w:trPr>
        <w:tc>
          <w:tcPr>
            <w:tcW w:w="5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7"/>
          </w:tcPr>
          <w:p>
            <w:pPr>
              <w:jc w:val="center"/>
              <w:ind w:left="1311"/>
              <w:spacing w:after="0"/>
              <w:rPr>
                <w:sz w:val="20"/>
                <w:szCs w:val="20"/>
                <w:color w:val="auto"/>
              </w:rPr>
            </w:pPr>
            <w:r>
              <w:rPr>
                <w:rFonts w:ascii="Arial" w:cs="Arial" w:eastAsia="Arial" w:hAnsi="Arial"/>
                <w:sz w:val="16"/>
                <w:szCs w:val="16"/>
                <w:b w:val="1"/>
                <w:bCs w:val="1"/>
                <w:color w:val="auto"/>
                <w:w w:val="93"/>
              </w:rPr>
              <w:t>Three Months Ended March 31, 2020</w:t>
            </w:r>
          </w:p>
        </w:tc>
        <w:tc>
          <w:tcPr>
            <w:tcW w:w="1500" w:type="dxa"/>
            <w:vAlign w:val="bottom"/>
            <w:tcBorders>
              <w:bottom w:val="single" w:sz="8" w:color="auto"/>
            </w:tcBorders>
          </w:tcPr>
          <w:p>
            <w:pPr>
              <w:spacing w:after="0"/>
              <w:rPr>
                <w:sz w:val="24"/>
                <w:szCs w:val="24"/>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w w:val="89"/>
              </w:rPr>
              <w:t>As Previously Reported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60" w:type="dxa"/>
            <w:vAlign w:val="bottom"/>
          </w:tcPr>
          <w:p>
            <w:pPr>
              <w:spacing w:after="0"/>
              <w:rPr>
                <w:sz w:val="18"/>
                <w:szCs w:val="18"/>
                <w:color w:val="auto"/>
              </w:rPr>
            </w:pPr>
          </w:p>
        </w:tc>
        <w:tc>
          <w:tcPr>
            <w:tcW w:w="1500" w:type="dxa"/>
            <w:vAlign w:val="bottom"/>
          </w:tcPr>
          <w:p>
            <w:pPr>
              <w:jc w:val="right"/>
              <w:ind w:right="391"/>
              <w:spacing w:after="0"/>
              <w:rPr>
                <w:sz w:val="20"/>
                <w:szCs w:val="20"/>
                <w:color w:val="auto"/>
              </w:rPr>
            </w:pPr>
            <w:r>
              <w:rPr>
                <w:rFonts w:ascii="Arial" w:cs="Arial" w:eastAsia="Arial" w:hAnsi="Arial"/>
                <w:sz w:val="16"/>
                <w:szCs w:val="16"/>
                <w:b w:val="1"/>
                <w:bCs w:val="1"/>
                <w:color w:val="auto"/>
                <w:w w:val="99"/>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384.6</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385.4</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r>
      <w:tr>
        <w:trPr>
          <w:trHeight w:val="230"/>
        </w:trPr>
        <w:tc>
          <w:tcPr>
            <w:tcW w:w="5460" w:type="dxa"/>
            <w:vAlign w:val="bottom"/>
          </w:tcPr>
          <w:p>
            <w:pPr>
              <w:ind w:left="86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449.0</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104.0</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0.61</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851"/>
        </w:trPr>
        <w:tc>
          <w:tcPr>
            <w:tcW w:w="5460" w:type="dxa"/>
            <w:vAlign w:val="bottom"/>
          </w:tcPr>
          <w:p>
            <w:pPr>
              <w:spacing w:after="0"/>
              <w:rPr>
                <w:sz w:val="24"/>
                <w:szCs w:val="24"/>
                <w:color w:val="auto"/>
              </w:rPr>
            </w:pPr>
          </w:p>
        </w:tc>
        <w:tc>
          <w:tcPr>
            <w:tcW w:w="1800" w:type="dxa"/>
            <w:vAlign w:val="bottom"/>
            <w:gridSpan w:val="2"/>
          </w:tcPr>
          <w:p>
            <w:pPr>
              <w:jc w:val="right"/>
              <w:ind w:right="1451"/>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8"/>
          </w:tcPr>
          <w:p>
            <w:pPr>
              <w:jc w:val="center"/>
              <w:ind w:left="691"/>
              <w:spacing w:after="0"/>
              <w:rPr>
                <w:sz w:val="20"/>
                <w:szCs w:val="20"/>
                <w:color w:val="auto"/>
              </w:rPr>
            </w:pPr>
            <w:r>
              <w:rPr>
                <w:rFonts w:ascii="Arial" w:cs="Arial" w:eastAsia="Arial" w:hAnsi="Arial"/>
                <w:sz w:val="16"/>
                <w:szCs w:val="16"/>
                <w:b w:val="1"/>
                <w:bCs w:val="1"/>
                <w:color w:val="auto"/>
                <w:w w:val="92"/>
              </w:rPr>
              <w:t>Three Months Ended June 30, 2020</w:t>
            </w:r>
          </w:p>
        </w:tc>
        <w:tc>
          <w:tcPr>
            <w:tcW w:w="152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w w:val="93"/>
              </w:rPr>
              <w:t>As Previously Reported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40" w:type="dxa"/>
            <w:vAlign w:val="bottom"/>
          </w:tcPr>
          <w:p>
            <w:pPr>
              <w:spacing w:after="0"/>
              <w:rPr>
                <w:sz w:val="18"/>
                <w:szCs w:val="18"/>
                <w:color w:val="auto"/>
              </w:rPr>
            </w:pPr>
          </w:p>
        </w:tc>
        <w:tc>
          <w:tcPr>
            <w:tcW w:w="1520" w:type="dxa"/>
            <w:vAlign w:val="bottom"/>
          </w:tcPr>
          <w:p>
            <w:pPr>
              <w:jc w:val="right"/>
              <w:ind w:right="39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Service</w:t>
            </w:r>
          </w:p>
        </w:tc>
        <w:tc>
          <w:tcPr>
            <w:tcW w:w="740" w:type="dxa"/>
            <w:vAlign w:val="bottom"/>
            <w:gridSpan w:val="2"/>
          </w:tcPr>
          <w:p>
            <w:pPr>
              <w:jc w:val="right"/>
              <w:ind w:right="53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403.6</w:t>
            </w:r>
          </w:p>
        </w:tc>
        <w:tc>
          <w:tcPr>
            <w:tcW w:w="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405.7</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r>
      <w:tr>
        <w:trPr>
          <w:trHeight w:val="229"/>
        </w:trPr>
        <w:tc>
          <w:tcPr>
            <w:tcW w:w="5460" w:type="dxa"/>
            <w:vAlign w:val="bottom"/>
          </w:tcPr>
          <w:p>
            <w:pPr>
              <w:ind w:left="860"/>
              <w:spacing w:after="0"/>
              <w:rPr>
                <w:sz w:val="20"/>
                <w:szCs w:val="20"/>
                <w:color w:val="auto"/>
              </w:rPr>
            </w:pPr>
            <w:r>
              <w:rPr>
                <w:rFonts w:ascii="Arial" w:cs="Arial" w:eastAsia="Arial" w:hAnsi="Arial"/>
                <w:sz w:val="18"/>
                <w:szCs w:val="18"/>
                <w:color w:val="auto"/>
              </w:rPr>
              <w:t>Total gross profit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482.5</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53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112.1</w:t>
            </w:r>
          </w:p>
        </w:tc>
        <w:tc>
          <w:tcPr>
            <w:tcW w:w="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113.8</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ind w:right="53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0.69</w:t>
            </w:r>
          </w:p>
        </w:tc>
        <w:tc>
          <w:tcPr>
            <w:tcW w:w="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321"/>
        </w:trPr>
        <w:tc>
          <w:tcPr>
            <w:tcW w:w="5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right"/>
              <w:ind w:right="150"/>
              <w:spacing w:after="0"/>
              <w:rPr>
                <w:sz w:val="20"/>
                <w:szCs w:val="20"/>
                <w:color w:val="auto"/>
              </w:rPr>
            </w:pPr>
            <w:r>
              <w:rPr>
                <w:rFonts w:ascii="Arial" w:cs="Arial" w:eastAsia="Arial" w:hAnsi="Arial"/>
                <w:sz w:val="16"/>
                <w:szCs w:val="16"/>
                <w:b w:val="1"/>
                <w:bCs w:val="1"/>
                <w:color w:val="auto"/>
              </w:rPr>
              <w:t>Six Months Ended June 30, 2020</w:t>
            </w:r>
          </w:p>
        </w:tc>
        <w:tc>
          <w:tcPr>
            <w:tcW w:w="1520" w:type="dxa"/>
            <w:vAlign w:val="bottom"/>
            <w:tcBorders>
              <w:bottom w:val="single" w:sz="8" w:color="auto"/>
            </w:tcBorders>
          </w:tcPr>
          <w:p>
            <w:pPr>
              <w:spacing w:after="0"/>
              <w:rPr>
                <w:sz w:val="24"/>
                <w:szCs w:val="24"/>
                <w:color w:val="auto"/>
              </w:rPr>
            </w:pPr>
          </w:p>
        </w:tc>
      </w:tr>
      <w:tr>
        <w:trPr>
          <w:trHeight w:val="210"/>
        </w:trPr>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w w:val="93"/>
              </w:rPr>
              <w:t>As Previously Reported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40" w:type="dxa"/>
            <w:vAlign w:val="bottom"/>
          </w:tcPr>
          <w:p>
            <w:pPr>
              <w:spacing w:after="0"/>
              <w:rPr>
                <w:sz w:val="18"/>
                <w:szCs w:val="18"/>
                <w:color w:val="auto"/>
              </w:rPr>
            </w:pPr>
          </w:p>
        </w:tc>
        <w:tc>
          <w:tcPr>
            <w:tcW w:w="1520" w:type="dxa"/>
            <w:vAlign w:val="bottom"/>
          </w:tcPr>
          <w:p>
            <w:pPr>
              <w:jc w:val="right"/>
              <w:ind w:right="39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Service</w:t>
            </w:r>
          </w:p>
        </w:tc>
        <w:tc>
          <w:tcPr>
            <w:tcW w:w="740" w:type="dxa"/>
            <w:vAlign w:val="bottom"/>
            <w:gridSpan w:val="2"/>
          </w:tcPr>
          <w:p>
            <w:pPr>
              <w:jc w:val="right"/>
              <w:ind w:right="53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788.2</w:t>
            </w:r>
          </w:p>
        </w:tc>
        <w:tc>
          <w:tcPr>
            <w:tcW w:w="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791.1</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1,195.3</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r>
      <w:tr>
        <w:trPr>
          <w:trHeight w:val="229"/>
        </w:trPr>
        <w:tc>
          <w:tcPr>
            <w:tcW w:w="5460" w:type="dxa"/>
            <w:vAlign w:val="bottom"/>
          </w:tcPr>
          <w:p>
            <w:pPr>
              <w:ind w:left="860"/>
              <w:spacing w:after="0"/>
              <w:rPr>
                <w:sz w:val="20"/>
                <w:szCs w:val="20"/>
                <w:color w:val="auto"/>
              </w:rPr>
            </w:pPr>
            <w:r>
              <w:rPr>
                <w:rFonts w:ascii="Arial" w:cs="Arial" w:eastAsia="Arial" w:hAnsi="Arial"/>
                <w:sz w:val="18"/>
                <w:szCs w:val="18"/>
                <w:color w:val="auto"/>
              </w:rPr>
              <w:t>Total gross profit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928.6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931.5</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53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216.1</w:t>
            </w:r>
          </w:p>
        </w:tc>
        <w:tc>
          <w:tcPr>
            <w:tcW w:w="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ind w:right="53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554"/>
        </w:trPr>
        <w:tc>
          <w:tcPr>
            <w:tcW w:w="546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Consolidated Statements of Cash Flows:</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34"/>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center"/>
              <w:ind w:right="170"/>
              <w:spacing w:after="0"/>
              <w:rPr>
                <w:sz w:val="20"/>
                <w:szCs w:val="20"/>
                <w:color w:val="auto"/>
              </w:rPr>
            </w:pPr>
            <w:r>
              <w:rPr>
                <w:rFonts w:ascii="Arial" w:cs="Arial" w:eastAsia="Arial" w:hAnsi="Arial"/>
                <w:sz w:val="16"/>
                <w:szCs w:val="16"/>
                <w:b w:val="1"/>
                <w:bCs w:val="1"/>
                <w:color w:val="auto"/>
                <w:w w:val="91"/>
              </w:rPr>
              <w:t>Year Ended December 31, 2017</w:t>
            </w:r>
          </w:p>
        </w:tc>
        <w:tc>
          <w:tcPr>
            <w:tcW w:w="1520" w:type="dxa"/>
            <w:vAlign w:val="bottom"/>
            <w:tcBorders>
              <w:bottom w:val="single" w:sz="8" w:color="auto"/>
            </w:tcBorders>
          </w:tcPr>
          <w:p>
            <w:pPr>
              <w:spacing w:after="0"/>
              <w:rPr>
                <w:sz w:val="24"/>
                <w:szCs w:val="24"/>
                <w:color w:val="auto"/>
              </w:rPr>
            </w:pPr>
          </w:p>
        </w:tc>
      </w:tr>
      <w:tr>
        <w:trPr>
          <w:trHeight w:val="210"/>
        </w:trPr>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2"/>
          </w:tcPr>
          <w:p>
            <w:pPr>
              <w:ind w:left="100"/>
              <w:spacing w:after="0"/>
              <w:rPr>
                <w:sz w:val="20"/>
                <w:szCs w:val="20"/>
                <w:color w:val="auto"/>
              </w:rPr>
            </w:pPr>
            <w:r>
              <w:rPr>
                <w:rFonts w:ascii="Arial" w:cs="Arial" w:eastAsia="Arial" w:hAnsi="Arial"/>
                <w:sz w:val="16"/>
                <w:szCs w:val="16"/>
                <w:b w:val="1"/>
                <w:bCs w:val="1"/>
                <w:color w:val="auto"/>
                <w:w w:val="91"/>
              </w:rPr>
              <w:t>As Previously Reported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40" w:type="dxa"/>
            <w:vAlign w:val="bottom"/>
          </w:tcPr>
          <w:p>
            <w:pPr>
              <w:spacing w:after="0"/>
              <w:rPr>
                <w:sz w:val="18"/>
                <w:szCs w:val="18"/>
                <w:color w:val="auto"/>
              </w:rPr>
            </w:pPr>
          </w:p>
        </w:tc>
        <w:tc>
          <w:tcPr>
            <w:tcW w:w="1520" w:type="dxa"/>
            <w:vAlign w:val="bottom"/>
          </w:tcPr>
          <w:p>
            <w:pPr>
              <w:jc w:val="right"/>
              <w:ind w:right="39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53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31.4</w:t>
            </w:r>
          </w:p>
        </w:tc>
        <w:tc>
          <w:tcPr>
            <w:tcW w:w="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5460" w:type="dxa"/>
            <w:vAlign w:val="bottom"/>
          </w:tcPr>
          <w:p>
            <w:pPr>
              <w:ind w:left="1420"/>
              <w:spacing w:after="0"/>
              <w:rPr>
                <w:sz w:val="20"/>
                <w:szCs w:val="20"/>
                <w:color w:val="auto"/>
              </w:rPr>
            </w:pPr>
            <w:r>
              <w:rPr>
                <w:rFonts w:ascii="Arial" w:cs="Arial" w:eastAsia="Arial" w:hAnsi="Arial"/>
                <w:sz w:val="18"/>
                <w:szCs w:val="18"/>
                <w:color w:val="auto"/>
              </w:rPr>
              <w:t>Deferred tax assets</w:t>
            </w:r>
          </w:p>
        </w:tc>
        <w:tc>
          <w:tcPr>
            <w:tcW w:w="740" w:type="dxa"/>
            <w:vAlign w:val="bottom"/>
            <w:gridSpan w:val="2"/>
          </w:tcPr>
          <w:p>
            <w:pPr>
              <w:jc w:val="right"/>
              <w:ind w:right="53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35.8</w:t>
            </w:r>
          </w:p>
        </w:tc>
        <w:tc>
          <w:tcPr>
            <w:tcW w:w="4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54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Deferred revenue</w:t>
            </w:r>
          </w:p>
        </w:tc>
        <w:tc>
          <w:tcPr>
            <w:tcW w:w="74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4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r>
      <w:tr>
        <w:trPr>
          <w:trHeight w:val="851"/>
        </w:trPr>
        <w:tc>
          <w:tcPr>
            <w:tcW w:w="5460" w:type="dxa"/>
            <w:vAlign w:val="bottom"/>
          </w:tcPr>
          <w:p>
            <w:pPr>
              <w:spacing w:after="0"/>
              <w:rPr>
                <w:sz w:val="24"/>
                <w:szCs w:val="24"/>
                <w:color w:val="auto"/>
              </w:rPr>
            </w:pPr>
          </w:p>
        </w:tc>
        <w:tc>
          <w:tcPr>
            <w:tcW w:w="740" w:type="dxa"/>
            <w:vAlign w:val="bottom"/>
            <w:gridSpan w:val="2"/>
          </w:tcPr>
          <w:p>
            <w:pPr>
              <w:jc w:val="right"/>
              <w:ind w:right="399"/>
              <w:spacing w:after="0"/>
              <w:rPr>
                <w:sz w:val="20"/>
                <w:szCs w:val="20"/>
                <w:color w:val="auto"/>
              </w:rPr>
            </w:pPr>
            <w:r>
              <w:rPr>
                <w:rFonts w:ascii="Arial" w:cs="Arial" w:eastAsia="Arial" w:hAnsi="Arial"/>
                <w:sz w:val="18"/>
                <w:szCs w:val="18"/>
                <w:color w:val="auto"/>
              </w:rPr>
              <w:t>80</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6"/>
          </w:tcPr>
          <w:p>
            <w:pPr>
              <w:jc w:val="center"/>
              <w:ind w:left="1314"/>
              <w:spacing w:after="0"/>
              <w:rPr>
                <w:sz w:val="20"/>
                <w:szCs w:val="20"/>
                <w:color w:val="auto"/>
              </w:rPr>
            </w:pPr>
            <w:r>
              <w:rPr>
                <w:rFonts w:ascii="Arial" w:cs="Arial" w:eastAsia="Arial" w:hAnsi="Arial"/>
                <w:sz w:val="16"/>
                <w:szCs w:val="16"/>
                <w:b w:val="1"/>
                <w:bCs w:val="1"/>
                <w:color w:val="auto"/>
                <w:w w:val="91"/>
              </w:rPr>
              <w:t>Year Ended December 31, 2018</w:t>
            </w:r>
          </w:p>
        </w:tc>
        <w:tc>
          <w:tcPr>
            <w:tcW w:w="1500" w:type="dxa"/>
            <w:vAlign w:val="bottom"/>
            <w:tcBorders>
              <w:bottom w:val="single" w:sz="8" w:color="auto"/>
            </w:tcBorders>
          </w:tcPr>
          <w:p>
            <w:pPr>
              <w:spacing w:after="0"/>
              <w:rPr>
                <w:sz w:val="18"/>
                <w:szCs w:val="18"/>
                <w:color w:val="auto"/>
              </w:rPr>
            </w:pPr>
          </w:p>
        </w:tc>
      </w:tr>
      <w:tr>
        <w:trPr>
          <w:trHeight w:val="210"/>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60" w:type="dxa"/>
            <w:vAlign w:val="bottom"/>
          </w:tcPr>
          <w:p>
            <w:pPr>
              <w:spacing w:after="0"/>
              <w:rPr>
                <w:sz w:val="18"/>
                <w:szCs w:val="18"/>
                <w:color w:val="auto"/>
              </w:rPr>
            </w:pPr>
          </w:p>
        </w:tc>
        <w:tc>
          <w:tcPr>
            <w:tcW w:w="1500" w:type="dxa"/>
            <w:vAlign w:val="bottom"/>
          </w:tcPr>
          <w:p>
            <w:pPr>
              <w:jc w:val="right"/>
              <w:ind w:right="392"/>
              <w:spacing w:after="0"/>
              <w:rPr>
                <w:sz w:val="20"/>
                <w:szCs w:val="20"/>
                <w:color w:val="auto"/>
              </w:rPr>
            </w:pPr>
            <w:r>
              <w:rPr>
                <w:rFonts w:ascii="Arial" w:cs="Arial" w:eastAsia="Arial" w:hAnsi="Arial"/>
                <w:sz w:val="16"/>
                <w:szCs w:val="16"/>
                <w:b w:val="1"/>
                <w:bCs w:val="1"/>
                <w:color w:val="auto"/>
                <w:w w:val="99"/>
              </w:rPr>
              <w:t>As Corrected</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48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1092"/>
              <w:spacing w:after="0"/>
              <w:rPr>
                <w:sz w:val="20"/>
                <w:szCs w:val="20"/>
                <w:color w:val="auto"/>
              </w:rPr>
            </w:pPr>
            <w:r>
              <w:rPr>
                <w:rFonts w:ascii="Arial" w:cs="Arial" w:eastAsia="Arial" w:hAnsi="Arial"/>
                <w:sz w:val="18"/>
                <w:szCs w:val="18"/>
                <w:color w:val="auto"/>
                <w:w w:val="95"/>
              </w:rPr>
              <w:t>2.7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334.9</w:t>
            </w:r>
          </w:p>
        </w:tc>
      </w:tr>
      <w:tr>
        <w:trPr>
          <w:trHeight w:val="230"/>
        </w:trPr>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480" w:type="dxa"/>
            <w:vAlign w:val="bottom"/>
          </w:tcPr>
          <w:p>
            <w:pPr>
              <w:ind w:left="1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1092"/>
              <w:spacing w:after="0"/>
              <w:rPr>
                <w:sz w:val="20"/>
                <w:szCs w:val="20"/>
                <w:color w:val="auto"/>
              </w:rPr>
            </w:pPr>
            <w:r>
              <w:rPr>
                <w:rFonts w:ascii="Arial" w:cs="Arial" w:eastAsia="Arial" w:hAnsi="Arial"/>
                <w:sz w:val="18"/>
                <w:szCs w:val="18"/>
                <w:color w:val="auto"/>
                <w:w w:val="95"/>
              </w:rPr>
              <w:t>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30"/>
        </w:trPr>
        <w:tc>
          <w:tcPr>
            <w:tcW w:w="54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center"/>
              <w:ind w:left="1072"/>
              <w:spacing w:after="0"/>
              <w:rPr>
                <w:sz w:val="20"/>
                <w:szCs w:val="20"/>
                <w:color w:val="auto"/>
              </w:rPr>
            </w:pPr>
            <w:r>
              <w:rPr>
                <w:rFonts w:ascii="Arial" w:cs="Arial" w:eastAsia="Arial" w:hAnsi="Arial"/>
                <w:sz w:val="18"/>
                <w:szCs w:val="18"/>
                <w:color w:val="auto"/>
                <w:w w:val="91"/>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r>
      <w:tr>
        <w:trPr>
          <w:trHeight w:val="321"/>
        </w:trPr>
        <w:tc>
          <w:tcPr>
            <w:tcW w:w="5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6"/>
          </w:tcPr>
          <w:p>
            <w:pPr>
              <w:jc w:val="center"/>
              <w:ind w:left="1314"/>
              <w:spacing w:after="0"/>
              <w:rPr>
                <w:sz w:val="20"/>
                <w:szCs w:val="20"/>
                <w:color w:val="auto"/>
              </w:rPr>
            </w:pPr>
            <w:r>
              <w:rPr>
                <w:rFonts w:ascii="Arial" w:cs="Arial" w:eastAsia="Arial" w:hAnsi="Arial"/>
                <w:sz w:val="16"/>
                <w:szCs w:val="16"/>
                <w:b w:val="1"/>
                <w:bCs w:val="1"/>
                <w:color w:val="auto"/>
                <w:w w:val="91"/>
              </w:rPr>
              <w:t>Year Ended December 31, 2019</w:t>
            </w:r>
          </w:p>
        </w:tc>
        <w:tc>
          <w:tcPr>
            <w:tcW w:w="1500" w:type="dxa"/>
            <w:vAlign w:val="bottom"/>
            <w:tcBorders>
              <w:bottom w:val="single" w:sz="8" w:color="auto"/>
            </w:tcBorders>
          </w:tcPr>
          <w:p>
            <w:pPr>
              <w:spacing w:after="0"/>
              <w:rPr>
                <w:sz w:val="24"/>
                <w:szCs w:val="24"/>
                <w:color w:val="auto"/>
              </w:rPr>
            </w:pPr>
          </w:p>
        </w:tc>
      </w:tr>
      <w:tr>
        <w:trPr>
          <w:trHeight w:val="210"/>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60" w:type="dxa"/>
            <w:vAlign w:val="bottom"/>
          </w:tcPr>
          <w:p>
            <w:pPr>
              <w:spacing w:after="0"/>
              <w:rPr>
                <w:sz w:val="18"/>
                <w:szCs w:val="18"/>
                <w:color w:val="auto"/>
              </w:rPr>
            </w:pPr>
          </w:p>
        </w:tc>
        <w:tc>
          <w:tcPr>
            <w:tcW w:w="1500" w:type="dxa"/>
            <w:vAlign w:val="bottom"/>
          </w:tcPr>
          <w:p>
            <w:pPr>
              <w:jc w:val="right"/>
              <w:ind w:right="392"/>
              <w:spacing w:after="0"/>
              <w:rPr>
                <w:sz w:val="20"/>
                <w:szCs w:val="20"/>
                <w:color w:val="auto"/>
              </w:rPr>
            </w:pPr>
            <w:r>
              <w:rPr>
                <w:rFonts w:ascii="Arial" w:cs="Arial" w:eastAsia="Arial" w:hAnsi="Arial"/>
                <w:sz w:val="16"/>
                <w:szCs w:val="16"/>
                <w:b w:val="1"/>
                <w:bCs w:val="1"/>
                <w:color w:val="auto"/>
                <w:w w:val="99"/>
              </w:rPr>
              <w:t>As Corrected</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48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1092"/>
              <w:spacing w:after="0"/>
              <w:rPr>
                <w:sz w:val="20"/>
                <w:szCs w:val="20"/>
                <w:color w:val="auto"/>
              </w:rPr>
            </w:pPr>
            <w:r>
              <w:rPr>
                <w:rFonts w:ascii="Arial" w:cs="Arial" w:eastAsia="Arial" w:hAnsi="Arial"/>
                <w:sz w:val="18"/>
                <w:szCs w:val="18"/>
                <w:color w:val="auto"/>
                <w:w w:val="95"/>
              </w:rPr>
              <w:t>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331.7</w:t>
            </w:r>
          </w:p>
        </w:tc>
      </w:tr>
      <w:tr>
        <w:trPr>
          <w:trHeight w:val="230"/>
        </w:trPr>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480" w:type="dxa"/>
            <w:vAlign w:val="bottom"/>
          </w:tcPr>
          <w:p>
            <w:pPr>
              <w:ind w:left="1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1092"/>
              <w:spacing w:after="0"/>
              <w:rPr>
                <w:sz w:val="20"/>
                <w:szCs w:val="20"/>
                <w:color w:val="auto"/>
              </w:rPr>
            </w:pPr>
            <w:r>
              <w:rPr>
                <w:rFonts w:ascii="Arial" w:cs="Arial" w:eastAsia="Arial" w:hAnsi="Arial"/>
                <w:sz w:val="18"/>
                <w:szCs w:val="18"/>
                <w:color w:val="auto"/>
                <w:w w:val="95"/>
              </w:rPr>
              <w:t>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54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center"/>
              <w:ind w:left="1072"/>
              <w:spacing w:after="0"/>
              <w:rPr>
                <w:sz w:val="20"/>
                <w:szCs w:val="20"/>
                <w:color w:val="auto"/>
              </w:rPr>
            </w:pPr>
            <w:r>
              <w:rPr>
                <w:rFonts w:ascii="Arial" w:cs="Arial" w:eastAsia="Arial" w:hAnsi="Arial"/>
                <w:sz w:val="18"/>
                <w:szCs w:val="18"/>
                <w:color w:val="auto"/>
                <w:w w:val="91"/>
              </w:rPr>
              <w:t>(6.8)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r>
      <w:tr>
        <w:trPr>
          <w:trHeight w:val="335"/>
        </w:trPr>
        <w:tc>
          <w:tcPr>
            <w:tcW w:w="5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6"/>
          </w:tcPr>
          <w:p>
            <w:pPr>
              <w:jc w:val="center"/>
              <w:ind w:left="1314"/>
              <w:spacing w:after="0"/>
              <w:rPr>
                <w:sz w:val="20"/>
                <w:szCs w:val="20"/>
                <w:color w:val="auto"/>
              </w:rPr>
            </w:pPr>
            <w:r>
              <w:rPr>
                <w:rFonts w:ascii="Arial" w:cs="Arial" w:eastAsia="Arial" w:hAnsi="Arial"/>
                <w:sz w:val="16"/>
                <w:szCs w:val="16"/>
                <w:b w:val="1"/>
                <w:bCs w:val="1"/>
                <w:color w:val="auto"/>
                <w:w w:val="94"/>
              </w:rPr>
              <w:t>Three Months Ended March 31, 2020</w:t>
            </w:r>
          </w:p>
        </w:tc>
        <w:tc>
          <w:tcPr>
            <w:tcW w:w="1500" w:type="dxa"/>
            <w:vAlign w:val="bottom"/>
            <w:tcBorders>
              <w:bottom w:val="single" w:sz="8" w:color="auto"/>
            </w:tcBorders>
          </w:tcPr>
          <w:p>
            <w:pPr>
              <w:spacing w:after="0"/>
              <w:rPr>
                <w:sz w:val="24"/>
                <w:szCs w:val="24"/>
                <w:color w:val="auto"/>
              </w:rPr>
            </w:pPr>
          </w:p>
        </w:tc>
      </w:tr>
      <w:tr>
        <w:trPr>
          <w:trHeight w:val="210"/>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60" w:type="dxa"/>
            <w:vAlign w:val="bottom"/>
          </w:tcPr>
          <w:p>
            <w:pPr>
              <w:spacing w:after="0"/>
              <w:rPr>
                <w:sz w:val="18"/>
                <w:szCs w:val="18"/>
                <w:color w:val="auto"/>
              </w:rPr>
            </w:pPr>
          </w:p>
        </w:tc>
        <w:tc>
          <w:tcPr>
            <w:tcW w:w="1500" w:type="dxa"/>
            <w:vAlign w:val="bottom"/>
          </w:tcPr>
          <w:p>
            <w:pPr>
              <w:jc w:val="right"/>
              <w:ind w:right="392"/>
              <w:spacing w:after="0"/>
              <w:rPr>
                <w:sz w:val="20"/>
                <w:szCs w:val="20"/>
                <w:color w:val="auto"/>
              </w:rPr>
            </w:pPr>
            <w:r>
              <w:rPr>
                <w:rFonts w:ascii="Arial" w:cs="Arial" w:eastAsia="Arial" w:hAnsi="Arial"/>
                <w:sz w:val="16"/>
                <w:szCs w:val="16"/>
                <w:b w:val="1"/>
                <w:bCs w:val="1"/>
                <w:color w:val="auto"/>
                <w:w w:val="99"/>
              </w:rPr>
              <w:t>As Corrected</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1092"/>
              <w:spacing w:after="0"/>
              <w:rPr>
                <w:sz w:val="20"/>
                <w:szCs w:val="20"/>
                <w:color w:val="auto"/>
              </w:rPr>
            </w:pPr>
            <w:r>
              <w:rPr>
                <w:rFonts w:ascii="Arial" w:cs="Arial" w:eastAsia="Arial" w:hAnsi="Arial"/>
                <w:sz w:val="18"/>
                <w:szCs w:val="18"/>
                <w:color w:val="auto"/>
                <w:w w:val="95"/>
              </w:rPr>
              <w:t>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29"/>
        </w:trPr>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480" w:type="dxa"/>
            <w:vAlign w:val="bottom"/>
          </w:tcPr>
          <w:p>
            <w:pPr>
              <w:ind w:left="1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1092"/>
              <w:spacing w:after="0"/>
              <w:rPr>
                <w:sz w:val="20"/>
                <w:szCs w:val="20"/>
                <w:color w:val="auto"/>
              </w:rPr>
            </w:pPr>
            <w:r>
              <w:rPr>
                <w:rFonts w:ascii="Arial" w:cs="Arial" w:eastAsia="Arial" w:hAnsi="Arial"/>
                <w:sz w:val="18"/>
                <w:szCs w:val="18"/>
                <w:color w:val="auto"/>
                <w:w w:val="95"/>
              </w:rPr>
              <w:t>0.2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54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center"/>
              <w:ind w:left="1072"/>
              <w:spacing w:after="0"/>
              <w:rPr>
                <w:sz w:val="20"/>
                <w:szCs w:val="20"/>
                <w:color w:val="auto"/>
              </w:rPr>
            </w:pPr>
            <w:r>
              <w:rPr>
                <w:rFonts w:ascii="Arial" w:cs="Arial" w:eastAsia="Arial" w:hAnsi="Arial"/>
                <w:sz w:val="18"/>
                <w:szCs w:val="18"/>
                <w:color w:val="auto"/>
                <w:w w:val="91"/>
              </w:rPr>
              <w:t>(0.8)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335"/>
        </w:trPr>
        <w:tc>
          <w:tcPr>
            <w:tcW w:w="5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6"/>
                <w:szCs w:val="16"/>
                <w:b w:val="1"/>
                <w:bCs w:val="1"/>
                <w:color w:val="auto"/>
              </w:rPr>
              <w:t>Six Months Ended June 30, 2020</w:t>
            </w:r>
          </w:p>
        </w:tc>
        <w:tc>
          <w:tcPr>
            <w:tcW w:w="1500" w:type="dxa"/>
            <w:vAlign w:val="bottom"/>
            <w:tcBorders>
              <w:bottom w:val="single" w:sz="8" w:color="auto"/>
            </w:tcBorders>
          </w:tcPr>
          <w:p>
            <w:pPr>
              <w:spacing w:after="0"/>
              <w:rPr>
                <w:sz w:val="24"/>
                <w:szCs w:val="24"/>
                <w:color w:val="auto"/>
              </w:rPr>
            </w:pPr>
          </w:p>
        </w:tc>
      </w:tr>
      <w:tr>
        <w:trPr>
          <w:trHeight w:val="210"/>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0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60" w:type="dxa"/>
            <w:vAlign w:val="bottom"/>
          </w:tcPr>
          <w:p>
            <w:pPr>
              <w:spacing w:after="0"/>
              <w:rPr>
                <w:sz w:val="18"/>
                <w:szCs w:val="18"/>
                <w:color w:val="auto"/>
              </w:rPr>
            </w:pPr>
          </w:p>
        </w:tc>
        <w:tc>
          <w:tcPr>
            <w:tcW w:w="1500" w:type="dxa"/>
            <w:vAlign w:val="bottom"/>
          </w:tcPr>
          <w:p>
            <w:pPr>
              <w:jc w:val="right"/>
              <w:ind w:right="392"/>
              <w:spacing w:after="0"/>
              <w:rPr>
                <w:sz w:val="20"/>
                <w:szCs w:val="20"/>
                <w:color w:val="auto"/>
              </w:rPr>
            </w:pPr>
            <w:r>
              <w:rPr>
                <w:rFonts w:ascii="Arial" w:cs="Arial" w:eastAsia="Arial" w:hAnsi="Arial"/>
                <w:sz w:val="16"/>
                <w:szCs w:val="16"/>
                <w:b w:val="1"/>
                <w:bCs w:val="1"/>
                <w:color w:val="auto"/>
                <w:w w:val="99"/>
              </w:rPr>
              <w:t>As Corrected</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1092"/>
              <w:spacing w:after="0"/>
              <w:rPr>
                <w:sz w:val="20"/>
                <w:szCs w:val="20"/>
                <w:color w:val="auto"/>
              </w:rPr>
            </w:pPr>
            <w:r>
              <w:rPr>
                <w:rFonts w:ascii="Arial" w:cs="Arial" w:eastAsia="Arial" w:hAnsi="Arial"/>
                <w:sz w:val="18"/>
                <w:szCs w:val="18"/>
                <w:color w:val="auto"/>
                <w:w w:val="95"/>
              </w:rPr>
              <w:t>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30"/>
        </w:trPr>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480" w:type="dxa"/>
            <w:vAlign w:val="bottom"/>
          </w:tcPr>
          <w:p>
            <w:pPr>
              <w:ind w:left="1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1092"/>
              <w:spacing w:after="0"/>
              <w:rPr>
                <w:sz w:val="20"/>
                <w:szCs w:val="20"/>
                <w:color w:val="auto"/>
              </w:rPr>
            </w:pPr>
            <w:r>
              <w:rPr>
                <w:rFonts w:ascii="Arial" w:cs="Arial" w:eastAsia="Arial" w:hAnsi="Arial"/>
                <w:sz w:val="18"/>
                <w:szCs w:val="18"/>
                <w:color w:val="auto"/>
                <w:w w:val="95"/>
              </w:rPr>
              <w:t>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54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center"/>
              <w:ind w:left="1072"/>
              <w:spacing w:after="0"/>
              <w:rPr>
                <w:sz w:val="20"/>
                <w:szCs w:val="20"/>
                <w:color w:val="auto"/>
              </w:rPr>
            </w:pPr>
            <w:r>
              <w:rPr>
                <w:rFonts w:ascii="Arial" w:cs="Arial" w:eastAsia="Arial" w:hAnsi="Arial"/>
                <w:sz w:val="18"/>
                <w:szCs w:val="18"/>
                <w:color w:val="auto"/>
                <w:w w:val="91"/>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r>
      <w:tr>
        <w:trPr>
          <w:trHeight w:val="1094"/>
        </w:trPr>
        <w:tc>
          <w:tcPr>
            <w:tcW w:w="5480" w:type="dxa"/>
            <w:vAlign w:val="bottom"/>
          </w:tcPr>
          <w:p>
            <w:pPr>
              <w:spacing w:after="0"/>
              <w:rPr>
                <w:sz w:val="24"/>
                <w:szCs w:val="24"/>
                <w:color w:val="auto"/>
              </w:rPr>
            </w:pPr>
          </w:p>
        </w:tc>
        <w:tc>
          <w:tcPr>
            <w:tcW w:w="1840" w:type="dxa"/>
            <w:vAlign w:val="bottom"/>
            <w:gridSpan w:val="2"/>
          </w:tcPr>
          <w:p>
            <w:pPr>
              <w:jc w:val="right"/>
              <w:ind w:right="1514"/>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Incorporated by reference herein</w:t>
            </w: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7"/>
        </w:trPr>
        <w:tc>
          <w:tcPr>
            <w:tcW w:w="6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Exhibit Number</w:t>
            </w:r>
          </w:p>
        </w:tc>
      </w:tr>
      <w:tr>
        <w:trPr>
          <w:trHeight w:val="170"/>
        </w:trPr>
        <w:tc>
          <w:tcPr>
            <w:tcW w:w="680" w:type="dxa"/>
            <w:vAlign w:val="bottom"/>
          </w:tcPr>
          <w:p>
            <w:pPr>
              <w:spacing w:after="0"/>
              <w:rPr>
                <w:rFonts w:ascii="Arial" w:cs="Arial" w:eastAsia="Arial" w:hAnsi="Arial"/>
                <w:sz w:val="14"/>
                <w:szCs w:val="14"/>
                <w:u w:val="single" w:color="auto"/>
                <w:color w:val="0000FF"/>
              </w:rPr>
            </w:pPr>
            <w:hyperlink r:id="rId113">
              <w:r>
                <w:rPr>
                  <w:rFonts w:ascii="Arial" w:cs="Arial" w:eastAsia="Arial" w:hAnsi="Arial"/>
                  <w:sz w:val="14"/>
                  <w:szCs w:val="14"/>
                  <w:u w:val="single" w:color="auto"/>
                  <w:color w:val="0000FF"/>
                </w:rPr>
                <w:t>3.1</w:t>
              </w:r>
            </w:hyperlink>
          </w:p>
        </w:tc>
        <w:tc>
          <w:tcPr>
            <w:tcW w:w="5560" w:type="dxa"/>
            <w:vAlign w:val="bottom"/>
          </w:tcPr>
          <w:p>
            <w:pPr>
              <w:ind w:left="60"/>
              <w:spacing w:after="0"/>
              <w:rPr>
                <w:sz w:val="20"/>
                <w:szCs w:val="20"/>
                <w:color w:val="auto"/>
              </w:rPr>
            </w:pPr>
            <w:r>
              <w:rPr>
                <w:rFonts w:ascii="Arial" w:cs="Arial" w:eastAsia="Arial" w:hAnsi="Arial"/>
                <w:sz w:val="14"/>
                <w:szCs w:val="14"/>
                <w:color w:val="auto"/>
              </w:rPr>
              <w:t>Amended and Restated Bylaws</w:t>
            </w:r>
          </w:p>
        </w:tc>
        <w:tc>
          <w:tcPr>
            <w:tcW w:w="2160" w:type="dxa"/>
            <w:vAlign w:val="bottom"/>
            <w:gridSpan w:val="2"/>
          </w:tcPr>
          <w:p>
            <w:pPr>
              <w:spacing w:after="0"/>
              <w:rPr>
                <w:sz w:val="20"/>
                <w:szCs w:val="20"/>
                <w:color w:val="auto"/>
              </w:rPr>
            </w:pPr>
            <w:r>
              <w:rPr>
                <w:rFonts w:ascii="Arial" w:cs="Arial" w:eastAsia="Arial" w:hAnsi="Arial"/>
                <w:sz w:val="14"/>
                <w:szCs w:val="14"/>
                <w:color w:val="auto"/>
              </w:rPr>
              <w:t>Current Report on Form 8-K (File</w:t>
            </w:r>
          </w:p>
        </w:tc>
        <w:tc>
          <w:tcPr>
            <w:tcW w:w="1440" w:type="dxa"/>
            <w:vAlign w:val="bottom"/>
            <w:gridSpan w:val="2"/>
          </w:tcPr>
          <w:p>
            <w:pPr>
              <w:spacing w:after="0"/>
              <w:rPr>
                <w:sz w:val="20"/>
                <w:szCs w:val="20"/>
                <w:color w:val="auto"/>
              </w:rPr>
            </w:pPr>
            <w:r>
              <w:rPr>
                <w:rFonts w:ascii="Arial" w:cs="Arial" w:eastAsia="Arial" w:hAnsi="Arial"/>
                <w:sz w:val="14"/>
                <w:szCs w:val="14"/>
                <w:color w:val="auto"/>
              </w:rPr>
              <w:t>July 21, 2020</w:t>
            </w:r>
          </w:p>
        </w:tc>
        <w:tc>
          <w:tcPr>
            <w:tcW w:w="13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2"/>
        </w:trPr>
        <w:tc>
          <w:tcPr>
            <w:tcW w:w="68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No. 001-34511)</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6"/>
        </w:trPr>
        <w:tc>
          <w:tcPr>
            <w:tcW w:w="680" w:type="dxa"/>
            <w:vAlign w:val="bottom"/>
          </w:tcPr>
          <w:p>
            <w:pPr>
              <w:spacing w:after="0"/>
              <w:rPr>
                <w:rFonts w:ascii="Arial" w:cs="Arial" w:eastAsia="Arial" w:hAnsi="Arial"/>
                <w:sz w:val="14"/>
                <w:szCs w:val="14"/>
                <w:color w:val="0000FF"/>
              </w:rPr>
            </w:pPr>
            <w:hyperlink w:anchor="page87">
              <w:r>
                <w:rPr>
                  <w:rFonts w:ascii="Arial" w:cs="Arial" w:eastAsia="Arial" w:hAnsi="Arial"/>
                  <w:sz w:val="14"/>
                  <w:szCs w:val="14"/>
                  <w:u w:val="single" w:color="auto"/>
                  <w:color w:val="0000FF"/>
                </w:rPr>
                <w:t>31.1</w:t>
              </w:r>
            </w:hyperlink>
            <w:r>
              <w:rPr>
                <w:rFonts w:ascii="Arial" w:cs="Arial" w:eastAsia="Arial" w:hAnsi="Arial"/>
                <w:sz w:val="14"/>
                <w:szCs w:val="14"/>
                <w:color w:val="000000"/>
              </w:rPr>
              <w:t>*</w:t>
            </w:r>
          </w:p>
        </w:tc>
        <w:tc>
          <w:tcPr>
            <w:tcW w:w="5560" w:type="dxa"/>
            <w:vAlign w:val="bottom"/>
          </w:tcPr>
          <w:p>
            <w:pPr>
              <w:ind w:left="60"/>
              <w:spacing w:after="0"/>
              <w:rPr>
                <w:sz w:val="20"/>
                <w:szCs w:val="20"/>
                <w:color w:val="auto"/>
              </w:rPr>
            </w:pPr>
            <w:r>
              <w:rPr>
                <w:rFonts w:ascii="Arial" w:cs="Arial" w:eastAsia="Arial" w:hAnsi="Arial"/>
                <w:sz w:val="14"/>
                <w:szCs w:val="14"/>
                <w:color w:val="auto"/>
                <w:w w:val="97"/>
              </w:rPr>
              <w:t>Certification of Chief Executive Officer pursuant to Exchange Act Rules 13a-14(a) and 15d-</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2"/>
        </w:trPr>
        <w:tc>
          <w:tcPr>
            <w:tcW w:w="680" w:type="dxa"/>
            <w:vAlign w:val="bottom"/>
          </w:tcPr>
          <w:p>
            <w:pPr>
              <w:spacing w:after="0"/>
              <w:rPr>
                <w:sz w:val="15"/>
                <w:szCs w:val="15"/>
                <w:color w:val="auto"/>
              </w:rPr>
            </w:pPr>
          </w:p>
        </w:tc>
        <w:tc>
          <w:tcPr>
            <w:tcW w:w="5560" w:type="dxa"/>
            <w:vAlign w:val="bottom"/>
          </w:tcPr>
          <w:p>
            <w:pPr>
              <w:ind w:left="60"/>
              <w:spacing w:after="0"/>
              <w:rPr>
                <w:sz w:val="20"/>
                <w:szCs w:val="20"/>
                <w:color w:val="auto"/>
              </w:rPr>
            </w:pPr>
            <w:r>
              <w:rPr>
                <w:rFonts w:ascii="Arial" w:cs="Arial" w:eastAsia="Arial" w:hAnsi="Arial"/>
                <w:sz w:val="14"/>
                <w:szCs w:val="14"/>
                <w:color w:val="auto"/>
              </w:rPr>
              <w:t>14(a), as adopted pursuant to Section 302 of the Sarbanes-Oxley Act of 2002</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6"/>
        </w:trPr>
        <w:tc>
          <w:tcPr>
            <w:tcW w:w="680" w:type="dxa"/>
            <w:vAlign w:val="bottom"/>
          </w:tcPr>
          <w:p>
            <w:pPr>
              <w:spacing w:after="0"/>
              <w:rPr>
                <w:rFonts w:ascii="Arial" w:cs="Arial" w:eastAsia="Arial" w:hAnsi="Arial"/>
                <w:sz w:val="14"/>
                <w:szCs w:val="14"/>
                <w:color w:val="0000FF"/>
              </w:rPr>
            </w:pPr>
            <w:hyperlink w:anchor="page88">
              <w:r>
                <w:rPr>
                  <w:rFonts w:ascii="Arial" w:cs="Arial" w:eastAsia="Arial" w:hAnsi="Arial"/>
                  <w:sz w:val="14"/>
                  <w:szCs w:val="14"/>
                  <w:u w:val="single" w:color="auto"/>
                  <w:color w:val="0000FF"/>
                </w:rPr>
                <w:t>31.2</w:t>
              </w:r>
            </w:hyperlink>
            <w:r>
              <w:rPr>
                <w:rFonts w:ascii="Arial" w:cs="Arial" w:eastAsia="Arial" w:hAnsi="Arial"/>
                <w:sz w:val="14"/>
                <w:szCs w:val="14"/>
                <w:color w:val="000000"/>
              </w:rPr>
              <w:t>*</w:t>
            </w:r>
          </w:p>
        </w:tc>
        <w:tc>
          <w:tcPr>
            <w:tcW w:w="5560" w:type="dxa"/>
            <w:vAlign w:val="bottom"/>
          </w:tcPr>
          <w:p>
            <w:pPr>
              <w:ind w:left="60"/>
              <w:spacing w:after="0"/>
              <w:rPr>
                <w:sz w:val="20"/>
                <w:szCs w:val="20"/>
                <w:color w:val="auto"/>
              </w:rPr>
            </w:pPr>
            <w:r>
              <w:rPr>
                <w:rFonts w:ascii="Arial" w:cs="Arial" w:eastAsia="Arial" w:hAnsi="Arial"/>
                <w:sz w:val="14"/>
                <w:szCs w:val="14"/>
                <w:color w:val="auto"/>
                <w:w w:val="98"/>
              </w:rPr>
              <w:t>Certification of Chief Financial Officer pursuant to Exchange Act Rules 13a-14(a) and 15d-</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2"/>
        </w:trPr>
        <w:tc>
          <w:tcPr>
            <w:tcW w:w="680" w:type="dxa"/>
            <w:vAlign w:val="bottom"/>
          </w:tcPr>
          <w:p>
            <w:pPr>
              <w:spacing w:after="0"/>
              <w:rPr>
                <w:sz w:val="15"/>
                <w:szCs w:val="15"/>
                <w:color w:val="auto"/>
              </w:rPr>
            </w:pPr>
          </w:p>
        </w:tc>
        <w:tc>
          <w:tcPr>
            <w:tcW w:w="5560" w:type="dxa"/>
            <w:vAlign w:val="bottom"/>
          </w:tcPr>
          <w:p>
            <w:pPr>
              <w:ind w:left="60"/>
              <w:spacing w:after="0"/>
              <w:rPr>
                <w:sz w:val="20"/>
                <w:szCs w:val="20"/>
                <w:color w:val="auto"/>
              </w:rPr>
            </w:pPr>
            <w:r>
              <w:rPr>
                <w:rFonts w:ascii="Arial" w:cs="Arial" w:eastAsia="Arial" w:hAnsi="Arial"/>
                <w:sz w:val="14"/>
                <w:szCs w:val="14"/>
                <w:color w:val="auto"/>
              </w:rPr>
              <w:t>14(a), as adopted pursuant to Section 302 of the Sarbanes-Oxley Act of 2002</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6"/>
        </w:trPr>
        <w:tc>
          <w:tcPr>
            <w:tcW w:w="680" w:type="dxa"/>
            <w:vAlign w:val="bottom"/>
          </w:tcPr>
          <w:p>
            <w:pPr>
              <w:spacing w:after="0"/>
              <w:rPr>
                <w:rFonts w:ascii="Arial" w:cs="Arial" w:eastAsia="Arial" w:hAnsi="Arial"/>
                <w:sz w:val="14"/>
                <w:szCs w:val="14"/>
                <w:color w:val="0000FF"/>
              </w:rPr>
            </w:pPr>
            <w:hyperlink w:anchor="page89">
              <w:r>
                <w:rPr>
                  <w:rFonts w:ascii="Arial" w:cs="Arial" w:eastAsia="Arial" w:hAnsi="Arial"/>
                  <w:sz w:val="14"/>
                  <w:szCs w:val="14"/>
                  <w:u w:val="single" w:color="auto"/>
                  <w:color w:val="0000FF"/>
                </w:rPr>
                <w:t>32.1</w:t>
              </w:r>
            </w:hyperlink>
            <w:r>
              <w:rPr>
                <w:rFonts w:ascii="Arial" w:cs="Arial" w:eastAsia="Arial" w:hAnsi="Arial"/>
                <w:sz w:val="14"/>
                <w:szCs w:val="14"/>
                <w:color w:val="000000"/>
              </w:rPr>
              <w:t>#</w:t>
            </w:r>
          </w:p>
        </w:tc>
        <w:tc>
          <w:tcPr>
            <w:tcW w:w="5560" w:type="dxa"/>
            <w:vAlign w:val="bottom"/>
          </w:tcPr>
          <w:p>
            <w:pPr>
              <w:ind w:left="60"/>
              <w:spacing w:after="0"/>
              <w:rPr>
                <w:sz w:val="20"/>
                <w:szCs w:val="20"/>
                <w:color w:val="auto"/>
              </w:rPr>
            </w:pPr>
            <w:r>
              <w:rPr>
                <w:rFonts w:ascii="Arial" w:cs="Arial" w:eastAsia="Arial" w:hAnsi="Arial"/>
                <w:sz w:val="14"/>
                <w:szCs w:val="14"/>
                <w:color w:val="auto"/>
                <w:w w:val="99"/>
              </w:rPr>
              <w:t>Certifications of Chief Executive Officer and Chief Financial Officer pursuant to 18 U.S.C.</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2"/>
        </w:trPr>
        <w:tc>
          <w:tcPr>
            <w:tcW w:w="680" w:type="dxa"/>
            <w:vAlign w:val="bottom"/>
          </w:tcPr>
          <w:p>
            <w:pPr>
              <w:spacing w:after="0"/>
              <w:rPr>
                <w:sz w:val="15"/>
                <w:szCs w:val="15"/>
                <w:color w:val="auto"/>
              </w:rPr>
            </w:pPr>
          </w:p>
        </w:tc>
        <w:tc>
          <w:tcPr>
            <w:tcW w:w="5560" w:type="dxa"/>
            <w:vAlign w:val="bottom"/>
          </w:tcPr>
          <w:p>
            <w:pPr>
              <w:ind w:left="60"/>
              <w:spacing w:after="0"/>
              <w:rPr>
                <w:sz w:val="20"/>
                <w:szCs w:val="20"/>
                <w:color w:val="auto"/>
              </w:rPr>
            </w:pPr>
            <w:r>
              <w:rPr>
                <w:rFonts w:ascii="Arial" w:cs="Arial" w:eastAsia="Arial" w:hAnsi="Arial"/>
                <w:sz w:val="14"/>
                <w:szCs w:val="14"/>
                <w:color w:val="auto"/>
              </w:rPr>
              <w:t>Section 1350, as adopted pursuant to Section 906 of the Sarbanes-Oxley Act of 2002</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6"/>
        </w:trPr>
        <w:tc>
          <w:tcPr>
            <w:tcW w:w="680" w:type="dxa"/>
            <w:vAlign w:val="bottom"/>
          </w:tcPr>
          <w:p>
            <w:pPr>
              <w:spacing w:after="0"/>
              <w:rPr>
                <w:sz w:val="20"/>
                <w:szCs w:val="20"/>
                <w:color w:val="auto"/>
              </w:rPr>
            </w:pPr>
            <w:r>
              <w:rPr>
                <w:rFonts w:ascii="Arial" w:cs="Arial" w:eastAsia="Arial" w:hAnsi="Arial"/>
                <w:sz w:val="14"/>
                <w:szCs w:val="14"/>
                <w:color w:val="auto"/>
              </w:rPr>
              <w:t>101.INS*</w:t>
            </w:r>
          </w:p>
        </w:tc>
        <w:tc>
          <w:tcPr>
            <w:tcW w:w="5560" w:type="dxa"/>
            <w:vAlign w:val="bottom"/>
          </w:tcPr>
          <w:p>
            <w:pPr>
              <w:ind w:left="60"/>
              <w:spacing w:after="0"/>
              <w:rPr>
                <w:sz w:val="20"/>
                <w:szCs w:val="20"/>
                <w:color w:val="auto"/>
              </w:rPr>
            </w:pPr>
            <w:r>
              <w:rPr>
                <w:rFonts w:ascii="Arial" w:cs="Arial" w:eastAsia="Arial" w:hAnsi="Arial"/>
                <w:sz w:val="14"/>
                <w:szCs w:val="14"/>
                <w:color w:val="auto"/>
                <w:w w:val="97"/>
              </w:rPr>
              <w:t>Inline XBRL Instance Document - the instance document does not appear in the interactive</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2"/>
        </w:trPr>
        <w:tc>
          <w:tcPr>
            <w:tcW w:w="680" w:type="dxa"/>
            <w:vAlign w:val="bottom"/>
          </w:tcPr>
          <w:p>
            <w:pPr>
              <w:spacing w:after="0"/>
              <w:rPr>
                <w:sz w:val="15"/>
                <w:szCs w:val="15"/>
                <w:color w:val="auto"/>
              </w:rPr>
            </w:pPr>
          </w:p>
        </w:tc>
        <w:tc>
          <w:tcPr>
            <w:tcW w:w="5560" w:type="dxa"/>
            <w:vAlign w:val="bottom"/>
          </w:tcPr>
          <w:p>
            <w:pPr>
              <w:ind w:left="60"/>
              <w:spacing w:after="0"/>
              <w:rPr>
                <w:sz w:val="20"/>
                <w:szCs w:val="20"/>
                <w:color w:val="auto"/>
              </w:rPr>
            </w:pPr>
            <w:r>
              <w:rPr>
                <w:rFonts w:ascii="Arial" w:cs="Arial" w:eastAsia="Arial" w:hAnsi="Arial"/>
                <w:sz w:val="14"/>
                <w:szCs w:val="14"/>
                <w:color w:val="auto"/>
              </w:rPr>
              <w:t>data file because its XBRL tags are embedded within the inline XBRL document.</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8"/>
        </w:trPr>
        <w:tc>
          <w:tcPr>
            <w:tcW w:w="680" w:type="dxa"/>
            <w:vAlign w:val="bottom"/>
          </w:tcPr>
          <w:p>
            <w:pPr>
              <w:spacing w:after="0"/>
              <w:rPr>
                <w:sz w:val="20"/>
                <w:szCs w:val="20"/>
                <w:color w:val="auto"/>
              </w:rPr>
            </w:pPr>
            <w:r>
              <w:rPr>
                <w:rFonts w:ascii="Arial" w:cs="Arial" w:eastAsia="Arial" w:hAnsi="Arial"/>
                <w:sz w:val="14"/>
                <w:szCs w:val="14"/>
                <w:color w:val="auto"/>
              </w:rPr>
              <w:t>101.SCH*</w:t>
            </w:r>
          </w:p>
        </w:tc>
        <w:tc>
          <w:tcPr>
            <w:tcW w:w="5560" w:type="dxa"/>
            <w:vAlign w:val="bottom"/>
          </w:tcPr>
          <w:p>
            <w:pPr>
              <w:ind w:left="60"/>
              <w:spacing w:after="0"/>
              <w:rPr>
                <w:sz w:val="20"/>
                <w:szCs w:val="20"/>
                <w:color w:val="auto"/>
              </w:rPr>
            </w:pPr>
            <w:r>
              <w:rPr>
                <w:rFonts w:ascii="Arial" w:cs="Arial" w:eastAsia="Arial" w:hAnsi="Arial"/>
                <w:sz w:val="14"/>
                <w:szCs w:val="14"/>
                <w:color w:val="auto"/>
              </w:rPr>
              <w:t>Inline XBRL Taxonomy Extension Schema Document</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4"/>
                <w:szCs w:val="14"/>
                <w:color w:val="auto"/>
              </w:rPr>
              <w:t>101.CAL*</w:t>
            </w:r>
          </w:p>
        </w:tc>
        <w:tc>
          <w:tcPr>
            <w:tcW w:w="5560" w:type="dxa"/>
            <w:vAlign w:val="bottom"/>
          </w:tcPr>
          <w:p>
            <w:pPr>
              <w:ind w:left="60"/>
              <w:spacing w:after="0"/>
              <w:rPr>
                <w:sz w:val="20"/>
                <w:szCs w:val="20"/>
                <w:color w:val="auto"/>
              </w:rPr>
            </w:pPr>
            <w:r>
              <w:rPr>
                <w:rFonts w:ascii="Arial" w:cs="Arial" w:eastAsia="Arial" w:hAnsi="Arial"/>
                <w:sz w:val="14"/>
                <w:szCs w:val="14"/>
                <w:color w:val="auto"/>
              </w:rPr>
              <w:t>Inline XBRL Taxonomy Extension Calculation Linkbase Document</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4"/>
                <w:szCs w:val="14"/>
                <w:color w:val="auto"/>
              </w:rPr>
              <w:t>101.DEF*</w:t>
            </w:r>
          </w:p>
        </w:tc>
        <w:tc>
          <w:tcPr>
            <w:tcW w:w="5560" w:type="dxa"/>
            <w:vAlign w:val="bottom"/>
          </w:tcPr>
          <w:p>
            <w:pPr>
              <w:ind w:left="60"/>
              <w:spacing w:after="0"/>
              <w:rPr>
                <w:sz w:val="20"/>
                <w:szCs w:val="20"/>
                <w:color w:val="auto"/>
              </w:rPr>
            </w:pPr>
            <w:r>
              <w:rPr>
                <w:rFonts w:ascii="Arial" w:cs="Arial" w:eastAsia="Arial" w:hAnsi="Arial"/>
                <w:sz w:val="14"/>
                <w:szCs w:val="14"/>
                <w:color w:val="auto"/>
              </w:rPr>
              <w:t>Inline XBRL Taxonomy Extension Definition Linkbase Document</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4"/>
                <w:szCs w:val="14"/>
                <w:color w:val="auto"/>
              </w:rPr>
              <w:t>101.LAB*</w:t>
            </w:r>
          </w:p>
        </w:tc>
        <w:tc>
          <w:tcPr>
            <w:tcW w:w="5560" w:type="dxa"/>
            <w:vAlign w:val="bottom"/>
          </w:tcPr>
          <w:p>
            <w:pPr>
              <w:ind w:left="60"/>
              <w:spacing w:after="0"/>
              <w:rPr>
                <w:sz w:val="20"/>
                <w:szCs w:val="20"/>
                <w:color w:val="auto"/>
              </w:rPr>
            </w:pPr>
            <w:r>
              <w:rPr>
                <w:rFonts w:ascii="Arial" w:cs="Arial" w:eastAsia="Arial" w:hAnsi="Arial"/>
                <w:sz w:val="14"/>
                <w:szCs w:val="14"/>
                <w:color w:val="auto"/>
              </w:rPr>
              <w:t>Inline XBRL Taxonomy Extension Label Linkbase Document</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4"/>
                <w:szCs w:val="14"/>
                <w:color w:val="auto"/>
              </w:rPr>
              <w:t>101.PRE*</w:t>
            </w:r>
          </w:p>
        </w:tc>
        <w:tc>
          <w:tcPr>
            <w:tcW w:w="5560" w:type="dxa"/>
            <w:vAlign w:val="bottom"/>
          </w:tcPr>
          <w:p>
            <w:pPr>
              <w:ind w:left="60"/>
              <w:spacing w:after="0"/>
              <w:rPr>
                <w:sz w:val="20"/>
                <w:szCs w:val="20"/>
                <w:color w:val="auto"/>
              </w:rPr>
            </w:pPr>
            <w:r>
              <w:rPr>
                <w:rFonts w:ascii="Arial" w:cs="Arial" w:eastAsia="Arial" w:hAnsi="Arial"/>
                <w:sz w:val="14"/>
                <w:szCs w:val="14"/>
                <w:color w:val="auto"/>
              </w:rPr>
              <w:t>Inline XBRL Taxonomy Extension Presentation Linkbase Document</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1"/>
        </w:trPr>
        <w:tc>
          <w:tcPr>
            <w:tcW w:w="680" w:type="dxa"/>
            <w:vAlign w:val="bottom"/>
          </w:tcPr>
          <w:p>
            <w:pPr>
              <w:spacing w:after="0"/>
              <w:rPr>
                <w:sz w:val="20"/>
                <w:szCs w:val="20"/>
                <w:color w:val="auto"/>
              </w:rPr>
            </w:pPr>
            <w:r>
              <w:rPr>
                <w:rFonts w:ascii="Arial" w:cs="Arial" w:eastAsia="Arial" w:hAnsi="Arial"/>
                <w:sz w:val="14"/>
                <w:szCs w:val="14"/>
                <w:color w:val="auto"/>
              </w:rPr>
              <w:t>104*</w:t>
            </w:r>
          </w:p>
        </w:tc>
        <w:tc>
          <w:tcPr>
            <w:tcW w:w="5560" w:type="dxa"/>
            <w:vAlign w:val="bottom"/>
          </w:tcPr>
          <w:p>
            <w:pPr>
              <w:ind w:left="60"/>
              <w:spacing w:after="0"/>
              <w:rPr>
                <w:sz w:val="20"/>
                <w:szCs w:val="20"/>
                <w:color w:val="auto"/>
              </w:rPr>
            </w:pPr>
            <w:r>
              <w:rPr>
                <w:rFonts w:ascii="Arial" w:cs="Arial" w:eastAsia="Arial" w:hAnsi="Arial"/>
                <w:sz w:val="14"/>
                <w:szCs w:val="14"/>
                <w:color w:val="auto"/>
                <w:w w:val="97"/>
              </w:rPr>
              <w:t>Cover Page Interactive Data File - the cover page from the Company’s Quarterly Report on</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2"/>
        </w:trPr>
        <w:tc>
          <w:tcPr>
            <w:tcW w:w="680" w:type="dxa"/>
            <w:vAlign w:val="bottom"/>
          </w:tcPr>
          <w:p>
            <w:pPr>
              <w:spacing w:after="0"/>
              <w:rPr>
                <w:sz w:val="15"/>
                <w:szCs w:val="15"/>
                <w:color w:val="auto"/>
              </w:rPr>
            </w:pPr>
          </w:p>
        </w:tc>
        <w:tc>
          <w:tcPr>
            <w:tcW w:w="5560" w:type="dxa"/>
            <w:vAlign w:val="bottom"/>
          </w:tcPr>
          <w:p>
            <w:pPr>
              <w:ind w:left="60"/>
              <w:spacing w:after="0"/>
              <w:rPr>
                <w:sz w:val="20"/>
                <w:szCs w:val="20"/>
                <w:color w:val="auto"/>
              </w:rPr>
            </w:pPr>
            <w:r>
              <w:rPr>
                <w:rFonts w:ascii="Arial" w:cs="Arial" w:eastAsia="Arial" w:hAnsi="Arial"/>
                <w:sz w:val="14"/>
                <w:szCs w:val="14"/>
                <w:color w:val="auto"/>
              </w:rPr>
              <w:t>Form 10-Q for the quarter ended September 30, 2020 is formatted in inline XBRL.</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35"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4"/>
          <w:szCs w:val="14"/>
          <w:color w:val="auto"/>
        </w:rPr>
        <w:t>Filed herewith.</w:t>
      </w:r>
    </w:p>
    <w:p>
      <w:pPr>
        <w:ind w:left="100" w:hanging="92"/>
        <w:spacing w:after="0" w:line="181" w:lineRule="auto"/>
        <w:tabs>
          <w:tab w:leader="none" w:pos="100" w:val="left"/>
        </w:tabs>
        <w:numPr>
          <w:ilvl w:val="0"/>
          <w:numId w:val="42"/>
        </w:numPr>
        <w:rPr>
          <w:rFonts w:ascii="Arial" w:cs="Arial" w:eastAsia="Arial" w:hAnsi="Arial"/>
          <w:sz w:val="23"/>
          <w:szCs w:val="23"/>
          <w:color w:val="auto"/>
          <w:vertAlign w:val="superscript"/>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9" w:lineRule="exact"/>
        <w:rPr>
          <w:sz w:val="20"/>
          <w:szCs w:val="20"/>
          <w:color w:val="auto"/>
        </w:rPr>
      </w:pPr>
    </w:p>
    <w:p>
      <w:pPr>
        <w:ind w:left="3540"/>
        <w:spacing w:after="0"/>
        <w:tabs>
          <w:tab w:leader="none" w:pos="714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13"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9" w:lineRule="exact"/>
        <w:rPr>
          <w:sz w:val="20"/>
          <w:szCs w:val="20"/>
          <w:color w:val="auto"/>
        </w:rPr>
      </w:pPr>
    </w:p>
    <w:p>
      <w:pPr>
        <w:ind w:left="3540"/>
        <w:spacing w:after="0"/>
        <w:tabs>
          <w:tab w:leader="none" w:pos="6800" w:val="left"/>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2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320" w:top="283" w:right="3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9229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Ken Xie</w:t>
      </w:r>
    </w:p>
    <w:p>
      <w:pPr>
        <w:spacing w:after="0" w:line="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w:t>
      </w: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9229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Keith Jensen</w:t>
      </w:r>
    </w:p>
    <w:p>
      <w:pPr>
        <w:spacing w:after="0" w:line="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ind w:left="63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September 30, 2020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Xie</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Date:   November 6, 2020</w:t>
            </w:r>
          </w:p>
        </w:tc>
        <w:tc>
          <w:tcPr>
            <w:tcW w:w="2680" w:type="dxa"/>
            <w:vAlign w:val="bottom"/>
          </w:tcPr>
          <w:p>
            <w:pPr>
              <w:ind w:left="198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176"/>
        </w:trPr>
        <w:tc>
          <w:tcPr>
            <w:tcW w:w="3940" w:type="dxa"/>
            <w:vAlign w:val="bottom"/>
          </w:tcPr>
          <w:p>
            <w:pPr>
              <w:spacing w:after="0"/>
              <w:rPr>
                <w:sz w:val="15"/>
                <w:szCs w:val="15"/>
                <w:color w:val="auto"/>
              </w:rPr>
            </w:pPr>
          </w:p>
        </w:tc>
        <w:tc>
          <w:tcPr>
            <w:tcW w:w="2680" w:type="dxa"/>
            <w:vAlign w:val="bottom"/>
          </w:tcPr>
          <w:p>
            <w:pPr>
              <w:ind w:left="198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and Chairman</w:t>
            </w:r>
          </w:p>
        </w:tc>
      </w:tr>
      <w:tr>
        <w:trPr>
          <w:trHeight w:val="230"/>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4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September 30, 2020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Jensen</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Date:   November 6, 2020</w:t>
            </w:r>
          </w:p>
        </w:tc>
        <w:tc>
          <w:tcPr>
            <w:tcW w:w="2680" w:type="dxa"/>
            <w:vAlign w:val="bottom"/>
          </w:tcPr>
          <w:p>
            <w:pPr>
              <w:ind w:left="198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Keith Jensen</w:t>
            </w:r>
          </w:p>
        </w:tc>
      </w:tr>
      <w:tr>
        <w:trPr>
          <w:trHeight w:val="176"/>
        </w:trPr>
        <w:tc>
          <w:tcPr>
            <w:tcW w:w="3940" w:type="dxa"/>
            <w:vAlign w:val="bottom"/>
          </w:tcPr>
          <w:p>
            <w:pPr>
              <w:spacing w:after="0"/>
              <w:rPr>
                <w:sz w:val="15"/>
                <w:szCs w:val="15"/>
                <w:color w:val="auto"/>
              </w:rPr>
            </w:pPr>
          </w:p>
        </w:tc>
        <w:tc>
          <w:tcPr>
            <w:tcW w:w="2680" w:type="dxa"/>
            <w:vAlign w:val="bottom"/>
          </w:tcPr>
          <w:p>
            <w:pPr>
              <w:ind w:left="198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5"/>
              </w:rPr>
              <w:t>(Principal Financial Officer and Principal Accounting Officer)</w:t>
            </w:r>
          </w:p>
        </w:tc>
      </w:tr>
    </w:tbl>
    <w:p>
      <w:pPr>
        <w:spacing w:after="0" w:line="200" w:lineRule="exact"/>
        <w:rPr>
          <w:sz w:val="20"/>
          <w:szCs w:val="20"/>
          <w:color w:val="auto"/>
        </w:rPr>
      </w:pPr>
    </w:p>
    <w:p>
      <w:pPr>
        <w:spacing w:after="0" w:line="284"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3"/>
    </w:lvl>
  </w:abstractNum>
  <w:abstractNum w:abstractNumId="5">
    <w:nsid w:val="79838CB2"/>
    <w:multiLevelType w:val="hybridMultilevel"/>
    <w:lvl w:ilvl="0">
      <w:lvlJc w:val="left"/>
      <w:lvlText w:val="%1."/>
      <w:numFmt w:val="decimal"/>
      <w:start w:val="4"/>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7"/>
    </w:lvl>
  </w:abstractNum>
  <w:abstractNum w:abstractNumId="8">
    <w:nsid w:val="189A769B"/>
    <w:multiLevelType w:val="hybridMultilevel"/>
    <w:lvl w:ilvl="0">
      <w:lvlJc w:val="left"/>
      <w:lvlText w:val="%1."/>
      <w:numFmt w:val="decimal"/>
      <w:start w:val="8"/>
    </w:lvl>
  </w:abstractNum>
  <w:abstractNum w:abstractNumId="9">
    <w:nsid w:val="54E49EB4"/>
    <w:multiLevelType w:val="hybridMultilevel"/>
    <w:lvl w:ilvl="0">
      <w:lvlJc w:val="left"/>
      <w:lvlText w:val="%1."/>
      <w:numFmt w:val="decimal"/>
      <w:start w:val="10"/>
    </w:lvl>
  </w:abstractNum>
  <w:abstractNum w:abstractNumId="10">
    <w:nsid w:val="71F32454"/>
    <w:multiLevelType w:val="hybridMultilevel"/>
    <w:lvl w:ilvl="0">
      <w:lvlJc w:val="left"/>
      <w:lvlText w:val="%1."/>
      <w:numFmt w:val="decimal"/>
      <w:start w:val="1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2"/>
    </w:lvl>
  </w:abstractNum>
  <w:abstractNum w:abstractNumId="13">
    <w:nsid w:val="2901D82"/>
    <w:multiLevelType w:val="hybridMultilevel"/>
    <w:lvl w:ilvl="0">
      <w:lvlJc w:val="left"/>
      <w:lvlText w:val="%1."/>
      <w:numFmt w:val="decimal"/>
      <w:start w:val="13"/>
    </w:lvl>
  </w:abstractNum>
  <w:abstractNum w:abstractNumId="14">
    <w:nsid w:val="3A95F874"/>
    <w:multiLevelType w:val="hybridMultilevel"/>
    <w:lvl w:ilvl="0">
      <w:lvlJc w:val="left"/>
      <w:lvlText w:val="%1."/>
      <w:numFmt w:val="decimal"/>
      <w:start w:val="14"/>
    </w:lvl>
  </w:abstractNum>
  <w:abstractNum w:abstractNumId="15">
    <w:nsid w:val="8138641"/>
    <w:multiLevelType w:val="hybridMultilevel"/>
    <w:lvl w:ilvl="0">
      <w:lvlJc w:val="left"/>
      <w:lvlText w:val="%1."/>
      <w:numFmt w:val="decimal"/>
      <w:start w:val="15"/>
    </w:lvl>
  </w:abstractNum>
  <w:abstractNum w:abstractNumId="16">
    <w:nsid w:val="1E7FF521"/>
    <w:multiLevelType w:val="hybridMultilevel"/>
    <w:lvl w:ilvl="0">
      <w:lvlJc w:val="left"/>
      <w:lvlText w:val="%1."/>
      <w:numFmt w:val="decimal"/>
      <w:start w:val="16"/>
    </w:lvl>
  </w:abstractNum>
  <w:abstractNum w:abstractNumId="17">
    <w:nsid w:val="7C3DBD3D"/>
    <w:multiLevelType w:val="hybridMultilevel"/>
    <w:lvl w:ilvl="0">
      <w:lvlJc w:val="left"/>
      <w:lvlText w:val="%1."/>
      <w:numFmt w:val="decimal"/>
      <w:start w:val="17"/>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3" Type="http://schemas.openxmlformats.org/officeDocument/2006/relationships/hyperlink" Target="http://www.sec.gov/Archives/edgar/data/1262039/000126203920000044/amendedandrestated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2020-11-06T16:13:07Z</dcterms:created>
  <dcterms:modified xsi:type="dcterms:W3CDTF">2020-11-06T16:13:07Z</dcterms:modified>
</cp:coreProperties>
</file>